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7EA4" w14:textId="77777777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()</w:t>
      </w:r>
    </w:p>
    <w:p w14:paraId="01323CF0" w14:textId="77777777" w:rsidR="003C1896" w:rsidRPr="003C1896" w:rsidRDefault="004A12C2">
      <w:pPr>
        <w:pStyle w:val="Titolo"/>
        <w:rPr>
          <w:sz w:val="22"/>
          <w:szCs w:val="22"/>
        </w:rPr>
      </w:pPr>
      <w:hyperlink r:id="rId10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1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>
      <w:pPr>
        <w:pStyle w:val="Titolo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77777777" w:rsidR="00855982" w:rsidRDefault="00272921" w:rsidP="003C1896">
      <w:r>
        <w:t>I certificati di morte fornitoci contenevano codici nel formato standard ICD-10 da tradurre attraverso un mapping predefinito in codici ICD-11. In aggiunta a ciò, vi si richiedeva di fare una statistica sulla traduzione</w:t>
      </w:r>
      <w:r w:rsidR="00220E26">
        <w:t xml:space="preserve"> 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77777777" w:rsidR="003C1896" w:rsidRDefault="00E40BD5" w:rsidP="003C1896">
      <w:r>
        <w:t>La soluzione presentata è costituita dalle seguenti classi ed oggetti:</w:t>
      </w:r>
    </w:p>
    <w:p w14:paraId="47EE42FE" w14:textId="2410C73B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>
        <w:t xml:space="preserve"> questo oggetto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>e il tipo di mapping che vi sussiste. Le tipologie di mapping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NotConvertedYet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Equivalent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03221CBA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>
        <w:t xml:space="preserve"> questo oggetto rappresenta un certificato</w:t>
      </w:r>
      <w:r w:rsidR="00FD24C8">
        <w:t xml:space="preserve"> di morte</w:t>
      </w:r>
      <w:r>
        <w:t xml:space="preserve">. Come tale contiene i campi per l’anno di battitura,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77777777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</w:p>
    <w:p w14:paraId="0165DD75" w14:textId="77777777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</w:p>
    <w:p w14:paraId="3BED8F3F" w14:textId="77777777" w:rsidR="00E40BD5" w:rsidRPr="00855982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tale oggetto rappresenta un convertitore di certificati</w:t>
      </w:r>
      <w:r w:rsidR="000179B9">
        <w:t>.</w:t>
      </w:r>
    </w:p>
    <w:p w14:paraId="239D3124" w14:textId="4B58D74D" w:rsidR="003C1896" w:rsidRDefault="003C1896" w:rsidP="003C1896">
      <w:pPr>
        <w:pStyle w:val="Titolo1"/>
      </w:pPr>
      <w:r>
        <w:t>Analisi statistica</w:t>
      </w:r>
    </w:p>
    <w:p w14:paraId="2A487107" w14:textId="2AF6F0E0" w:rsidR="00C61FDF" w:rsidRDefault="00813F12" w:rsidP="00C61FDF">
      <w:r>
        <w:t xml:space="preserve">La prima statistica vede il confronto tra il numero di certificati che sono stati tradotti in qualche modo </w:t>
      </w:r>
      <w:r>
        <w:rPr>
          <w:i/>
          <w:iCs/>
        </w:rPr>
        <w:t>correttamente</w:t>
      </w:r>
      <w:r>
        <w:t xml:space="preserve"> e il numero di certificati che invece sono stati scartati per </w:t>
      </w:r>
      <w:proofErr w:type="spellStart"/>
      <w:r>
        <w:t>NoMapping</w:t>
      </w:r>
      <w:proofErr w:type="spellEnd"/>
      <w:r>
        <w:t xml:space="preserve"> oppure perché il codice ICD10 inserito non ha avuto una corrispondenza nel file di mapping (si presume per un qualche errore di battitura da parte del medico/operatore sanitario).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4202"/>
      </w:tblGrid>
      <w:tr w:rsidR="00813F12" w14:paraId="1CF001E1" w14:textId="77777777" w:rsidTr="00813F12">
        <w:tc>
          <w:tcPr>
            <w:tcW w:w="3823" w:type="dxa"/>
          </w:tcPr>
          <w:p w14:paraId="3A2CD0D8" w14:textId="2C8BD536" w:rsidR="00813F12" w:rsidRDefault="00813F12" w:rsidP="00C61FDF">
            <w:r>
              <w:t>Certificati totali</w:t>
            </w:r>
          </w:p>
        </w:tc>
        <w:tc>
          <w:tcPr>
            <w:tcW w:w="992" w:type="dxa"/>
          </w:tcPr>
          <w:p w14:paraId="6454B93F" w14:textId="60BF1D71" w:rsidR="00813F12" w:rsidRDefault="00813F12" w:rsidP="00C61FDF">
            <w:r>
              <w:t>10000</w:t>
            </w:r>
            <w:r w:rsidR="0007024D">
              <w:t>0</w:t>
            </w:r>
          </w:p>
        </w:tc>
        <w:tc>
          <w:tcPr>
            <w:tcW w:w="4202" w:type="dxa"/>
          </w:tcPr>
          <w:p w14:paraId="21538A5E" w14:textId="1AE7C5D4" w:rsidR="00813F12" w:rsidRPr="00813F12" w:rsidRDefault="00813F12" w:rsidP="00C61FDF">
            <w:r>
              <w:t>100% sul totale</w:t>
            </w:r>
          </w:p>
        </w:tc>
      </w:tr>
      <w:tr w:rsidR="00813F12" w14:paraId="036843DE" w14:textId="77777777" w:rsidTr="00813F12">
        <w:tc>
          <w:tcPr>
            <w:tcW w:w="3823" w:type="dxa"/>
          </w:tcPr>
          <w:p w14:paraId="13E5DCB2" w14:textId="67A595C8" w:rsidR="00813F12" w:rsidRPr="00813F12" w:rsidRDefault="00813F12" w:rsidP="00C61FDF">
            <w:pPr>
              <w:rPr>
                <w:b/>
                <w:bCs/>
              </w:rPr>
            </w:pPr>
            <w:r w:rsidRPr="00813F12">
              <w:rPr>
                <w:b/>
                <w:bCs/>
              </w:rPr>
              <w:t>Certificati tradotti correttamente</w:t>
            </w:r>
          </w:p>
        </w:tc>
        <w:tc>
          <w:tcPr>
            <w:tcW w:w="992" w:type="dxa"/>
          </w:tcPr>
          <w:p w14:paraId="745057FA" w14:textId="63D8E98A" w:rsidR="00813F12" w:rsidRDefault="00813F12" w:rsidP="00C61FDF">
            <w:r>
              <w:t>99788</w:t>
            </w:r>
          </w:p>
        </w:tc>
        <w:tc>
          <w:tcPr>
            <w:tcW w:w="4202" w:type="dxa"/>
          </w:tcPr>
          <w:p w14:paraId="494BFE51" w14:textId="5230ED72" w:rsidR="00813F12" w:rsidRDefault="00813F12" w:rsidP="00C61FDF">
            <w:r w:rsidRPr="00813F12">
              <w:t>99.788% sul totale</w:t>
            </w:r>
          </w:p>
        </w:tc>
      </w:tr>
      <w:tr w:rsidR="00813F12" w14:paraId="7B0A502A" w14:textId="77777777" w:rsidTr="00813F12">
        <w:tc>
          <w:tcPr>
            <w:tcW w:w="3823" w:type="dxa"/>
          </w:tcPr>
          <w:p w14:paraId="52005857" w14:textId="33F4F6C6" w:rsidR="00813F12" w:rsidRPr="00813F12" w:rsidRDefault="00813F12" w:rsidP="00C61FDF">
            <w:pPr>
              <w:rPr>
                <w:b/>
                <w:bCs/>
              </w:rPr>
            </w:pPr>
            <w:r w:rsidRPr="00813F12">
              <w:rPr>
                <w:b/>
                <w:bCs/>
              </w:rPr>
              <w:t>Certificati scartati</w:t>
            </w:r>
          </w:p>
        </w:tc>
        <w:tc>
          <w:tcPr>
            <w:tcW w:w="992" w:type="dxa"/>
          </w:tcPr>
          <w:p w14:paraId="7249E063" w14:textId="0675CB27" w:rsidR="00813F12" w:rsidRDefault="00813F12" w:rsidP="00C61FDF">
            <w:r>
              <w:t>212</w:t>
            </w:r>
          </w:p>
        </w:tc>
        <w:tc>
          <w:tcPr>
            <w:tcW w:w="4202" w:type="dxa"/>
          </w:tcPr>
          <w:p w14:paraId="17322D8E" w14:textId="0801BB96" w:rsidR="00813F12" w:rsidRDefault="00813F12" w:rsidP="00C61FDF">
            <w:r w:rsidRPr="00813F12">
              <w:t>0.212% sul totale</w:t>
            </w:r>
          </w:p>
        </w:tc>
      </w:tr>
      <w:tr w:rsidR="00813F12" w14:paraId="4976745B" w14:textId="77777777" w:rsidTr="00813F12">
        <w:tc>
          <w:tcPr>
            <w:tcW w:w="3823" w:type="dxa"/>
          </w:tcPr>
          <w:p w14:paraId="55B24235" w14:textId="59C947AE" w:rsidR="00813F12" w:rsidRDefault="00813F12" w:rsidP="00813F12">
            <w:r>
              <w:t xml:space="preserve">Certificati scartati per </w:t>
            </w:r>
            <w:proofErr w:type="spellStart"/>
            <w:r>
              <w:t>NoMapping</w:t>
            </w:r>
            <w:proofErr w:type="spellEnd"/>
          </w:p>
        </w:tc>
        <w:tc>
          <w:tcPr>
            <w:tcW w:w="992" w:type="dxa"/>
          </w:tcPr>
          <w:p w14:paraId="32A2DB46" w14:textId="5FC6796F" w:rsidR="00813F12" w:rsidRDefault="00813F12" w:rsidP="00813F12">
            <w:r>
              <w:t>185</w:t>
            </w:r>
          </w:p>
        </w:tc>
        <w:tc>
          <w:tcPr>
            <w:tcW w:w="4202" w:type="dxa"/>
          </w:tcPr>
          <w:p w14:paraId="2CC2D51D" w14:textId="56E11016" w:rsidR="00813F12" w:rsidRDefault="00813F12" w:rsidP="00813F12">
            <w:r w:rsidRPr="00813F12">
              <w:t>87.264</w:t>
            </w:r>
            <w:r>
              <w:t>% sul totale dei certificati scartati</w:t>
            </w:r>
          </w:p>
        </w:tc>
      </w:tr>
      <w:tr w:rsidR="00813F12" w14:paraId="3351F54F" w14:textId="77777777" w:rsidTr="00813F12">
        <w:tc>
          <w:tcPr>
            <w:tcW w:w="3823" w:type="dxa"/>
          </w:tcPr>
          <w:p w14:paraId="605A9116" w14:textId="07E9E305" w:rsidR="00813F12" w:rsidRDefault="00813F12" w:rsidP="00813F12">
            <w:r>
              <w:t>Certificati scartati per codice inesistente</w:t>
            </w:r>
          </w:p>
        </w:tc>
        <w:tc>
          <w:tcPr>
            <w:tcW w:w="992" w:type="dxa"/>
          </w:tcPr>
          <w:p w14:paraId="0D7CE485" w14:textId="5885F0F8" w:rsidR="00813F12" w:rsidRDefault="00813F12" w:rsidP="00813F12">
            <w:r>
              <w:t>27</w:t>
            </w:r>
          </w:p>
        </w:tc>
        <w:tc>
          <w:tcPr>
            <w:tcW w:w="4202" w:type="dxa"/>
          </w:tcPr>
          <w:p w14:paraId="0B576889" w14:textId="4AC5B63B" w:rsidR="00813F12" w:rsidRDefault="00813F12" w:rsidP="00813F12">
            <w:r w:rsidRPr="00813F12">
              <w:t>12.735</w:t>
            </w:r>
            <w:r>
              <w:t>% sul totale dei certificati scartati</w:t>
            </w:r>
          </w:p>
        </w:tc>
      </w:tr>
    </w:tbl>
    <w:p w14:paraId="5E8386AF" w14:textId="77777777" w:rsidR="00813F12" w:rsidRPr="00813F12" w:rsidRDefault="00813F12" w:rsidP="00C61FDF">
      <w:bookmarkStart w:id="0" w:name="_GoBack"/>
      <w:bookmarkEnd w:id="0"/>
    </w:p>
    <w:p w14:paraId="6072FB6E" w14:textId="61E44A3F" w:rsidR="003C1896" w:rsidRDefault="00C61FDF" w:rsidP="003C1896">
      <w:r>
        <w:rPr>
          <w:noProof/>
        </w:rPr>
        <w:drawing>
          <wp:inline distT="0" distB="0" distL="0" distR="0" wp14:anchorId="0E012FA7" wp14:editId="4F300744">
            <wp:extent cx="5486400" cy="320040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24A47F" w14:textId="77777777" w:rsidR="00AB461E" w:rsidRPr="00855982" w:rsidRDefault="00AB461E" w:rsidP="00AB461E">
      <w:pPr>
        <w:pStyle w:val="Titolo1"/>
      </w:pPr>
      <w:r>
        <w:t>Compilazione ed esecuzione del progetto</w:t>
      </w:r>
    </w:p>
    <w:p w14:paraId="36C76771" w14:textId="77777777" w:rsidR="00E311FE" w:rsidRDefault="00E311FE" w:rsidP="003C1896">
      <w:r>
        <w:t xml:space="preserve">Su sistemi Unix e Unix-like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AD82295" w14:textId="044F0C59" w:rsidR="00E311FE" w:rsidRPr="00E311FE" w:rsidRDefault="00E311FE" w:rsidP="00E311FE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DB74913" w14:textId="290870AF" w:rsidR="002B2480" w:rsidRDefault="002B2480" w:rsidP="002B2480">
      <w:pPr>
        <w:rPr>
          <w:rFonts w:cstheme="minorHAnsi"/>
        </w:rPr>
      </w:pPr>
      <w:r>
        <w:rPr>
          <w:rFonts w:cstheme="minorHAnsi"/>
        </w:rPr>
        <w:t xml:space="preserve">In aggiunta è possibile modificare il comportamento del programma mediante l’utilizzo di alcune opzioni </w:t>
      </w:r>
      <w:r w:rsidR="002E7AB5">
        <w:rPr>
          <w:rFonts w:cstheme="minorHAnsi"/>
        </w:rPr>
        <w:t>digitabili</w:t>
      </w:r>
      <w:r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>
        <w:rPr>
          <w:rFonts w:cstheme="minorHAnsi"/>
        </w:rPr>
        <w:t xml:space="preserve"> linea di comando. Per aprire il menu della guida 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</w:t>
      </w:r>
      <w:r w:rsidR="002B2480">
        <w:rPr>
          <w:rFonts w:ascii="Courier New" w:hAnsi="Courier New" w:cs="Courier New"/>
        </w:rPr>
        <w:t xml:space="preserve">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4846C1A5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SubClass</w:t>
      </w:r>
      <w:proofErr w:type="spellEnd"/>
      <w:r w:rsidR="00341315">
        <w:rPr>
          <w:rFonts w:cstheme="minorHAnsi"/>
        </w:rPr>
        <w:t xml:space="preserve"> e va a considerare una maggiore quantità di certificati, per via della più lasca relazione;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lastRenderedPageBreak/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 xml:space="preserve">, </w:t>
      </w:r>
      <w:r>
        <w:rPr>
          <w:rFonts w:cstheme="minorHAnsi"/>
        </w:rPr>
        <w:t>permette di specificare il nome e la posizione del file</w:t>
      </w:r>
      <w:r>
        <w:rPr>
          <w:rFonts w:cstheme="minorHAnsi"/>
        </w:rPr>
        <w:t xml:space="preserve">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 xml:space="preserve">, </w:t>
      </w:r>
      <w:r>
        <w:rPr>
          <w:rFonts w:cstheme="minorHAnsi"/>
        </w:rPr>
        <w:t>permette di specificare il nome e la posizione del file dove andranno i risultati dell’analisi statistica effettuata;</w:t>
      </w:r>
    </w:p>
    <w:p w14:paraId="76BFD198" w14:textId="5CE6C8FD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permette di includere nell’output anche l’intestazione </w:t>
      </w:r>
    </w:p>
    <w:p w14:paraId="1CB96D1A" w14:textId="7747DEC0" w:rsidR="00341315" w:rsidRPr="00341315" w:rsidRDefault="00341315" w:rsidP="00341315">
      <w:pPr>
        <w:pStyle w:val="Paragrafoelenco"/>
        <w:ind w:left="1416"/>
        <w:rPr>
          <w:rFonts w:ascii="Courier New" w:hAnsi="Courier New" w:cs="Courier New"/>
          <w:lang w:val="en-GB"/>
        </w:rPr>
      </w:pPr>
      <w:r w:rsidRPr="00341315">
        <w:rPr>
          <w:rFonts w:ascii="Courier New" w:hAnsi="Courier New" w:cs="Courier New"/>
          <w:lang w:val="en-GB"/>
        </w:rPr>
        <w:t>YEAR SEX AGE P_1_1_1 P_1_1_2 …  … UCOD</w:t>
      </w:r>
    </w:p>
    <w:p w14:paraId="75E5AB01" w14:textId="08C19F45" w:rsidR="00FD24C8" w:rsidRP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statistica sul file e limitandosi a stamparla solo su </w:t>
      </w:r>
      <w:proofErr w:type="spellStart"/>
      <w:r>
        <w:rPr>
          <w:rFonts w:cstheme="minorHAnsi"/>
        </w:rPr>
        <w:t>stdout</w:t>
      </w:r>
      <w:proofErr w:type="spellEnd"/>
      <w:r>
        <w:rPr>
          <w:rFonts w:cstheme="minorHAnsi"/>
        </w:rPr>
        <w:t>.</w:t>
      </w:r>
    </w:p>
    <w:p w14:paraId="768DBB29" w14:textId="2E904923" w:rsidR="002E7AB5" w:rsidRDefault="002E7AB5" w:rsidP="002E7AB5">
      <w:r>
        <w:t xml:space="preserve">Per l’esecuzione del </w:t>
      </w:r>
      <w:r>
        <w:t>progetto</w:t>
      </w:r>
      <w:r>
        <w:t xml:space="preserve"> è necessario conoscere </w:t>
      </w:r>
      <w:r w:rsidR="00341315">
        <w:t xml:space="preserve">la posizione </w:t>
      </w:r>
      <w:r>
        <w:t xml:space="preserve">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 xml:space="preserve">, e </w:t>
      </w:r>
      <w:r w:rsidR="00341315">
        <w:t>la posizione</w:t>
      </w:r>
      <w:r>
        <w:t xml:space="preserve"> del file di mapping ICD10-to-ICD11:</w:t>
      </w:r>
    </w:p>
    <w:p w14:paraId="36521705" w14:textId="77777777" w:rsidR="002E7AB5" w:rsidRPr="002E7AB5" w:rsidRDefault="002E7AB5" w:rsidP="002E7AB5">
      <w:pPr>
        <w:jc w:val="center"/>
        <w:rPr>
          <w:rFonts w:ascii="Courier New" w:hAnsi="Courier New" w:cs="Courier New"/>
          <w:lang w:val="en-GB"/>
        </w:rPr>
      </w:pPr>
      <w:r w:rsidRPr="002E7AB5">
        <w:rPr>
          <w:rFonts w:ascii="Courier New" w:hAnsi="Courier New" w:cs="Courier New"/>
          <w:lang w:val="en-GB"/>
        </w:rPr>
        <w:t>java ConvertiCertificatiInICD11 &lt;</w:t>
      </w:r>
      <w:proofErr w:type="spellStart"/>
      <w:r w:rsidRPr="002E7AB5">
        <w:rPr>
          <w:rFonts w:ascii="Courier New" w:hAnsi="Courier New" w:cs="Courier New"/>
          <w:lang w:val="en-GB"/>
        </w:rPr>
        <w:t>pathFileDaConvertire</w:t>
      </w:r>
      <w:proofErr w:type="spellEnd"/>
      <w:r w:rsidRPr="002E7AB5">
        <w:rPr>
          <w:rFonts w:ascii="Courier New" w:hAnsi="Courier New" w:cs="Courier New"/>
          <w:lang w:val="en-GB"/>
        </w:rPr>
        <w:t>&gt; -</w:t>
      </w:r>
      <w:proofErr w:type="spellStart"/>
      <w:r w:rsidRPr="002E7AB5">
        <w:rPr>
          <w:rFonts w:ascii="Courier New" w:hAnsi="Courier New" w:cs="Courier New"/>
          <w:lang w:val="en-GB"/>
        </w:rPr>
        <w:t>mappingPath</w:t>
      </w:r>
      <w:proofErr w:type="spellEnd"/>
      <w:r w:rsidRPr="002E7AB5">
        <w:rPr>
          <w:rFonts w:ascii="Courier New" w:hAnsi="Courier New" w:cs="Courier New"/>
          <w:lang w:val="en-GB"/>
        </w:rPr>
        <w:t xml:space="preserve"> &lt;</w:t>
      </w:r>
      <w:proofErr w:type="spellStart"/>
      <w:r w:rsidRPr="002E7AB5">
        <w:rPr>
          <w:rFonts w:ascii="Courier New" w:hAnsi="Courier New" w:cs="Courier New"/>
          <w:lang w:val="en-GB"/>
        </w:rPr>
        <w:t>pathFileMapping</w:t>
      </w:r>
      <w:proofErr w:type="spellEnd"/>
      <w:r w:rsidRPr="002E7AB5">
        <w:rPr>
          <w:rFonts w:ascii="Courier New" w:hAnsi="Courier New" w:cs="Courier New"/>
          <w:lang w:val="en-GB"/>
        </w:rPr>
        <w:t>&gt;</w:t>
      </w:r>
    </w:p>
    <w:p w14:paraId="5CFA5639" w14:textId="27C50B54" w:rsidR="002E7AB5" w:rsidRDefault="002E7AB5" w:rsidP="002B2480">
      <w:pPr>
        <w:rPr>
          <w:rFonts w:cstheme="minorHAnsi"/>
        </w:rPr>
      </w:pPr>
      <w:r w:rsidRPr="002E7AB5">
        <w:rPr>
          <w:rFonts w:cstheme="minorHAnsi"/>
        </w:rPr>
        <w:t>L’esecuzione di tale commando produrrà d</w:t>
      </w:r>
      <w:r>
        <w:rPr>
          <w:rFonts w:cstheme="minorHAnsi"/>
        </w:rPr>
        <w:t>i default, a meno di opzioni inserite dall’utente, due file il cui nome è generato proceduralmente:</w:t>
      </w:r>
    </w:p>
    <w:p w14:paraId="66DF9D56" w14:textId="695F6003" w:rsidR="002E7AB5" w:rsidRDefault="002E7AB5" w:rsidP="002E7AB5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quale contiene il l’insieme dei certificati di morte tradotti in ICD11</w:t>
      </w:r>
      <w:r w:rsidR="003E0CB1">
        <w:rPr>
          <w:rFonts w:cstheme="minorHAnsi"/>
        </w:rPr>
        <w:t>;</w:t>
      </w:r>
    </w:p>
    <w:p w14:paraId="1B350E5C" w14:textId="74EE21A7" w:rsidR="00FD24C8" w:rsidRDefault="002E7AB5" w:rsidP="00FD24C8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</w:t>
      </w:r>
      <w:r w:rsidR="003E0CB1">
        <w:rPr>
          <w:rFonts w:cstheme="minorHAnsi"/>
        </w:rPr>
        <w:t xml:space="preserve"> quale contiene tutti i dati relativi all’analisi statistica, che di default compare anche come output a terminale.</w:t>
      </w:r>
    </w:p>
    <w:p w14:paraId="6E8DF16F" w14:textId="1D61B45A" w:rsidR="00FD24C8" w:rsidRPr="00FD24C8" w:rsidRDefault="00FD24C8" w:rsidP="00FD24C8">
      <w:pPr>
        <w:rPr>
          <w:rFonts w:cstheme="minorHAnsi"/>
        </w:rPr>
      </w:pPr>
    </w:p>
    <w:sectPr w:rsidR="00FD24C8" w:rsidRPr="00FD24C8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D437" w14:textId="77777777" w:rsidR="004A12C2" w:rsidRDefault="004A12C2" w:rsidP="00855982">
      <w:pPr>
        <w:spacing w:after="0" w:line="240" w:lineRule="auto"/>
      </w:pPr>
      <w:r>
        <w:separator/>
      </w:r>
    </w:p>
  </w:endnote>
  <w:endnote w:type="continuationSeparator" w:id="0">
    <w:p w14:paraId="78910224" w14:textId="77777777" w:rsidR="004A12C2" w:rsidRDefault="004A12C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EE75" w14:textId="77777777" w:rsidR="004A12C2" w:rsidRDefault="004A12C2" w:rsidP="00855982">
      <w:pPr>
        <w:spacing w:after="0" w:line="240" w:lineRule="auto"/>
      </w:pPr>
      <w:r>
        <w:separator/>
      </w:r>
    </w:p>
  </w:footnote>
  <w:footnote w:type="continuationSeparator" w:id="0">
    <w:p w14:paraId="6B8B65FB" w14:textId="77777777" w:rsidR="004A12C2" w:rsidRDefault="004A12C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7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0179B9"/>
    <w:rsid w:val="0007024D"/>
    <w:rsid w:val="000E362A"/>
    <w:rsid w:val="001D4362"/>
    <w:rsid w:val="00216B2B"/>
    <w:rsid w:val="00220E26"/>
    <w:rsid w:val="00226801"/>
    <w:rsid w:val="00272921"/>
    <w:rsid w:val="002B2480"/>
    <w:rsid w:val="002E7AB5"/>
    <w:rsid w:val="00341315"/>
    <w:rsid w:val="003B7424"/>
    <w:rsid w:val="003C1896"/>
    <w:rsid w:val="003E0CB1"/>
    <w:rsid w:val="003E67DD"/>
    <w:rsid w:val="0049576A"/>
    <w:rsid w:val="004A12C2"/>
    <w:rsid w:val="004A168B"/>
    <w:rsid w:val="004E0A1C"/>
    <w:rsid w:val="00733727"/>
    <w:rsid w:val="007833A7"/>
    <w:rsid w:val="007C166F"/>
    <w:rsid w:val="00813F12"/>
    <w:rsid w:val="00855982"/>
    <w:rsid w:val="00A10484"/>
    <w:rsid w:val="00AB461E"/>
    <w:rsid w:val="00BA0DF6"/>
    <w:rsid w:val="00C61FDF"/>
    <w:rsid w:val="00D5391B"/>
    <w:rsid w:val="00D66369"/>
    <w:rsid w:val="00E311FE"/>
    <w:rsid w:val="00E40BD5"/>
    <w:rsid w:val="00E575B4"/>
    <w:rsid w:val="00F31D5C"/>
    <w:rsid w:val="00FD24C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  <w15:chartTrackingRefBased/>
  <w15:docId w15:val="{DD13EE40-4EFE-49E1-9BDB-E8C6A1B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ossetto.eric@spes.uniud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B7-48E3-9CEE-6921005E19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B7-48E3-9CEE-6921005E19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9B7-48E3-9CEE-6921005E19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9B7-48E3-9CEE-6921005E19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9B7-48E3-9CEE-6921005E195B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4333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14</cp:revision>
  <cp:lastPrinted>2020-02-15T09:30:00Z</cp:lastPrinted>
  <dcterms:created xsi:type="dcterms:W3CDTF">2020-02-10T16:25:00Z</dcterms:created>
  <dcterms:modified xsi:type="dcterms:W3CDTF">2020-02-15T09:54:00Z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