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9.png" ContentType="image/png"/>
  <Override PartName="/word/media/image15.png" ContentType="image/png"/>
  <Override PartName="/word/media/image14.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embeddings/oleObject1.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Foro</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URL</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ab/>
      </w:r>
      <w:r>
        <w:rPr>
          <w:rFonts w:cs="Times New Roman" w:ascii="Times New Roman" w:hAnsi="Times New Roman"/>
          <w:color w:val="000000" w:themeColor="text1"/>
          <w:sz w:val="24"/>
          <w:szCs w:val="24"/>
        </w:rPr>
        <w:t>Repositorio en Github</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URL del vídeo</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Integrantes</w:t>
      </w:r>
    </w:p>
    <w:p>
      <w:pPr>
        <w:pStyle w:val="ListParagraph"/>
        <w:numPr>
          <w:ilvl w:val="0"/>
          <w:numId w:val="1"/>
        </w:numPr>
        <w:suppressAutoHyphens w:val="false"/>
        <w:spacing w:lineRule="auto" w:line="360" w:before="0" w:after="0"/>
        <w:contextualSpacing/>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Oviedo Barriga José Luis</w:t>
        <w:tab/>
        <w:tab/>
        <w:tab/>
        <w:t xml:space="preserve">luoviedo@uv.mx   </w:t>
      </w:r>
    </w:p>
    <w:p>
      <w:pPr>
        <w:pStyle w:val="ListParagraph"/>
        <w:numPr>
          <w:ilvl w:val="0"/>
          <w:numId w:val="1"/>
        </w:numPr>
        <w:suppressAutoHyphens w:val="false"/>
        <w:spacing w:lineRule="auto" w:line="360" w:before="0" w:after="0"/>
        <w:contextualSpacing/>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Barojas Payán Erika</w:t>
        <w:tab/>
        <w:tab/>
        <w:tab/>
        <w:tab/>
        <w:t>ebarojas@uv.mx</w:t>
      </w:r>
    </w:p>
    <w:p>
      <w:pPr>
        <w:pStyle w:val="ListParagraph"/>
        <w:numPr>
          <w:ilvl w:val="0"/>
          <w:numId w:val="1"/>
        </w:numPr>
        <w:suppressAutoHyphens w:val="false"/>
        <w:spacing w:lineRule="auto" w:line="360" w:before="0" w:after="0"/>
        <w:contextualSpacing/>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García Sarmiento José David </w:t>
        <w:tab/>
        <w:tab/>
        <w:t xml:space="preserve">josgarcia@uv.mx </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Descripción (inicio)</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Los niveles de oxigenación en el ser humano juegan un papel de gran importancia en su productividad dentro de cualquier área en la que se desenvuelva.  El presente proyecto tiene como finalidad monitorear a distancia la concentración de dióxido de carbono en lugares cerrados en específico en un aula de clases a través de un sensor de CO2 (Air Quality Detector Module MQ-135 (CO)), este monitoreo permitirá el accionamiento remoto de la ventilación y dispersión del aire en el lugar (ventana y ventilador), hasta que dicha variable alcance un nivel adecuado para los ocupantes.  La adición de un sensor de movimiento (Sensor capacitivo de proximidad NPN NO LJC18A3-B-Z/BX 6-36V), a través del cual se podrá conocer la presencia de personas en todo momento, lo que permitirá incrementar la seguridad del área. </w:t>
      </w:r>
    </w:p>
    <w:p>
      <w:pPr>
        <w:pStyle w:val="ListParagraph"/>
        <w:spacing w:lineRule="auto" w:line="360" w:before="0" w:after="0"/>
        <w:ind w:left="567" w:hanging="0"/>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spacing w:lineRule="auto" w:line="360" w:before="0" w:after="0"/>
        <w:ind w:left="567" w:hanging="0"/>
        <w:contextualSpacing/>
        <w:rPr>
          <w:rFonts w:ascii="Times New Roman" w:hAnsi="Times New Roman" w:cs="Times New Roman"/>
          <w:b/>
          <w:b/>
          <w:color w:val="000000" w:themeColor="text1"/>
          <w:sz w:val="24"/>
          <w:szCs w:val="24"/>
        </w:rPr>
      </w:pPr>
      <w:r>
        <w:rPr/>
        <w:drawing>
          <wp:inline distT="0" distB="0" distL="0" distR="0">
            <wp:extent cx="5612130" cy="1863090"/>
            <wp:effectExtent l="0" t="0" r="0" b="0"/>
            <wp:docPr id="1"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Ciudad Panorama Tablet - Foto gratis en Pixabay"/>
                    <pic:cNvPicPr>
                      <a:picLocks noChangeAspect="1" noChangeArrowheads="1"/>
                    </pic:cNvPicPr>
                  </pic:nvPicPr>
                  <pic:blipFill>
                    <a:blip r:embed="rId2"/>
                    <a:stretch>
                      <a:fillRect/>
                    </a:stretch>
                  </pic:blipFill>
                  <pic:spPr bwMode="auto">
                    <a:xfrm>
                      <a:off x="0" y="0"/>
                      <a:ext cx="5612130" cy="1863090"/>
                    </a:xfrm>
                    <a:prstGeom prst="rect">
                      <a:avLst/>
                    </a:prstGeom>
                  </pic:spPr>
                </pic:pic>
              </a:graphicData>
            </a:graphic>
          </wp:inline>
        </w:drawing>
      </w:r>
    </w:p>
    <w:p>
      <w:pPr>
        <w:pStyle w:val="ListParagraph"/>
        <w:spacing w:lineRule="auto" w:line="360" w:before="0" w:after="0"/>
        <w:ind w:left="567" w:hanging="0"/>
        <w:contextualSpacing/>
        <w:rPr>
          <w:rFonts w:ascii="Times New Roman" w:hAnsi="Times New Roman" w:cs="Times New Roman"/>
          <w:b/>
          <w:b/>
          <w:color w:val="000000" w:themeColor="text1"/>
          <w:sz w:val="24"/>
          <w:szCs w:val="24"/>
        </w:rPr>
      </w:pPr>
      <w:r>
        <w:rPr/>
        <w:drawing>
          <wp:inline distT="0" distB="0" distL="0" distR="0">
            <wp:extent cx="5612130" cy="2499360"/>
            <wp:effectExtent l="0" t="0" r="0" b="0"/>
            <wp:docPr id="2"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Comunicación Internet De - Imagen gratis en Pixabay"/>
                    <pic:cNvPicPr>
                      <a:picLocks noChangeAspect="1" noChangeArrowheads="1"/>
                    </pic:cNvPicPr>
                  </pic:nvPicPr>
                  <pic:blipFill>
                    <a:blip r:embed="rId3"/>
                    <a:stretch>
                      <a:fillRect/>
                    </a:stretch>
                  </pic:blipFill>
                  <pic:spPr bwMode="auto">
                    <a:xfrm>
                      <a:off x="0" y="0"/>
                      <a:ext cx="5612130" cy="2499360"/>
                    </a:xfrm>
                    <a:prstGeom prst="rect">
                      <a:avLst/>
                    </a:prstGeom>
                  </pic:spPr>
                </pic:pic>
              </a:graphicData>
            </a:graphic>
          </wp:inline>
        </w:drawing>
      </w:r>
    </w:p>
    <w:p>
      <w:pPr>
        <w:pStyle w:val="ListParagraph"/>
        <w:spacing w:lineRule="auto" w:line="360" w:before="0" w:after="0"/>
        <w:ind w:left="567" w:hanging="0"/>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Introducción</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El proyecto a desarrollar, lleva como nombre, “Monitoreo y ventilación de espacios cerrados con alta concentración de CO2”, el cual tiene como finalidad la aplicación de conocimientos adquiridos a lo largo del </w:t>
      </w:r>
      <w:r>
        <w:rPr>
          <w:rFonts w:cs="Times New Roman" w:ascii="Times New Roman" w:hAnsi="Times New Roman"/>
          <w:i/>
          <w:color w:val="000000" w:themeColor="text1"/>
          <w:sz w:val="24"/>
          <w:szCs w:val="24"/>
        </w:rPr>
        <w:t xml:space="preserve">Diplomado Curso Internet de las Cosas de Samsung Innovation Campus, </w:t>
      </w:r>
      <w:r>
        <w:rPr>
          <w:rFonts w:cs="Times New Roman" w:ascii="Times New Roman" w:hAnsi="Times New Roman"/>
          <w:color w:val="000000" w:themeColor="text1"/>
          <w:sz w:val="24"/>
          <w:szCs w:val="24"/>
        </w:rPr>
        <w:t>el cual colabora con Código IoT, para generar e impartir entre otras áreas, contenidos de Internet de las Cosas.</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ind w:left="567"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El Internet de las costas o IoT (internet of things) consiste en objetos de uso cotidiano que conectan a internet de manera autónoma, sin interacción humana  </w:t>
      </w:r>
      <w:sdt>
        <w:sdtPr>
          <w:citation/>
        </w:sdtPr>
        <w:sdtContent>
          <w:r>
            <w:rPr/>
            <w:fldChar w:fldCharType="begin"/>
          </w:r>
          <w:r>
            <w:rPr/>
            <w:instrText>CITATION Piz20 \l 2058 </w:instrText>
          </w:r>
          <w:r>
            <w:rPr/>
            <w:fldChar w:fldCharType="separate"/>
          </w:r>
          <w:r>
            <w:rPr/>
            <w:t>(Pizarro Peláez, 2020)</w:t>
          </w:r>
          <w:r>
            <w:rPr/>
            <w:fldChar w:fldCharType="end"/>
          </w:r>
        </w:sdtContent>
      </w:sdt>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rPr>
        <w:t xml:space="preserve">El producto que se desarrolla, permitirá el monitoreo a distancia de la </w:t>
      </w:r>
      <w:r>
        <w:rPr>
          <w:rFonts w:cs="Times New Roman" w:ascii="Times New Roman" w:hAnsi="Times New Roman"/>
          <w:b/>
          <w:color w:val="000000" w:themeColor="text1"/>
          <w:sz w:val="24"/>
          <w:szCs w:val="24"/>
        </w:rPr>
        <w:t>concentración de CO2</w:t>
      </w:r>
      <w:r>
        <w:rPr>
          <w:rFonts w:cs="Times New Roman" w:ascii="Times New Roman" w:hAnsi="Times New Roman"/>
          <w:color w:val="000000" w:themeColor="text1"/>
          <w:sz w:val="24"/>
          <w:szCs w:val="24"/>
        </w:rPr>
        <w:t xml:space="preserve"> en espacios cerrados. Diferentes estudios, avisan que los niveles de dióxido de carbono máximos recomendados en estancias se encuentra entre los 400 ppm y los 800 ppm, sin embargo, la Organización Mundial de la Salud como medida preventiva de la actual pandemia generada por el virus SARS-CoV-2, menciona que los niveles recomendados de concentración de CO2 en espacios cerrados seguros se encuentra entre 400 y 600 ppm, valores que serán considerados como limitantes de accionamiento de la ventana y el ventilador que contiene el proyecto.  </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Las variables anteriores se derivan de la concentración de usuarios en un determinado espacio, es por ello que se adiciona un </w:t>
      </w:r>
      <w:r>
        <w:rPr>
          <w:rFonts w:cs="Times New Roman" w:ascii="Times New Roman" w:hAnsi="Times New Roman"/>
          <w:b/>
          <w:color w:val="000000" w:themeColor="text1"/>
          <w:sz w:val="24"/>
          <w:szCs w:val="24"/>
        </w:rPr>
        <w:t>sensor de presencia</w:t>
      </w:r>
      <w:r>
        <w:rPr>
          <w:rFonts w:cs="Times New Roman" w:ascii="Times New Roman" w:hAnsi="Times New Roman"/>
          <w:color w:val="000000" w:themeColor="text1"/>
          <w:sz w:val="24"/>
          <w:szCs w:val="24"/>
        </w:rPr>
        <w:t xml:space="preserve">, con el cual se analizará la ocupación y uso de la sala, del mismo modo permitirá un método de seguridad del espacio al detectar individuos dentro del área fuera de las horas permitidas. </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El diseño, la programación, la puesta en marcha y la documentación del prototipo permitirá el conocimiento amplio del proyecto. Su aplicación se llevará a cabo en aulas de clases.</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Alcances</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jc w:val="both"/>
        <w:rPr>
          <w:rFonts w:ascii="Times New Roman" w:hAnsi="Times New Roman" w:cs="Times New Roman"/>
          <w:b/>
          <w:b/>
          <w:color w:val="000000" w:themeColor="text1"/>
          <w:sz w:val="24"/>
          <w:szCs w:val="24"/>
        </w:rPr>
      </w:pPr>
      <w:r>
        <w:rPr>
          <w:rFonts w:cs="Times New Roman" w:ascii="Times New Roman" w:hAnsi="Times New Roman"/>
          <w:color w:val="000000" w:themeColor="text1"/>
          <w:sz w:val="24"/>
          <w:szCs w:val="24"/>
        </w:rPr>
        <w:t>Se propone desarrollar un sistema de monitoreo de CO2 y presencia, a través de un sensor de calidad del aire MQ135 (CO2) y un sensor de movimiento proximidad Pir Hcsr501, que permita activar un sistema de ventilación (abrir una ventana y accionar un ventilador) en un espacio cerrado de 86.4 m</w:t>
      </w:r>
      <w:r>
        <w:rPr>
          <w:rFonts w:cs="Times New Roman" w:ascii="Times New Roman" w:hAnsi="Times New Roman"/>
          <w:color w:val="000000" w:themeColor="text1"/>
          <w:sz w:val="24"/>
          <w:szCs w:val="24"/>
          <w:vertAlign w:val="superscript"/>
        </w:rPr>
        <w:t>3</w:t>
      </w:r>
      <w:r>
        <w:rPr>
          <w:rFonts w:cs="Times New Roman" w:ascii="Times New Roman" w:hAnsi="Times New Roman"/>
          <w:color w:val="000000" w:themeColor="text1"/>
          <w:sz w:val="24"/>
          <w:szCs w:val="24"/>
        </w:rPr>
        <w:t xml:space="preserve">, cuando los niveles de dióxido de carbono estén por encima del máximo establecido en el cuidado de la salud. Del mismo modo la detección de presencia dentro del área sujeta de estudio permitirá el cuidado de su infraestructura a través de su activación fuera de los horarios de trabajo establecidos. </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Justificación</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Según el Instituto para la Salud Geoambiental </w:t>
      </w:r>
      <w:sdt>
        <w:sdtPr>
          <w:citation/>
        </w:sdtPr>
        <w:sdtContent>
          <w:r>
            <w:rPr/>
            <w:fldChar w:fldCharType="begin"/>
          </w:r>
          <w:r>
            <w:rPr/>
            <w:instrText>CITATION Ins20 \n  \t  \l 2058 </w:instrText>
          </w:r>
          <w:r>
            <w:rPr/>
            <w:fldChar w:fldCharType="separate"/>
          </w:r>
          <w:r>
            <w:rPr/>
            <w:t>(2020)</w:t>
          </w:r>
          <w:r>
            <w:rPr/>
            <w:fldChar w:fldCharType="end"/>
          </w:r>
        </w:sdtContent>
      </w:sdt>
      <w:r>
        <w:rPr>
          <w:rFonts w:cs="Times New Roman" w:ascii="Times New Roman" w:hAnsi="Times New Roman"/>
          <w:color w:val="000000" w:themeColor="text1"/>
          <w:sz w:val="24"/>
          <w:szCs w:val="24"/>
        </w:rPr>
        <w:t xml:space="preserve">, el dióxido de carbono (CO2) es un gas incoloro e inodoro compuesto por un átomo de carbono y dos de oxígeno en enlaces covalentes. El CO2 forma parte de la naturaleza y es indispensable para la vida en la tierra. Sin embargo, es el principal efecto que produce a la salud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 </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Al igual que la salud, la seguridad en los espacios de trabajo, es de gran importancia, no únicamente para cuidar la integridad de los individuos que la ocupan sino también de la infraestructura que la compone. </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Es por lo anterior, que el proyecto que se propone desarrollar permitirá monitorear a distancia la concentración de dióxido de carbono en lugares cerrados, este monitoreo permitirá el accionamiento remoto de la ventilación y dispersión del aire en el lugar, hasta que dicha variable alcance un nivel adecuado para los ocupantes.  Con el sensor de movimiento se podrá conocer la presencia de personas en todo momento, lo que permitirá incrementar la seguridad del área. </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drawing>
          <wp:inline distT="0" distB="0" distL="0" distR="0">
            <wp:extent cx="3535045" cy="1783715"/>
            <wp:effectExtent l="0" t="0" r="0" b="0"/>
            <wp:docPr id="3"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2" descr=""/>
                    <pic:cNvPicPr>
                      <a:picLocks noChangeAspect="1" noChangeArrowheads="1"/>
                    </pic:cNvPicPr>
                  </pic:nvPicPr>
                  <pic:blipFill>
                    <a:blip r:embed="rId4"/>
                    <a:srcRect l="13596" t="40556" r="34027" b="12215"/>
                    <a:stretch>
                      <a:fillRect/>
                    </a:stretch>
                  </pic:blipFill>
                  <pic:spPr bwMode="auto">
                    <a:xfrm>
                      <a:off x="0" y="0"/>
                      <a:ext cx="3535045" cy="1783715"/>
                    </a:xfrm>
                    <a:prstGeom prst="rect">
                      <a:avLst/>
                    </a:prstGeom>
                  </pic:spPr>
                </pic:pic>
              </a:graphicData>
            </a:graphic>
          </wp:inline>
        </w:drawing>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bookmarkStart w:id="0" w:name="_GoBack"/>
      <w:bookmarkStart w:id="1" w:name="_GoBack"/>
      <w:bookmarkEnd w:id="1"/>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Objetivos:</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ab/>
      </w:r>
    </w:p>
    <w:p>
      <w:pPr>
        <w:pStyle w:val="ListParagraph"/>
        <w:numPr>
          <w:ilvl w:val="1"/>
          <w:numId w:val="3"/>
        </w:numPr>
        <w:suppressAutoHyphens w:val="false"/>
        <w:spacing w:lineRule="auto" w:line="360" w:before="0" w:after="0"/>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General:</w:t>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Desarrollar un prototipo de monitoreo de dióxido de carbono (CO2) y presencia de usuarios (U), en un espacio físico cerrado, que permita controlar su ventilación mediante la activación de una ventana y un ventilador, reduciendo las concentraciones de CO2 en el área sujeta de estudio, favoreciendo la oxigenación del ambiente para con ello prevenir problemas de salud en los ocupantes de zonas como por ejemplo aulas y oficinas.</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1"/>
          <w:numId w:val="3"/>
        </w:numPr>
        <w:suppressAutoHyphens w:val="false"/>
        <w:spacing w:lineRule="auto" w:line="360" w:before="0" w:after="0"/>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ab/>
        <w:t>Específicos:</w:t>
      </w:r>
    </w:p>
    <w:p>
      <w:pPr>
        <w:pStyle w:val="ListParagraph"/>
        <w:numPr>
          <w:ilvl w:val="0"/>
          <w:numId w:val="2"/>
        </w:numPr>
        <w:suppressAutoHyphens w:val="false"/>
        <w:spacing w:lineRule="auto" w:line="360" w:before="0" w:after="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Mejorar los niveles de oxigenación de espacios cerrados, a través de la detección y el análisis de la concentración de CO2 en dicha zona.</w:t>
      </w:r>
    </w:p>
    <w:p>
      <w:pPr>
        <w:pStyle w:val="ListParagraph"/>
        <w:numPr>
          <w:ilvl w:val="0"/>
          <w:numId w:val="2"/>
        </w:numPr>
        <w:suppressAutoHyphens w:val="false"/>
        <w:spacing w:lineRule="auto" w:line="360" w:before="0" w:after="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Mejorar la ergonomía de áreas compartidas, a través del monitoreo de individuos contenidos en un espacio físico. </w:t>
      </w:r>
    </w:p>
    <w:p>
      <w:pPr>
        <w:pStyle w:val="ListParagraph"/>
        <w:numPr>
          <w:ilvl w:val="0"/>
          <w:numId w:val="2"/>
        </w:numPr>
        <w:suppressAutoHyphens w:val="false"/>
        <w:spacing w:lineRule="auto" w:line="360" w:before="0" w:after="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Proporcionar información ocupacional de una determinada zona a un centro de vigilancia, en tiempo real, mediante el establecimiento de un monitoreo de áreas.</w:t>
      </w:r>
    </w:p>
    <w:p>
      <w:pPr>
        <w:pStyle w:val="ListParagraph"/>
        <w:numPr>
          <w:ilvl w:val="0"/>
          <w:numId w:val="2"/>
        </w:numPr>
        <w:suppressAutoHyphens w:val="false"/>
        <w:spacing w:lineRule="auto" w:line="360" w:before="0" w:after="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Prevenir problemas respiratorios de los ocupantes de una determinada zona, evitando el exceso de CO2.</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Lista de materiales y software de funcionamiento</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1"/>
          <w:numId w:val="3"/>
        </w:numPr>
        <w:suppressAutoHyphens w:val="false"/>
        <w:spacing w:lineRule="auto" w:line="360" w:before="0" w:after="0"/>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Lista de materiales.</w:t>
      </w:r>
    </w:p>
    <w:tbl>
      <w:tblPr>
        <w:tblStyle w:val="Tabladecuadrcula1clara"/>
        <w:tblW w:w="5000" w:type="pct"/>
        <w:jc w:val="left"/>
        <w:tblInd w:w="0" w:type="dxa"/>
        <w:tblCellMar>
          <w:top w:w="0" w:type="dxa"/>
          <w:left w:w="108" w:type="dxa"/>
          <w:bottom w:w="0" w:type="dxa"/>
          <w:right w:w="108" w:type="dxa"/>
        </w:tblCellMar>
        <w:tblLook w:val="04a0" w:noHBand="0" w:noVBand="1" w:firstColumn="1" w:lastRow="0" w:lastColumn="0" w:firstRow="1"/>
      </w:tblPr>
      <w:tblGrid>
        <w:gridCol w:w="336"/>
        <w:gridCol w:w="576"/>
        <w:gridCol w:w="4495"/>
        <w:gridCol w:w="3430"/>
      </w:tblGrid>
      <w:tr>
        <w:trPr>
          <w:cnfStyle w:val="100000000000" w:firstRow="1" w:lastRow="0" w:firstColumn="0" w:lastColumn="0" w:oddVBand="0" w:evenVBand="0" w:oddHBand="0" w:evenHBand="0" w:firstRowFirstColumn="0" w:firstRowLastColumn="0" w:lastRowFirstColumn="0" w:lastRowLastColumn="0"/>
        </w:trPr>
        <w:tc>
          <w:tcPr>
            <w:tcW w:w="912"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00000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No.</w:t>
            </w:r>
          </w:p>
        </w:tc>
        <w:tc>
          <w:tcPr>
            <w:tcW w:w="4495" w:type="dxa"/>
            <w:tcBorders>
              <w:bottom w:val="single" w:sz="12" w:space="0" w:color="000000"/>
            </w:tcBorders>
          </w:tcPr>
          <w:p>
            <w:pPr>
              <w:pStyle w:val="Normal"/>
              <w:spacing w:before="0"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Descripción</w:t>
            </w:r>
          </w:p>
        </w:tc>
        <w:tc>
          <w:tcPr>
            <w:tcW w:w="3430" w:type="dxa"/>
            <w:tcBorders>
              <w:bottom w:val="single" w:sz="12" w:space="0" w:color="000000"/>
            </w:tcBorders>
          </w:tcPr>
          <w:p>
            <w:pPr>
              <w:pStyle w:val="Normal"/>
              <w:spacing w:before="0"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Imagen</w:t>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1</w:t>
            </w:r>
          </w:p>
        </w:tc>
        <w:tc>
          <w:tcPr>
            <w:tcW w:w="5071" w:type="dxa"/>
            <w:gridSpan w:val="2"/>
            <w:tcBorders/>
          </w:tcPr>
          <w:p>
            <w:pPr>
              <w:pStyle w:val="Normal"/>
              <w:spacing w:before="0"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Microcontrolador</w:t>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1.1.</w:t>
            </w:r>
          </w:p>
        </w:tc>
        <w:tc>
          <w:tcPr>
            <w:tcW w:w="4495" w:type="dxa"/>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ESP32-CAM CON CÁMARA OV2640 - ESP32 WIFI.</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alimentación: 5VDC</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Wifi 802.11b/g/n, Bluetooth 4.2</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Dimensiones: 27*40.5*6 mm</w:t>
            </w:r>
          </w:p>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drawing>
                <wp:inline distT="0" distB="0" distL="0" distR="0">
                  <wp:extent cx="1440180" cy="144018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1440180" cy="1440180"/>
                          </a:xfrm>
                          <a:prstGeom prst="rect">
                            <a:avLst/>
                          </a:prstGeom>
                        </pic:spPr>
                      </pic:pic>
                    </a:graphicData>
                  </a:graphic>
                </wp:inline>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576" w:type="dxa"/>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1.2.</w:t>
            </w:r>
          </w:p>
        </w:tc>
        <w:tc>
          <w:tcPr>
            <w:tcW w:w="4495" w:type="dxa"/>
            <w:tcBorders/>
            <w:vAlign w:val="center"/>
          </w:tcPr>
          <w:p>
            <w:pPr>
              <w:pStyle w:val="Normal"/>
              <w:suppressAutoHyphens w:val="false"/>
              <w:spacing w:lineRule="auto" w:line="240" w:before="0" w:after="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FTDI TTL USB Serial Convert FT232RL7</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5 volts.</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Puede obtener acceso a señales GND, CTS, VCC, TX, RX y DTR.</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LED indicador de señal de transmisión y recepción.</w:t>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mc:AlternateContent>
                <mc:Choice Requires="wps">
                  <w:drawing>
                    <wp:inline distT="0" distB="0" distL="0" distR="0" wp14:anchorId="320038DF">
                      <wp:extent cx="2029460" cy="1124585"/>
                      <wp:effectExtent l="0" t="0" r="9525" b="0"/>
                      <wp:docPr id="5" name="9D84B0E.tmp"/>
                      <a:graphic xmlns:a="http://schemas.openxmlformats.org/drawingml/2006/main">
                        <a:graphicData uri="http://schemas.openxmlformats.org/drawingml/2006/picture">
                          <pic:pic xmlns:pic="http://schemas.openxmlformats.org/drawingml/2006/picture">
                            <pic:nvPicPr>
                              <pic:cNvPr id="0" name="9D84B0E.tmp" descr=""/>
                              <pic:cNvPicPr/>
                            </pic:nvPicPr>
                            <pic:blipFill>
                              <a:blip r:embed="rId6"/>
                              <a:stretch/>
                            </pic:blipFill>
                            <pic:spPr>
                              <a:xfrm flipH="1" rot="10800000">
                                <a:off x="0" y="0"/>
                                <a:ext cx="2028960" cy="11239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9D84B0E.tmp" stroked="f" style="position:absolute;margin-left:0pt;margin-top:-88.55pt;width:159.7pt;height:88.45pt;rotation:180;mso-position-vertical:top" wp14:anchorId="320038DF" type="shapetype_75">
                      <v:imagedata r:id="rId7" o:detectmouseclick="t"/>
                      <w10:wrap type="none"/>
                      <v:stroke color="#3465a4" joinstyle="round" endcap="flat"/>
                    </v:shape>
                  </w:pict>
                </mc:Fallback>
              </mc:AlternateContent>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576" w:type="dxa"/>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1.3.</w:t>
            </w:r>
          </w:p>
        </w:tc>
        <w:tc>
          <w:tcPr>
            <w:tcW w:w="4495" w:type="dxa"/>
            <w:tcBorders/>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Cable USB to Mini USB.</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Modelo de cable: Cable compatible con arduino nano.</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Conector de entrada USB.</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Conector de salida: Mini-USB</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drawing>
                <wp:inline distT="0" distB="0" distL="0" distR="0">
                  <wp:extent cx="1440180" cy="1440180"/>
                  <wp:effectExtent l="0" t="0" r="0" b="0"/>
                  <wp:docPr id="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6" descr=""/>
                          <pic:cNvPicPr>
                            <a:picLocks noChangeAspect="1" noChangeArrowheads="1"/>
                          </pic:cNvPicPr>
                        </pic:nvPicPr>
                        <pic:blipFill>
                          <a:blip r:embed="rId8"/>
                          <a:stretch>
                            <a:fillRect/>
                          </a:stretch>
                        </pic:blipFill>
                        <pic:spPr bwMode="auto">
                          <a:xfrm>
                            <a:off x="0" y="0"/>
                            <a:ext cx="1440180" cy="1440180"/>
                          </a:xfrm>
                          <a:prstGeom prst="rect">
                            <a:avLst/>
                          </a:prstGeom>
                        </pic:spPr>
                      </pic:pic>
                    </a:graphicData>
                  </a:graphic>
                </wp:inline>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2</w:t>
            </w:r>
          </w:p>
        </w:tc>
        <w:tc>
          <w:tcPr>
            <w:tcW w:w="5071" w:type="dxa"/>
            <w:gridSpan w:val="2"/>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Componentes básicos</w:t>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2.1</w:t>
            </w:r>
          </w:p>
        </w:tc>
        <w:tc>
          <w:tcPr>
            <w:tcW w:w="4495" w:type="dxa"/>
            <w:tcBorders/>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Reley Zong Chuan 845H-1A-C de alta capacidad, 1 polo normalmente abierto.</w:t>
            </w:r>
          </w:p>
          <w:p>
            <w:pPr>
              <w:pStyle w:val="ListParagraph"/>
              <w:numPr>
                <w:ilvl w:val="0"/>
                <w:numId w:val="6"/>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Carga nominal 10A 240VAC</w:t>
            </w:r>
          </w:p>
          <w:p>
            <w:pPr>
              <w:pStyle w:val="ListParagraph"/>
              <w:numPr>
                <w:ilvl w:val="0"/>
                <w:numId w:val="6"/>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Voltaje Nominal </w:t>
            </w:r>
          </w:p>
          <w:p>
            <w:pPr>
              <w:pStyle w:val="ListParagraph"/>
              <w:numPr>
                <w:ilvl w:val="0"/>
                <w:numId w:val="6"/>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Máx. corriente de conmutación 10A</w:t>
            </w:r>
          </w:p>
          <w:p>
            <w:pPr>
              <w:pStyle w:val="ListParagraph"/>
              <w:numPr>
                <w:ilvl w:val="0"/>
                <w:numId w:val="6"/>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Máx. voltaje de conmutación 277VAC</w:t>
            </w:r>
          </w:p>
          <w:p>
            <w:pPr>
              <w:pStyle w:val="ListParagraph"/>
              <w:numPr>
                <w:ilvl w:val="0"/>
                <w:numId w:val="6"/>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Máx. Capacidad de conmutación 2400VA</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drawing>
                <wp:anchor behindDoc="0" distT="0" distB="0" distL="114300" distR="114300" simplePos="0" locked="0" layoutInCell="1" allowOverlap="1" relativeHeight="3">
                  <wp:simplePos x="0" y="0"/>
                  <wp:positionH relativeFrom="column">
                    <wp:posOffset>295275</wp:posOffset>
                  </wp:positionH>
                  <wp:positionV relativeFrom="paragraph">
                    <wp:posOffset>739140</wp:posOffset>
                  </wp:positionV>
                  <wp:extent cx="1457325" cy="739140"/>
                  <wp:effectExtent l="0" t="0" r="0" b="0"/>
                  <wp:wrapSquare wrapText="bothSides"/>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9"/>
                          <a:srcRect l="24778" t="47987" r="27358" b="33807"/>
                          <a:stretch>
                            <a:fillRect/>
                          </a:stretch>
                        </pic:blipFill>
                        <pic:spPr bwMode="auto">
                          <a:xfrm>
                            <a:off x="0" y="0"/>
                            <a:ext cx="1457325" cy="739140"/>
                          </a:xfrm>
                          <a:prstGeom prst="rect">
                            <a:avLst/>
                          </a:prstGeom>
                        </pic:spPr>
                      </pic:pic>
                    </a:graphicData>
                  </a:graphic>
                </wp:anchor>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2.2</w:t>
            </w:r>
          </w:p>
        </w:tc>
        <w:tc>
          <w:tcPr>
            <w:tcW w:w="4495" w:type="dxa"/>
            <w:tcBorders/>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Diodo 1N4004</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Capacidad de alta corriente y baja caída de voltaje directo</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Clasificación de sobrecarga de sobretensión a pico de 30A</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Baja corriente de fuga inversa</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Acabado sin plomo, compatible con RoHS</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inverso máximo de trabajo 400 V</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inverso RMS 280V</w:t>
            </w:r>
          </w:p>
          <w:p>
            <w:pPr>
              <w:pStyle w:val="ListParagraph"/>
              <w:numPr>
                <w:ilvl w:val="0"/>
                <w:numId w:val="7"/>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Corriente de salida rectificada promedio 1A</w:t>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drawing>
                <wp:anchor behindDoc="0" distT="0" distB="0" distL="114300" distR="114300" simplePos="0" locked="0" layoutInCell="1" allowOverlap="1" relativeHeight="2">
                  <wp:simplePos x="0" y="0"/>
                  <wp:positionH relativeFrom="column">
                    <wp:posOffset>247650</wp:posOffset>
                  </wp:positionH>
                  <wp:positionV relativeFrom="paragraph">
                    <wp:posOffset>695325</wp:posOffset>
                  </wp:positionV>
                  <wp:extent cx="1553845" cy="1053465"/>
                  <wp:effectExtent l="0" t="0" r="0" b="0"/>
                  <wp:wrapSquare wrapText="bothSides"/>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10"/>
                          <a:srcRect l="9680" t="15933" r="0" b="22788"/>
                          <a:stretch>
                            <a:fillRect/>
                          </a:stretch>
                        </pic:blipFill>
                        <pic:spPr bwMode="auto">
                          <a:xfrm>
                            <a:off x="0" y="0"/>
                            <a:ext cx="1553845" cy="1053465"/>
                          </a:xfrm>
                          <a:prstGeom prst="rect">
                            <a:avLst/>
                          </a:prstGeom>
                        </pic:spPr>
                      </pic:pic>
                    </a:graphicData>
                  </a:graphic>
                </wp:anchor>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2.3 </w:t>
            </w:r>
          </w:p>
        </w:tc>
        <w:tc>
          <w:tcPr>
            <w:tcW w:w="4495" w:type="dxa"/>
            <w:tcBorders/>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Micro interruptor (Switch) de presión (Push)</w:t>
            </w:r>
          </w:p>
          <w:p>
            <w:pPr>
              <w:pStyle w:val="ListParagraph"/>
              <w:numPr>
                <w:ilvl w:val="0"/>
                <w:numId w:val="8"/>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12 Vcc, </w:t>
            </w:r>
          </w:p>
          <w:p>
            <w:pPr>
              <w:pStyle w:val="ListParagraph"/>
              <w:numPr>
                <w:ilvl w:val="0"/>
                <w:numId w:val="8"/>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50 mA, </w:t>
            </w:r>
          </w:p>
          <w:p>
            <w:pPr>
              <w:pStyle w:val="ListParagraph"/>
              <w:numPr>
                <w:ilvl w:val="0"/>
                <w:numId w:val="8"/>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2 terminales, </w:t>
            </w:r>
          </w:p>
          <w:p>
            <w:pPr>
              <w:pStyle w:val="ListParagraph"/>
              <w:numPr>
                <w:ilvl w:val="0"/>
                <w:numId w:val="8"/>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normalmente abierto (NA). </w:t>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drawing>
                <wp:anchor behindDoc="0" distT="0" distB="0" distL="114300" distR="114300" simplePos="0" locked="0" layoutInCell="1" allowOverlap="1" relativeHeight="4">
                  <wp:simplePos x="0" y="0"/>
                  <wp:positionH relativeFrom="column">
                    <wp:posOffset>437515</wp:posOffset>
                  </wp:positionH>
                  <wp:positionV relativeFrom="paragraph">
                    <wp:posOffset>200025</wp:posOffset>
                  </wp:positionV>
                  <wp:extent cx="1152525" cy="676275"/>
                  <wp:effectExtent l="0" t="0" r="0" b="0"/>
                  <wp:wrapSquare wrapText="bothSides"/>
                  <wp:docPr id="9"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
                          <pic:cNvPicPr>
                            <a:picLocks noChangeAspect="1" noChangeArrowheads="1"/>
                          </pic:cNvPicPr>
                        </pic:nvPicPr>
                        <pic:blipFill>
                          <a:blip r:embed="rId11"/>
                          <a:srcRect l="0" t="19794" r="0" b="21451"/>
                          <a:stretch>
                            <a:fillRect/>
                          </a:stretch>
                        </pic:blipFill>
                        <pic:spPr bwMode="auto">
                          <a:xfrm>
                            <a:off x="0" y="0"/>
                            <a:ext cx="1152525" cy="676275"/>
                          </a:xfrm>
                          <a:prstGeom prst="rect">
                            <a:avLst/>
                          </a:prstGeom>
                        </pic:spPr>
                      </pic:pic>
                    </a:graphicData>
                  </a:graphic>
                </wp:anchor>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3</w:t>
            </w:r>
          </w:p>
        </w:tc>
        <w:tc>
          <w:tcPr>
            <w:tcW w:w="5071" w:type="dxa"/>
            <w:gridSpan w:val="2"/>
            <w:tcBorders/>
            <w:vAlign w:val="center"/>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Sensores </w:t>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3.1.</w:t>
            </w:r>
          </w:p>
        </w:tc>
        <w:tc>
          <w:tcPr>
            <w:tcW w:w="4495" w:type="dxa"/>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Sensor de movimiento, proximidad Pir Hcsr501. </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4.5VDC - 20VDC.</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Rango de detección: 3 a 7 metros, ajustable mediante Trimmer (Sx).</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eastAsia="es-MX"/>
              </w:rPr>
            </w:pPr>
            <w:r>
              <w:rPr>
                <w:rFonts w:cs="Times New Roman" w:ascii="Times New Roman" w:hAnsi="Times New Roman"/>
                <w:color w:val="000000" w:themeColor="text1"/>
                <w:sz w:val="24"/>
                <w:szCs w:val="24"/>
              </w:rPr>
              <w:t>Dimensión: 3.2 cm x 2.4 cm x 1.8 cm (aprox.).</w:t>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drawing>
                <wp:inline distT="0" distB="0" distL="0" distR="0">
                  <wp:extent cx="1440180" cy="1440180"/>
                  <wp:effectExtent l="0" t="0" r="0" b="0"/>
                  <wp:docPr id="10"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descr=""/>
                          <pic:cNvPicPr>
                            <a:picLocks noChangeAspect="1" noChangeArrowheads="1"/>
                          </pic:cNvPicPr>
                        </pic:nvPicPr>
                        <pic:blipFill>
                          <a:blip r:embed="rId12"/>
                          <a:stretch>
                            <a:fillRect/>
                          </a:stretch>
                        </pic:blipFill>
                        <pic:spPr bwMode="auto">
                          <a:xfrm>
                            <a:off x="0" y="0"/>
                            <a:ext cx="1440180" cy="1440180"/>
                          </a:xfrm>
                          <a:prstGeom prst="rect">
                            <a:avLst/>
                          </a:prstGeom>
                        </pic:spPr>
                      </pic:pic>
                    </a:graphicData>
                  </a:graphic>
                </wp:inline>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3.2.</w:t>
            </w:r>
          </w:p>
        </w:tc>
        <w:tc>
          <w:tcPr>
            <w:tcW w:w="4495" w:type="dxa"/>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Air Quality Detector Module MQ-135 (CO).</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5V DC</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Detección de partes por millón: 10ppm~1000ppm</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Dimensión: 3.2 cm x 2.0 cm x 1.8 cm (aprox.).</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drawing>
                <wp:inline distT="0" distB="0" distL="0" distR="0">
                  <wp:extent cx="1440180" cy="1440180"/>
                  <wp:effectExtent l="0" t="0" r="0" b="0"/>
                  <wp:docPr id="11"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
                          <pic:cNvPicPr>
                            <a:picLocks noChangeAspect="1" noChangeArrowheads="1"/>
                          </pic:cNvPicPr>
                        </pic:nvPicPr>
                        <pic:blipFill>
                          <a:blip r:embed="rId13"/>
                          <a:stretch>
                            <a:fillRect/>
                          </a:stretch>
                        </pic:blipFill>
                        <pic:spPr bwMode="auto">
                          <a:xfrm>
                            <a:off x="0" y="0"/>
                            <a:ext cx="1440180" cy="1440180"/>
                          </a:xfrm>
                          <a:prstGeom prst="rect">
                            <a:avLst/>
                          </a:prstGeom>
                        </pic:spPr>
                      </pic:pic>
                    </a:graphicData>
                  </a:graphic>
                </wp:inline>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lang w:val="en-US"/>
              </w:rPr>
            </w:pPr>
            <w:r>
              <w:rPr>
                <w:rFonts w:cs="Times New Roman" w:ascii="Times New Roman" w:hAnsi="Times New Roman"/>
                <w:b w:val="false"/>
                <w:bCs/>
                <w:color w:val="000000" w:themeColor="text1"/>
                <w:sz w:val="24"/>
                <w:szCs w:val="24"/>
                <w:lang w:val="en-US"/>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3.3.</w:t>
            </w:r>
          </w:p>
        </w:tc>
        <w:tc>
          <w:tcPr>
            <w:tcW w:w="4495" w:type="dxa"/>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Sensor Capacitivo NPN NO LJC18A3-B-Z/BX 6-36V.</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6-36VDC.</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Corriente de salida (carga): 300Ma.</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Cuerpo metálico roscado.</w:t>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drawing>
                <wp:inline distT="0" distB="0" distL="0" distR="0">
                  <wp:extent cx="1440180" cy="1440180"/>
                  <wp:effectExtent l="0" t="0" r="0" b="0"/>
                  <wp:docPr id="1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
                          <pic:cNvPicPr>
                            <a:picLocks noChangeAspect="1" noChangeArrowheads="1"/>
                          </pic:cNvPicPr>
                        </pic:nvPicPr>
                        <pic:blipFill>
                          <a:blip r:embed="rId14"/>
                          <a:stretch>
                            <a:fillRect/>
                          </a:stretch>
                        </pic:blipFill>
                        <pic:spPr bwMode="auto">
                          <a:xfrm>
                            <a:off x="0" y="0"/>
                            <a:ext cx="1440180" cy="1440180"/>
                          </a:xfrm>
                          <a:prstGeom prst="rect">
                            <a:avLst/>
                          </a:prstGeom>
                        </pic:spPr>
                      </pic:pic>
                    </a:graphicData>
                  </a:graphic>
                </wp:inline>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3.4.</w:t>
            </w:r>
          </w:p>
        </w:tc>
        <w:tc>
          <w:tcPr>
            <w:tcW w:w="4495" w:type="dxa"/>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Actuador lineal </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Input Voltage: 12 VDC</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Max Load: 1500N/Push</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Speed: 5.7 mm/s</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Stroke Length: 10 inches (250 mm)</w:t>
            </w:r>
          </w:p>
          <w:p>
            <w:pPr>
              <w:pStyle w:val="ListParagraph"/>
              <w:numPr>
                <w:ilvl w:val="0"/>
                <w:numId w:val="4"/>
              </w:numPr>
              <w:suppressAutoHyphens w:val="false"/>
              <w:spacing w:lineRule="auto" w:line="240" w:before="0" w:after="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Duty Cycle: 25%</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object>
                <v:shape id="ole_rId15" style="width:124.5pt;height:125.25pt" o:ole="">
                  <v:imagedata r:id="rId16" o:title=""/>
                </v:shape>
                <o:OLEObject Type="Embed" ProgID="PBrush" ShapeID="ole_rId15" DrawAspect="Content" ObjectID="_1288351312" r:id="rId15"/>
              </w:object>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lang w:val="en-US"/>
              </w:rPr>
            </w:pPr>
            <w:r>
              <w:rPr>
                <w:rFonts w:cs="Times New Roman" w:ascii="Times New Roman" w:hAnsi="Times New Roman"/>
                <w:b/>
                <w:bCs/>
                <w:color w:val="000000" w:themeColor="text1"/>
                <w:sz w:val="24"/>
                <w:szCs w:val="24"/>
                <w:lang w:val="en-US"/>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449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4</w:t>
            </w:r>
          </w:p>
        </w:tc>
        <w:tc>
          <w:tcPr>
            <w:tcW w:w="5071" w:type="dxa"/>
            <w:gridSpan w:val="2"/>
            <w:tcBorders/>
            <w:vAlign w:val="center"/>
          </w:tcPr>
          <w:p>
            <w:pPr>
              <w:pStyle w:val="Normal"/>
              <w:spacing w:before="0"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Dispositivos</w:t>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4.1.</w:t>
            </w:r>
          </w:p>
        </w:tc>
        <w:tc>
          <w:tcPr>
            <w:tcW w:w="4495" w:type="dxa"/>
            <w:tcBorders/>
            <w:vAlign w:val="center"/>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DEBO RELAY 5V Placas de desarrollo - módulo de relé, 5 V, SRD-05VDC-SL-C</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Placa equipada con un relé para cambiar voltajes más altos utilizando una salida de 5 V.</w:t>
            </w:r>
          </w:p>
          <w:p>
            <w:pPr>
              <w:pStyle w:val="ListParagraph"/>
              <w:numPr>
                <w:ilvl w:val="0"/>
                <w:numId w:val="4"/>
              </w:numPr>
              <w:suppressAutoHyphens w:val="false"/>
              <w:spacing w:lineRule="auto" w:line="240" w:before="0" w:after="0"/>
              <w:ind w:left="480" w:hanging="360"/>
              <w:contextualSpacing/>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Rango de tensión: 240 V CA/28 V CC @ 10 A.</w:t>
            </w:r>
          </w:p>
          <w:p>
            <w:pPr>
              <w:pStyle w:val="Normal"/>
              <w:numPr>
                <w:ilvl w:val="0"/>
                <w:numId w:val="4"/>
              </w:numPr>
              <w:suppressAutoHyphens w:val="false"/>
              <w:spacing w:lineRule="auto" w:line="240" w:before="0" w:after="0"/>
              <w:ind w:left="480" w:hanging="36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Voltaje de funcionamiento: 5 V.</w:t>
            </w:r>
          </w:p>
          <w:p>
            <w:pPr>
              <w:pStyle w:val="Normal"/>
              <w:numPr>
                <w:ilvl w:val="0"/>
                <w:numId w:val="4"/>
              </w:numPr>
              <w:suppressAutoHyphens w:val="false"/>
              <w:spacing w:lineRule="auto" w:line="240" w:before="0" w:after="0"/>
              <w:ind w:left="480" w:hanging="36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Dimensiones: 26 x 38 x 18 mm.</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3430" w:type="dxa"/>
            <w:tcBorders/>
          </w:tcPr>
          <w:p>
            <w:pPr>
              <w:pStyle w:val="Normal"/>
              <w:spacing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drawing>
                <wp:inline distT="0" distB="0" distL="0" distR="0">
                  <wp:extent cx="1440180" cy="1440180"/>
                  <wp:effectExtent l="0" t="0" r="0" b="0"/>
                  <wp:docPr id="1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descr=""/>
                          <pic:cNvPicPr>
                            <a:picLocks noChangeAspect="1" noChangeArrowheads="1"/>
                          </pic:cNvPicPr>
                        </pic:nvPicPr>
                        <pic:blipFill>
                          <a:blip r:embed="rId17"/>
                          <a:stretch>
                            <a:fillRect/>
                          </a:stretch>
                        </pic:blipFill>
                        <pic:spPr bwMode="auto">
                          <a:xfrm>
                            <a:off x="0" y="0"/>
                            <a:ext cx="1440180" cy="1440180"/>
                          </a:xfrm>
                          <a:prstGeom prst="rect">
                            <a:avLst/>
                          </a:prstGeom>
                        </pic:spPr>
                      </pic:pic>
                    </a:graphicData>
                  </a:graphic>
                </wp:inline>
              </w:drawing>
            </w:r>
          </w:p>
        </w:tc>
      </w:tr>
      <w:tr>
        <w:trPr/>
        <w:tc>
          <w:tcPr>
            <w:tcW w:w="336"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576"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449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3430"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bl>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1"/>
          <w:numId w:val="3"/>
        </w:numPr>
        <w:suppressAutoHyphens w:val="false"/>
        <w:spacing w:lineRule="auto" w:line="360" w:before="0" w:after="0"/>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Software para su funcionamiento:</w:t>
      </w:r>
    </w:p>
    <w:tbl>
      <w:tblPr>
        <w:tblStyle w:val="Tabladecuadrcula1clara"/>
        <w:tblW w:w="8828" w:type="dxa"/>
        <w:jc w:val="left"/>
        <w:tblInd w:w="0" w:type="dxa"/>
        <w:tblCellMar>
          <w:top w:w="0" w:type="dxa"/>
          <w:left w:w="108" w:type="dxa"/>
          <w:bottom w:w="0" w:type="dxa"/>
          <w:right w:w="108" w:type="dxa"/>
        </w:tblCellMar>
        <w:tblLook w:val="04a0" w:noHBand="0" w:noVBand="1" w:firstColumn="1" w:lastRow="0" w:lastColumn="0" w:firstRow="1"/>
      </w:tblPr>
      <w:tblGrid>
        <w:gridCol w:w="845"/>
        <w:gridCol w:w="3118"/>
        <w:gridCol w:w="4865"/>
      </w:tblGrid>
      <w:tr>
        <w:trPr>
          <w:cnfStyle w:val="100000000000" w:firstRow="1" w:lastRow="0" w:firstColumn="0" w:lastColumn="0" w:oddVBand="0" w:evenVBand="0" w:oddHBand="0" w:evenHBand="0" w:firstRowFirstColumn="0" w:firstRowLastColumn="0" w:lastRowFirstColumn="0" w:lastRowLastColumn="0"/>
        </w:trPr>
        <w:tc>
          <w:tcPr>
            <w:tcW w:w="845" w:type="dxa"/>
            <w:cnfStyle w:val="001000000000" w:firstRow="0" w:lastRow="0" w:firstColumn="1" w:lastColumn="0" w:oddVBand="0" w:evenVBand="0" w:oddHBand="0" w:evenHBand="0" w:firstRowFirstColumn="0" w:firstRowLastColumn="0" w:lastRowFirstColumn="0" w:lastRowLastColumn="0"/>
            <w:tcBorders>
              <w:bottom w:val="single" w:sz="12" w:space="0" w:color="00000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No.</w:t>
            </w:r>
          </w:p>
        </w:tc>
        <w:tc>
          <w:tcPr>
            <w:tcW w:w="3118" w:type="dxa"/>
            <w:tcBorders>
              <w:bottom w:val="single" w:sz="12" w:space="0" w:color="000000"/>
            </w:tcBorders>
          </w:tcPr>
          <w:p>
            <w:pPr>
              <w:pStyle w:val="Normal"/>
              <w:spacing w:before="0"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Software</w:t>
            </w:r>
          </w:p>
        </w:tc>
        <w:tc>
          <w:tcPr>
            <w:tcW w:w="4865" w:type="dxa"/>
            <w:tcBorders>
              <w:bottom w:val="single" w:sz="12" w:space="0" w:color="000000"/>
            </w:tcBorders>
          </w:tcPr>
          <w:p>
            <w:pPr>
              <w:pStyle w:val="Normal"/>
              <w:spacing w:before="0"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Descripción</w:t>
            </w:r>
          </w:p>
        </w:tc>
      </w:tr>
      <w:tr>
        <w:trPr/>
        <w:tc>
          <w:tcPr>
            <w:tcW w:w="84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both"/>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1.</w:t>
            </w:r>
          </w:p>
        </w:tc>
        <w:tc>
          <w:tcPr>
            <w:tcW w:w="3118"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Arduino IDE.</w:t>
            </w:r>
          </w:p>
        </w:tc>
        <w:tc>
          <w:tcPr>
            <w:tcW w:w="486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84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both"/>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2.</w:t>
            </w:r>
          </w:p>
        </w:tc>
        <w:tc>
          <w:tcPr>
            <w:tcW w:w="3118"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MySQL</w:t>
            </w:r>
          </w:p>
        </w:tc>
        <w:tc>
          <w:tcPr>
            <w:tcW w:w="486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84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both"/>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3.</w:t>
            </w:r>
          </w:p>
        </w:tc>
        <w:tc>
          <w:tcPr>
            <w:tcW w:w="3118"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Node-red.</w:t>
            </w:r>
          </w:p>
        </w:tc>
        <w:tc>
          <w:tcPr>
            <w:tcW w:w="486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bl>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Detalles de los componentes</w:t>
      </w:r>
    </w:p>
    <w:tbl>
      <w:tblPr>
        <w:tblStyle w:val="Tabladecuadrcula1clara"/>
        <w:tblW w:w="5000" w:type="pct"/>
        <w:jc w:val="left"/>
        <w:tblInd w:w="0" w:type="dxa"/>
        <w:tblCellMar>
          <w:top w:w="0" w:type="dxa"/>
          <w:left w:w="108" w:type="dxa"/>
          <w:bottom w:w="0" w:type="dxa"/>
          <w:right w:w="108" w:type="dxa"/>
        </w:tblCellMar>
        <w:tblLook w:val="04a0" w:noHBand="0" w:noVBand="1" w:firstColumn="1" w:lastRow="0" w:lastColumn="0" w:firstRow="1"/>
      </w:tblPr>
      <w:tblGrid>
        <w:gridCol w:w="925"/>
        <w:gridCol w:w="1885"/>
        <w:gridCol w:w="6028"/>
      </w:tblGrid>
      <w:tr>
        <w:trPr>
          <w:cnfStyle w:val="100000000000" w:firstRow="1" w:lastRow="0" w:firstColumn="0" w:lastColumn="0" w:oddVBand="0" w:evenVBand="0" w:oddHBand="0" w:evenHBand="0" w:firstRowFirstColumn="0" w:firstRowLastColumn="0" w:lastRowFirstColumn="0" w:lastRowLastColumn="0"/>
        </w:trPr>
        <w:tc>
          <w:tcPr>
            <w:tcW w:w="2810"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00000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Componente</w:t>
            </w:r>
          </w:p>
        </w:tc>
        <w:tc>
          <w:tcPr>
            <w:tcW w:w="6028" w:type="dxa"/>
            <w:tcBorders>
              <w:bottom w:val="single" w:sz="12" w:space="0" w:color="000000"/>
            </w:tcBorders>
          </w:tcPr>
          <w:p>
            <w:pPr>
              <w:pStyle w:val="Normal"/>
              <w:spacing w:before="0"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Descripción</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1</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ESP32-CAM CON CÁMARA OV2640 - ESP32 WIFI.</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Descripción</w:t>
            </w:r>
          </w:p>
        </w:tc>
        <w:tc>
          <w:tcPr>
            <w:tcW w:w="6028" w:type="dxa"/>
            <w:tcBorders/>
          </w:tcPr>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 plataforma </w:t>
            </w:r>
            <w:r>
              <w:rPr>
                <w:rStyle w:val="Strong"/>
                <w:color w:val="000000" w:themeColor="text1"/>
              </w:rPr>
              <w:t>ESP32</w:t>
            </w:r>
            <w:r>
              <w:rPr>
                <w:color w:val="000000" w:themeColor="text1"/>
              </w:rPr>
              <w:t> junto con sus capacidades inalámbricas de WiFi, sumado a la </w:t>
            </w:r>
            <w:r>
              <w:rPr>
                <w:rStyle w:val="Strong"/>
                <w:color w:val="000000" w:themeColor="text1"/>
              </w:rPr>
              <w:t>Cámara OV2640</w:t>
            </w:r>
            <w:r>
              <w:rPr>
                <w:color w:val="000000" w:themeColor="text1"/>
              </w:rPr>
              <w:t>, le permiten hacer streaming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protoboard. Es importante mencionar que a mayor resolución tiene menor cantidad de cuadros por segundo transmitidos (FPS</w:t>
            </w:r>
            <w:r>
              <w:rPr>
                <w:color w:val="000000" w:themeColor="text1"/>
                <w:highlight w:val="yellow"/>
              </w:rPr>
              <w:t xml:space="preserve">) </w:t>
            </w:r>
            <w:sdt>
              <w:sdtPr>
                <w:citation/>
              </w:sdtPr>
              <w:sdtContent>
                <w:r>
                  <w:rPr/>
                  <w:fldChar w:fldCharType="begin"/>
                </w:r>
                <w:r>
                  <w:rPr/>
                  <w:instrText> CITATION Nay21 \l 2058 </w:instrText>
                </w:r>
                <w:r>
                  <w:rPr/>
                  <w:fldChar w:fldCharType="separate"/>
                </w:r>
                <w:r>
                  <w:rPr/>
                  <w:t>(Naylamp Mechatronics SAC, 2021)</w:t>
                </w:r>
                <w:r>
                  <w:rPr/>
                  <w:fldChar w:fldCharType="end"/>
                </w:r>
              </w:sdtContent>
            </w:sdt>
            <w:r>
              <w:rPr>
                <w:color w:val="000000" w:themeColor="text1"/>
              </w:rPr>
              <w:t>.</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Especificaciones técnicas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alimentación: 5VDC.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entradas/salidas(GPIO): 3.3VDC.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SoM: ESP-32S (Ai-Thinker).</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SoC: ESP32 (ESP32-D0WDQ6).</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CPU: Dual core Tensilica Xtensa LX6 (32 bit).</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Wifi 802.11b/g/n, Bluetooth 4.2.</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Antena PCB, también disponible conexión a antena externa.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520KB SRAM interna, 4MB SRAM externa.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Soporta UART/SPI/I2C/PWM/ADC/DAC.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Incluye socket para TF card micro-SD.</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Cámara OV2640.</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Resolución fotos: 1600 x 1200 pixels.</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Resolución vídeo: 1080p30, 720p60 y 640x480p90.</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Incluye LED de flash en placa.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Óptica de 1/4".</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Dimensiones: 27*40.5*6 mm.</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Peso: 20 gramos.</w:t>
            </w:r>
          </w:p>
        </w:tc>
      </w:tr>
      <w:tr>
        <w:trPr>
          <w:trHeight w:val="743" w:hRule="atLeast"/>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Aplicaciones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Cámara de seguridad CCTV.</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Visión artificial embebida.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4"/>
                <w:szCs w:val="24"/>
                <w:lang w:eastAsia="es-MX"/>
              </w:rPr>
            </w:pPr>
            <w:r>
              <w:rPr>
                <w:rFonts w:cs="Times New Roman" w:ascii="Times New Roman" w:hAnsi="Times New Roman"/>
                <w:color w:val="000000" w:themeColor="text1"/>
                <w:sz w:val="24"/>
                <w:szCs w:val="24"/>
              </w:rPr>
              <w:t>Visión remota para robots móviles.</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2</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FTDI TTL USB Serial Convert FT232RL7</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lang w:val="en-US"/>
              </w:rPr>
            </w:pPr>
            <w:r>
              <w:rPr>
                <w:rFonts w:cs="Times New Roman" w:ascii="Times New Roman" w:hAnsi="Times New Roman"/>
                <w:b/>
                <w:bCs/>
                <w:color w:val="000000" w:themeColor="text1"/>
                <w:sz w:val="24"/>
                <w:szCs w:val="24"/>
                <w:lang w:val="en-US"/>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b/>
                <w:color w:val="000000" w:themeColor="text1"/>
                <w:sz w:val="24"/>
                <w:szCs w:val="24"/>
                <w:lang w:val="en-US"/>
              </w:rPr>
              <w:t>Descripción</w:t>
            </w:r>
          </w:p>
        </w:tc>
        <w:tc>
          <w:tcPr>
            <w:tcW w:w="6028" w:type="dxa"/>
            <w:tcBorders/>
          </w:tcPr>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Convertidor USB Serial FTDI es el programador más habitual es el modelo FT232R de la compañía FTDI (Future Technology Devices International).</w:t>
            </w:r>
          </w:p>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Esta placa convierte la conexión USB en los 5 voltios TX y RX que puedes conectar directamente a la placa Arduino Ethernet o cualquier otras placas, a través de un cable para programación compatible FTDI.</w:t>
            </w:r>
          </w:p>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Cuenta con el Atmega8U2 programado como un convertidor desde USB a serial. Este chip se encuentra en la Arduino Uno. El módulo USB serial dispone de una interfaz ISCP, lo que permite reprogramar el chip cuando se coloca en DFU mode. Los pines del conector son compatibles con el estándar FTDI </w:t>
            </w:r>
            <w:sdt>
              <w:sdtPr>
                <w:citation/>
              </w:sdtPr>
              <w:sdtContent>
                <w:r>
                  <w:rPr/>
                  <w:fldChar w:fldCharType="begin"/>
                </w:r>
                <w:r>
                  <w:rPr/>
                  <w:instrText> CITATION UNI20 \l 2058 </w:instrText>
                </w:r>
                <w:r>
                  <w:rPr/>
                  <w:fldChar w:fldCharType="separate"/>
                </w:r>
                <w:r>
                  <w:rPr/>
                  <w:t>(UNIT Electronics, 2020)</w:t>
                </w:r>
                <w:r>
                  <w:rPr/>
                  <w:fldChar w:fldCharType="end"/>
                </w:r>
              </w:sdtContent>
            </w:sdt>
            <w:r>
              <w:rPr>
                <w:color w:val="000000" w:themeColor="text1"/>
                <w:highlight w:val="yellow"/>
              </w:rPr>
              <w:t>.</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b/>
                <w:color w:val="000000" w:themeColor="text1"/>
                <w:sz w:val="24"/>
                <w:szCs w:val="24"/>
                <w:lang w:val="en-US"/>
              </w:rPr>
              <w:t>Específicaciones técnicas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5 volts.</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Puede obtener acceso a señales GND, CTS, VCC, TX, RX y DTR.</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El protocolo es manejado por entero en el chip, no se requiere programación de firmware específica para USB.</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La interfaz UART soporta 7 u 8 bits de datos, 1 ó 2 bits de parada, y paridad par/impar/marca/espacio/sin paridad</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Operación a 3.3 V o 5 V configurable mediante jumper</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USB 2.0 Full speed</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Buffer de recepción de 128 Bytes y de transmisión de 256 bytes</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LED indicador de señal de transmisión y recepción</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rPr>
              <w:t>Peso: 5 gm</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2.</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Reley Zong Chuan 845H-1A-C de alta capacidad, 1 polo normalmente abierto</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jc w:val="center"/>
              <w:rPr>
                <w:rFonts w:ascii="Times New Roman" w:hAnsi="Times New Roman" w:cs="Times New Roman"/>
                <w:b w:val="false"/>
                <w:b w:val="false"/>
                <w:bCs w:val="false"/>
                <w:color w:val="000000" w:themeColor="text1"/>
                <w:sz w:val="24"/>
                <w:szCs w:val="24"/>
              </w:rPr>
            </w:pPr>
            <w:r>
              <w:rPr>
                <w:rFonts w:cs="Times New Roman" w:ascii="Times New Roman" w:hAnsi="Times New Roman"/>
                <w:b/>
                <w:bCs/>
                <w:color w:val="000000" w:themeColor="text1"/>
                <w:sz w:val="24"/>
                <w:szCs w:val="24"/>
              </w:rPr>
              <w:tab/>
            </w:r>
          </w:p>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Descripción</w:t>
            </w:r>
          </w:p>
        </w:tc>
        <w:tc>
          <w:tcPr>
            <w:tcW w:w="6028" w:type="dxa"/>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Relés de PCB en miniatura de bajo costo y bajo perfil, disponibles pines de 3,5 mm y 5 mm..</w:t>
            </w:r>
          </w:p>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Aplicación de propósito general que incluye UPS, energía controles de suministro, electrodomésticos de elemento de calefacción</w:t>
            </w:r>
          </w:p>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controles, control de motores para control de acceso, etc.</w:t>
            </w:r>
          </w:p>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 pueden ofrecer tomas tipo placa de PC y clips de sujeción</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 relé para aplicación de control de automatización.</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Especificaciones técnicas</w:t>
            </w:r>
          </w:p>
        </w:tc>
        <w:tc>
          <w:tcPr>
            <w:tcW w:w="6028" w:type="dxa"/>
            <w:tcBorders/>
          </w:tcPr>
          <w:p>
            <w:pPr>
              <w:pStyle w:val="ListParagraph"/>
              <w:numPr>
                <w:ilvl w:val="0"/>
                <w:numId w:val="9"/>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Aprobado por UL/CUL, TUV.</w:t>
            </w:r>
          </w:p>
          <w:p>
            <w:pPr>
              <w:pStyle w:val="ListParagraph"/>
              <w:numPr>
                <w:ilvl w:val="0"/>
                <w:numId w:val="9"/>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Alta calificación 12A SPDT, 8A DPDT.</w:t>
            </w:r>
          </w:p>
          <w:p>
            <w:pPr>
              <w:pStyle w:val="ListParagraph"/>
              <w:numPr>
                <w:ilvl w:val="0"/>
                <w:numId w:val="9"/>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Bobina estándar de 700 mW</w:t>
            </w:r>
          </w:p>
          <w:p>
            <w:pPr>
              <w:pStyle w:val="ListParagraph"/>
              <w:numPr>
                <w:ilvl w:val="0"/>
                <w:numId w:val="9"/>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bobina de alta sensibilidad de 530 mW.</w:t>
            </w:r>
          </w:p>
          <w:p>
            <w:pPr>
              <w:pStyle w:val="ListParagraph"/>
              <w:numPr>
                <w:ilvl w:val="0"/>
                <w:numId w:val="9"/>
              </w:numPr>
              <w:suppressAutoHyphens w:val="false"/>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Contacto SPNC, SPNO, SPDT, DPNO, DPNC, DPDT</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lang w:val="en-US"/>
              </w:rPr>
            </w:pPr>
            <w:r>
              <w:rPr>
                <w:rFonts w:cs="Times New Roman" w:ascii="Times New Roman" w:hAnsi="Times New Roman"/>
                <w:b/>
                <w:bCs/>
                <w:color w:val="000000" w:themeColor="text1"/>
                <w:sz w:val="24"/>
                <w:szCs w:val="24"/>
                <w:lang w:val="en-US"/>
              </w:rPr>
            </w:r>
          </w:p>
        </w:tc>
        <w:tc>
          <w:tcPr>
            <w:tcW w:w="7913" w:type="dxa"/>
            <w:gridSpan w:val="2"/>
            <w:tcBorders/>
          </w:tcPr>
          <w:p>
            <w:pPr>
              <w:pStyle w:val="Normal"/>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Diodo 1N4004</w:t>
            </w:r>
          </w:p>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Descripción</w:t>
            </w:r>
          </w:p>
        </w:tc>
        <w:tc>
          <w:tcPr>
            <w:tcW w:w="6028"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Diodo Rectificador 1N4004 consiste en permitir el flujo de energía eléctrica en un solo sentido, por lo cual se comporta de dos maneras: Polarización directa: permitiendo el paso de la corriente eléctrica. Polarización inversa: impidiendo el paso de la corriente eléctrica. </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Especificaciones técnicas</w:t>
            </w:r>
          </w:p>
        </w:tc>
        <w:tc>
          <w:tcPr>
            <w:tcW w:w="6028"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2.</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Sensor de movimiento, proximidad Pir Hcsr501 </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Descripción</w:t>
            </w:r>
          </w:p>
        </w:tc>
        <w:tc>
          <w:tcPr>
            <w:tcW w:w="6028" w:type="dxa"/>
            <w:tcBorders/>
          </w:tcPr>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Los sensores PIR tienen como función detector movimiento (de personas), este módulo contiene un sensor Piroeléctrico, el cual puede detectar cambios de radiación infrarroja. El módulo PIR HC-SR501 contiene: </w:t>
            </w:r>
            <w:r>
              <w:rPr>
                <w:i/>
                <w:color w:val="000000" w:themeColor="text1"/>
              </w:rPr>
              <w:t>a)</w:t>
            </w:r>
            <w:r>
              <w:rPr>
                <w:color w:val="000000" w:themeColor="text1"/>
              </w:rPr>
              <w:t xml:space="preserve"> 2 potenciómetros que permiten regular la sensibilidad y el tiempo de duración del pulso, y </w:t>
            </w:r>
            <w:r>
              <w:rPr>
                <w:i/>
                <w:color w:val="000000" w:themeColor="text1"/>
              </w:rPr>
              <w:t>b)</w:t>
            </w:r>
            <w:r>
              <w:rPr>
                <w:color w:val="000000" w:themeColor="text1"/>
              </w:rPr>
              <w:t xml:space="preserve"> jumpers para configurar el modo de la señal de salida </w:t>
            </w:r>
            <w:sdt>
              <w:sdtPr>
                <w:citation/>
              </w:sdtPr>
              <w:sdtContent>
                <w:r>
                  <w:rPr/>
                  <w:fldChar w:fldCharType="begin"/>
                </w:r>
                <w:r>
                  <w:rPr/>
                  <w:instrText> CITATION Nay21 \l 2058 </w:instrText>
                </w:r>
                <w:r>
                  <w:rPr/>
                  <w:fldChar w:fldCharType="separate"/>
                </w:r>
                <w:r>
                  <w:rPr/>
                  <w:t>(Naylamp Mechatronics SAC, 2021)</w:t>
                </w:r>
                <w:r>
                  <w:rPr/>
                  <w:fldChar w:fldCharType="end"/>
                </w:r>
              </w:sdtContent>
            </w:sdt>
            <w:r>
              <w:rPr>
                <w:color w:val="000000" w:themeColor="text1"/>
                <w:highlight w:val="yellow"/>
              </w:rPr>
              <w:t>.</w:t>
            </w:r>
            <w:r>
              <w:rPr>
                <w:color w:val="000000" w:themeColor="text1"/>
              </w:rPr>
              <w:t xml:space="preserve">  </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Especificaciones técnicas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4.5VDC - 20VDC.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Consumo de corriente en reposo: &lt;50uA.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salida: 3.3V (alto) / 0V (bajo).</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Rango de detección: 3 a 7 metros, ajustable mediante Trimmer (Sx).</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Angulo de detección: &lt;100º (cono).</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Tiempo de retardo: 5-200 S (puede ser ajustado (Tx), por defecto 5S +-3%).</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Tiempo de bloqueo: 2.5 S (por defecto).</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Temperatura de trabajo: -20ºC hasta 80ºC.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Dimensión: 3.2 cm x 2.4 cm x 1.8 cm (aprox.).</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Redisparo configurable mediante jumper de soldadura.</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Aplicaciones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Productos de Seguridad.</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Iluminación Automática.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Automatización y control industrial.</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Puertas y timbres automáticos.</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Juguetes .</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3.</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Air Quality Detector Module MQ-135 (CO)</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lang w:val="en-US"/>
              </w:rPr>
            </w:pPr>
            <w:r>
              <w:rPr>
                <w:rFonts w:cs="Times New Roman" w:ascii="Times New Roman" w:hAnsi="Times New Roman"/>
                <w:b w:val="false"/>
                <w:bCs/>
                <w:color w:val="000000" w:themeColor="text1"/>
                <w:sz w:val="24"/>
                <w:szCs w:val="24"/>
                <w:lang w:val="en-US"/>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Descripción</w:t>
            </w:r>
          </w:p>
        </w:tc>
        <w:tc>
          <w:tcPr>
            <w:tcW w:w="6028" w:type="dxa"/>
            <w:tcBorders/>
          </w:tcPr>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 </w:t>
            </w:r>
            <w:sdt>
              <w:sdtPr>
                <w:citation/>
              </w:sdtPr>
              <w:sdtContent>
                <w:r>
                  <w:rPr/>
                  <w:fldChar w:fldCharType="begin"/>
                </w:r>
                <w:r>
                  <w:rPr/>
                  <w:instrText> CITATION Nay21 \l 2058 </w:instrText>
                </w:r>
                <w:r>
                  <w:rPr/>
                  <w:fldChar w:fldCharType="separate"/>
                </w:r>
                <w:r>
                  <w:rPr/>
                  <w:t>(Naylamp Mechatronics SAC, 2021)</w:t>
                </w:r>
                <w:r>
                  <w:rPr/>
                  <w:fldChar w:fldCharType="end"/>
                </w:r>
              </w:sdtContent>
            </w:sdt>
            <w:r>
              <w:rPr>
                <w:color w:val="000000" w:themeColor="text1"/>
                <w:highlight w:val="yellow"/>
              </w:rPr>
              <w:t>.</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Especificaciones técnicas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operación: 5V DC.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Corriente de operación: 150mA.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Potencia de consumo: 800mW.</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Tiempo de precalentemiento: 20 segundos.</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Resistencia de carga: Potenciómetro (Ajustable).</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Detección de partes por millón: 10ppm~1000ppm.</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Concentración detectable: Amoniaco, sulfuro, benceno, humo.</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Concentración de oxígeno: 2%~21%.</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Humedad de operación: &lt;95%RH.</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Temperatura de operación: -20°C~70°C.</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b w:val="false"/>
                <w:b w:val="false"/>
                <w:color w:val="000000" w:themeColor="text1"/>
                <w:sz w:val="24"/>
                <w:szCs w:val="24"/>
              </w:rPr>
            </w:pPr>
            <w:r>
              <w:rPr>
                <w:rFonts w:cs="Times New Roman" w:ascii="Times New Roman" w:hAnsi="Times New Roman"/>
                <w:b w:val="false"/>
                <w:bCs/>
                <w:color w:val="000000" w:themeColor="text1"/>
                <w:sz w:val="24"/>
                <w:szCs w:val="24"/>
              </w:rPr>
              <w:t>4.</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Sensor capacitivo de proximidad NPN NO LJC18A3-B-Z/BX 6-36V.</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Descripción</w:t>
            </w:r>
          </w:p>
        </w:tc>
        <w:tc>
          <w:tcPr>
            <w:tcW w:w="6028" w:type="dxa"/>
            <w:tcBorders/>
          </w:tcPr>
          <w:p>
            <w:pPr>
              <w:pStyle w:val="NormalWeb"/>
              <w:shd w:val="clear" w:color="auto" w:fill="FFFFFF"/>
              <w:spacing w:beforeAutospacing="0" w:before="280" w:afterAutospacing="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distancia, únicamente muestra estados on/off de forma similar a un interruptor </w:t>
            </w:r>
            <w:sdt>
              <w:sdtPr>
                <w:citation/>
              </w:sdtPr>
              <w:sdtContent>
                <w:r>
                  <w:rPr/>
                  <w:fldChar w:fldCharType="begin"/>
                </w:r>
                <w:r>
                  <w:rPr/>
                  <w:instrText> CITATION CDt22 \l 2058 </w:instrText>
                </w:r>
                <w:r>
                  <w:rPr/>
                  <w:fldChar w:fldCharType="separate"/>
                </w:r>
                <w:r>
                  <w:rPr/>
                  <w:t>(C&amp;D tecHNologia, 2022)</w:t>
                </w:r>
                <w:r>
                  <w:rPr/>
                  <w:fldChar w:fldCharType="end"/>
                </w:r>
              </w:sdtContent>
            </w:sdt>
            <w:r>
              <w:rPr>
                <w:color w:val="000000" w:themeColor="text1"/>
                <w:highlight w:val="yellow"/>
              </w:rPr>
              <w:t>.</w:t>
            </w:r>
            <w:r>
              <w:rPr>
                <w:color w:val="000000" w:themeColor="text1"/>
                <w:shd w:fill="FFFFFF" w:val="clear"/>
              </w:rPr>
              <w:t> </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Especificaciones técnicas.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Modelo: LJC18A3-B-Z / BX</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Método de detección: Capacitivo</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Forma: diámetro 18 mm cilindro</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Distancia de detección: 10mm</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Voltaje de funcionamiento: 6-36V DC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Corriente de salida: 300 mA</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Salida: 3 hilos, normalmente abierto, NPN</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Peso: 90g</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5.</w:t>
            </w:r>
          </w:p>
        </w:tc>
        <w:tc>
          <w:tcPr>
            <w:tcW w:w="7913" w:type="dxa"/>
            <w:gridSpan w:val="2"/>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Actuador lineal</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Descripción</w:t>
            </w:r>
          </w:p>
        </w:tc>
        <w:tc>
          <w:tcPr>
            <w:tcW w:w="6028"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eastAsia="Times New Roman" w:cs="Times New Roman" w:ascii="Times New Roman" w:hAnsi="Times New Roman"/>
                <w:color w:val="000000" w:themeColor="text1"/>
                <w:sz w:val="24"/>
                <w:szCs w:val="24"/>
                <w:lang w:eastAsia="es-MX"/>
              </w:rPr>
              <w:t>Un actuador lineal eléctrico es un dispositivo que convierte el movimiento rotatorio de un motor en movimiento lineal. Se puede integrar en cualquier equipo para empujar, tirar, levantar, bajar, posicionar o girar una carga.</w:t>
            </w:r>
          </w:p>
        </w:tc>
      </w:tr>
      <w:tr>
        <w:trPr/>
        <w:tc>
          <w:tcPr>
            <w:tcW w:w="925"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160"/>
              <w:jc w:val="center"/>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r>
          </w:p>
        </w:tc>
        <w:tc>
          <w:tcPr>
            <w:tcW w:w="1885" w:type="dxa"/>
            <w:tcBorders/>
          </w:tcPr>
          <w:p>
            <w:pPr>
              <w:pStyle w:val="Normal"/>
              <w:spacing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Especificaciones técnicas</w:t>
            </w:r>
          </w:p>
        </w:tc>
        <w:tc>
          <w:tcPr>
            <w:tcW w:w="6028" w:type="dxa"/>
            <w:tcBorders/>
          </w:tcPr>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Input Voltage: 12 VDC</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Max Load: 1500N/Push</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Speed: 5.7 mm/s</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Stroke Length: 10 inches (250 mm)</w:t>
            </w:r>
          </w:p>
          <w:p>
            <w:pPr>
              <w:pStyle w:val="ListParagraph"/>
              <w:numPr>
                <w:ilvl w:val="0"/>
                <w:numId w:val="5"/>
              </w:numPr>
              <w:suppressAutoHyphens w:val="false"/>
              <w:spacing w:lineRule="auto" w:line="240" w:before="0" w:after="0"/>
              <w:ind w:left="374" w:hanging="374"/>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Duty Cycle: 25%</w:t>
            </w:r>
          </w:p>
        </w:tc>
      </w:tr>
    </w:tbl>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Circuitos a realizar</w:t>
      </w:r>
    </w:p>
    <w:p>
      <w:pPr>
        <w:pStyle w:val="ListParagraph"/>
        <w:numPr>
          <w:ilvl w:val="0"/>
          <w:numId w:val="3"/>
        </w:numPr>
        <w:spacing w:lineRule="auto" w:line="360" w:before="0" w:after="0"/>
        <w:contextualSpacing/>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El circuito desarrollado a partir de los componentes presentados en la Tabla ___  se presentan en el Figura _____</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Funcionamiento esperado</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Los datos 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enviara una señal a ______________ mediante la cual se abrirá el sistema de ventilación, es decir se abrirá la ventana y se activará el ventilador.   Cuando el nivel de CO2 sea menor a ppp, se apagará el sistema de ventilación, se cerrará la ventana y se apagará el ventilador.</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ON: </w:t>
        <w:tab/>
      </w:r>
    </w:p>
    <w:p>
      <w:pPr>
        <w:pStyle w:val="Normal"/>
        <w:spacing w:lineRule="auto" w:line="360" w:before="0" w:after="0"/>
        <w:ind w:firstLine="708"/>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Ventana abierta.</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Ventilador en funcionamiento.</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OFF:</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Ventana cerrada.</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Ventilador apagado.</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Programa</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Instrucciones de operación del proyecto</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Fotografías del proyecto funcional</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Conclusiones y trabajos futuros</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Bibliografía</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ListParagraph"/>
        <w:numPr>
          <w:ilvl w:val="0"/>
          <w:numId w:val="3"/>
        </w:numPr>
        <w:suppressAutoHyphens w:val="false"/>
        <w:spacing w:lineRule="auto" w:line="360" w:before="0" w:after="0"/>
        <w:ind w:left="567" w:hanging="567"/>
        <w:contextualSpacing/>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Formato Kardex IoT</w:t>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360" w:before="0" w:after="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before="0" w:after="160"/>
        <w:rPr>
          <w:rFonts w:ascii="Times New Roman" w:hAnsi="Times New Roman" w:cs="Times New Roman"/>
          <w:color w:val="000000" w:themeColor="text1"/>
          <w:sz w:val="24"/>
          <w:szCs w:val="24"/>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1">
    <w:name w:val="Heading 1"/>
    <w:basedOn w:val="Normal"/>
    <w:link w:val="Ttulo1Car"/>
    <w:uiPriority w:val="9"/>
    <w:qFormat/>
    <w:rsid w:val="007a4e7a"/>
    <w:pPr>
      <w:spacing w:lineRule="auto" w:line="240" w:beforeAutospacing="1" w:afterAutospacing="1"/>
      <w:outlineLvl w:val="0"/>
    </w:pPr>
    <w:rPr>
      <w:rFonts w:ascii="Times New Roman" w:hAnsi="Times New Roman" w:eastAsia="Times New Roman" w:cs="Times New Roman"/>
      <w:b/>
      <w:bCs/>
      <w:kern w:val="2"/>
      <w:sz w:val="48"/>
      <w:szCs w:val="48"/>
      <w:lang w:eastAsia="es-MX"/>
    </w:rPr>
  </w:style>
  <w:style w:type="character" w:styleId="DefaultParagraphFont" w:default="1">
    <w:name w:val="Default Paragraph Font"/>
    <w:uiPriority w:val="1"/>
    <w:unhideWhenUsed/>
    <w:qFormat/>
    <w:rPr/>
  </w:style>
  <w:style w:type="character" w:styleId="Annotationreference">
    <w:name w:val="annotation reference"/>
    <w:basedOn w:val="DefaultParagraphFont"/>
    <w:uiPriority w:val="99"/>
    <w:semiHidden/>
    <w:unhideWhenUsed/>
    <w:qFormat/>
    <w:rsid w:val="008915d5"/>
    <w:rPr>
      <w:sz w:val="16"/>
      <w:szCs w:val="16"/>
    </w:rPr>
  </w:style>
  <w:style w:type="character" w:styleId="TextocomentarioCar" w:customStyle="1">
    <w:name w:val="Texto comentario Car"/>
    <w:basedOn w:val="DefaultParagraphFont"/>
    <w:link w:val="Textocomentario"/>
    <w:uiPriority w:val="99"/>
    <w:qFormat/>
    <w:rsid w:val="008915d5"/>
    <w:rPr>
      <w:rFonts w:ascii="Liberation Serif" w:hAnsi="Liberation Serif" w:eastAsia="Noto Sans CJK SC Regular" w:cs="Mangal"/>
      <w:kern w:val="2"/>
      <w:sz w:val="20"/>
      <w:szCs w:val="18"/>
      <w:lang w:eastAsia="zh-CN" w:bidi="hi-IN"/>
    </w:rPr>
  </w:style>
  <w:style w:type="character" w:styleId="EnlacedeInternet" w:customStyle="1">
    <w:name w:val="Enlace de Internet"/>
    <w:basedOn w:val="DefaultParagraphFont"/>
    <w:uiPriority w:val="99"/>
    <w:semiHidden/>
    <w:unhideWhenUsed/>
    <w:rsid w:val="005e3387"/>
    <w:rPr>
      <w:color w:val="0000FF"/>
      <w:u w:val="single"/>
    </w:rPr>
  </w:style>
  <w:style w:type="character" w:styleId="TextodegloboCar" w:customStyle="1">
    <w:name w:val="Texto de globo Car"/>
    <w:basedOn w:val="DefaultParagraphFont"/>
    <w:link w:val="Textodeglobo"/>
    <w:uiPriority w:val="99"/>
    <w:semiHidden/>
    <w:qFormat/>
    <w:rsid w:val="00493143"/>
    <w:rPr>
      <w:rFonts w:ascii="Segoe UI" w:hAnsi="Segoe UI" w:cs="Segoe UI"/>
      <w:sz w:val="18"/>
      <w:szCs w:val="18"/>
    </w:rPr>
  </w:style>
  <w:style w:type="character" w:styleId="Strong">
    <w:name w:val="Strong"/>
    <w:basedOn w:val="DefaultParagraphFont"/>
    <w:uiPriority w:val="22"/>
    <w:qFormat/>
    <w:rsid w:val="00312dad"/>
    <w:rPr>
      <w:b/>
      <w:bCs/>
    </w:rPr>
  </w:style>
  <w:style w:type="character" w:styleId="AsuntodelcomentarioCar" w:customStyle="1">
    <w:name w:val="Asunto del comentario Car"/>
    <w:basedOn w:val="TextocomentarioCar"/>
    <w:link w:val="Asuntodelcomentario"/>
    <w:uiPriority w:val="99"/>
    <w:semiHidden/>
    <w:qFormat/>
    <w:rsid w:val="0087014a"/>
    <w:rPr>
      <w:rFonts w:ascii="Liberation Serif" w:hAnsi="Liberation Serif" w:eastAsia="Noto Sans CJK SC Regular" w:cs="Mangal"/>
      <w:b/>
      <w:bCs/>
      <w:kern w:val="2"/>
      <w:sz w:val="20"/>
      <w:szCs w:val="20"/>
      <w:lang w:eastAsia="zh-CN" w:bidi="hi-IN"/>
    </w:rPr>
  </w:style>
  <w:style w:type="character" w:styleId="Ttulo1Car" w:customStyle="1">
    <w:name w:val="Título 1 Car"/>
    <w:basedOn w:val="DefaultParagraphFont"/>
    <w:link w:val="Ttulo1"/>
    <w:uiPriority w:val="9"/>
    <w:qFormat/>
    <w:rsid w:val="007a4e7a"/>
    <w:rPr>
      <w:rFonts w:ascii="Times New Roman" w:hAnsi="Times New Roman" w:eastAsia="Times New Roman" w:cs="Times New Roman"/>
      <w:b/>
      <w:bCs/>
      <w:kern w:val="2"/>
      <w:sz w:val="48"/>
      <w:szCs w:val="48"/>
      <w:lang w:eastAsia="es-M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general">
    <w:name w:val="Title"/>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bc4f5e"/>
    <w:pPr>
      <w:spacing w:before="0" w:after="160"/>
      <w:ind w:left="720" w:hanging="0"/>
      <w:contextualSpacing/>
    </w:pPr>
    <w:rPr/>
  </w:style>
  <w:style w:type="paragraph" w:styleId="Annotationtext">
    <w:name w:val="annotation text"/>
    <w:basedOn w:val="Normal"/>
    <w:link w:val="TextocomentarioCar"/>
    <w:uiPriority w:val="99"/>
    <w:unhideWhenUsed/>
    <w:qFormat/>
    <w:rsid w:val="008915d5"/>
    <w:pPr>
      <w:spacing w:lineRule="auto" w:line="240" w:before="0" w:after="0"/>
      <w:textAlignment w:val="baseline"/>
    </w:pPr>
    <w:rPr>
      <w:rFonts w:ascii="Liberation Serif" w:hAnsi="Liberation Serif" w:eastAsia="Noto Sans CJK SC Regular" w:cs="Mangal"/>
      <w:kern w:val="2"/>
      <w:sz w:val="20"/>
      <w:szCs w:val="18"/>
      <w:lang w:eastAsia="zh-CN" w:bidi="hi-IN"/>
    </w:rPr>
  </w:style>
  <w:style w:type="paragraph" w:styleId="BalloonText">
    <w:name w:val="Balloon Text"/>
    <w:basedOn w:val="Normal"/>
    <w:link w:val="TextodegloboCar"/>
    <w:uiPriority w:val="99"/>
    <w:semiHidden/>
    <w:unhideWhenUsed/>
    <w:qFormat/>
    <w:rsid w:val="00493143"/>
    <w:pPr>
      <w:spacing w:lineRule="auto" w:line="240" w:before="0" w:after="0"/>
    </w:pPr>
    <w:rPr>
      <w:rFonts w:ascii="Segoe UI" w:hAnsi="Segoe UI" w:cs="Segoe UI"/>
      <w:sz w:val="18"/>
      <w:szCs w:val="18"/>
    </w:rPr>
  </w:style>
  <w:style w:type="paragraph" w:styleId="NormalWeb">
    <w:name w:val="Normal (Web)"/>
    <w:basedOn w:val="Normal"/>
    <w:uiPriority w:val="99"/>
    <w:unhideWhenUsed/>
    <w:qFormat/>
    <w:rsid w:val="00312dad"/>
    <w:pPr>
      <w:spacing w:lineRule="auto" w:line="240" w:beforeAutospacing="1" w:afterAutospacing="1"/>
    </w:pPr>
    <w:rPr>
      <w:rFonts w:ascii="Times New Roman" w:hAnsi="Times New Roman" w:eastAsia="Times New Roman" w:cs="Times New Roman"/>
      <w:sz w:val="24"/>
      <w:szCs w:val="24"/>
      <w:lang w:eastAsia="es-MX"/>
    </w:rPr>
  </w:style>
  <w:style w:type="paragraph" w:styleId="Annotationsubject">
    <w:name w:val="annotation subject"/>
    <w:basedOn w:val="Annotationtext"/>
    <w:next w:val="Annotationtext"/>
    <w:link w:val="AsuntodelcomentarioCar"/>
    <w:uiPriority w:val="99"/>
    <w:semiHidden/>
    <w:unhideWhenUsed/>
    <w:qFormat/>
    <w:rsid w:val="0087014a"/>
    <w:pPr>
      <w:suppressAutoHyphens w:val="false"/>
      <w:spacing w:before="0" w:after="160"/>
      <w:textAlignment w:val="auto"/>
    </w:pPr>
    <w:rPr>
      <w:rFonts w:ascii="Calibri" w:hAnsi="Calibri" w:eastAsia="Calibri" w:cs="" w:asciiTheme="minorHAnsi" w:cstheme="minorBidi" w:eastAsiaTheme="minorHAnsi" w:hAnsiTheme="minorHAnsi"/>
      <w:b/>
      <w:bCs/>
      <w:kern w:val="0"/>
      <w:szCs w:val="20"/>
      <w:lang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ba06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4-nfasis5">
    <w:name w:val="Grid Table 4 Accent 5"/>
    <w:basedOn w:val="Tablanormal"/>
    <w:uiPriority w:val="49"/>
    <w:rsid w:val="00ba068a"/>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1clara">
    <w:name w:val="Grid Table 1 Light"/>
    <w:basedOn w:val="Tablanormal"/>
    <w:uiPriority w:val="46"/>
    <w:rsid w:val="00454ff4"/>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Tabladecuadrcula6concolores">
    <w:name w:val="Grid Table 6 Colorful"/>
    <w:basedOn w:val="Tablanormal"/>
    <w:uiPriority w:val="51"/>
    <w:rsid w:val="00025a51"/>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oleObject" Target="embeddings/oleObject1.bin"/><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4</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1</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2</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3</b:RefOrder>
  </b:Source>
  <b:Source>
    <b:Tag>Piz20</b:Tag>
    <b:SourceType>Book</b:SourceType>
    <b:Guid>{51904EBB-B608-4655-AC0D-3F3279E4167A}</b:Guid>
    <b:Title>Internet de las cosas (IOT) con ESP. Manuales prácticos.</b:Title>
    <b:Year>2020</b:Year>
    <b:Publisher>Paraningo</b:Publisher>
    <b:City>Madrid, España</b:City>
    <b:Author>
      <b:Author>
        <b:NameList>
          <b:Person>
            <b:Last>Pizarro Peláez</b:Last>
            <b:First>Jesús</b:First>
          </b:Person>
        </b:NameList>
      </b:Author>
    </b:Author>
    <b:RefOrder>1</b:RefOrder>
  </b:Source>
</b:Sources>
</file>

<file path=customXml/itemProps1.xml><?xml version="1.0" encoding="utf-8"?>
<ds:datastoreItem xmlns:ds="http://schemas.openxmlformats.org/officeDocument/2006/customXml" ds:itemID="{D9842532-5BC1-4F1C-B3B6-E75225729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Application>LibreOffice/6.4.7.2$Linux_X86_64 LibreOffice_project/40$Build-2</Application>
  <Pages>14</Pages>
  <Words>2721</Words>
  <Characters>14170</Characters>
  <CharactersWithSpaces>16539</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2022-06-20T21:23:00Z</dcterms:created>
  <dc:creator>52272</dc:creator>
  <dc:description/>
  <dc:language>es-MX</dc:language>
  <cp:lastModifiedBy/>
  <dcterms:modified xsi:type="dcterms:W3CDTF">2022-06-20T17:59:55Z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