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NEXUS ADVISORY GROUP</w:t>
      </w:r>
    </w:p>
    <w:p>
      <w:pPr>
        <w:pBdr>
          <w:bottom w:val="single" w:color="0D7A6E" w:sz="8" w:space="1"/>
        </w:pBdr>
        <w:spacing w:after="2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Accounting · Tax · Business Consulting</w:t>
      </w:r>
    </w:p>
    <w:p>
      <w:pPr>
        <w:spacing w:after="100" w:before="4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WEBSITE MVP SCOPE DOCUMENT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Minimum Viable Product — Phase 1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 Scope &amp; Feature Prioritization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Nexus Advisory Group — Executive Team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&amp; Strategy Team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Q1 2025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APPROVED FOR DEVELOPMENT</w:t>
            </w:r>
          </w:p>
        </w:tc>
      </w:tr>
    </w:tbl>
    <w:p>
      <w:pPr>
        <w:spacing w:after="100" w:before="6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Nexus Advisory Group is launching a professional website to establish a digital presence, attract qualified leads, and convert visitors into booked consultations. This MVP Scope Document defines the minimum viable product — the smallest set of features that delivers genuine business value and positions the firm for growth.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MVP will be delivered in a single focused phase within 8–10 weeks. Post-launch, optional features (Client Portal, Online Payments, Live Chat AI) will be scoped into Phase 2 based on usage data and client feedback.</w:t>
      </w:r>
    </w:p>
    <w:p>
      <w:pPr>
        <w:pBdr>
          <w:bottom w:val="single" w:color="E5E7E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Business Objectives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Establish a credible, professional online presence for Nexus Advisory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 inbound leads through SEO-optimised content and clear calls-to-action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frictionless appointment booking via Calendly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trust through testimonials, case studies, and transparent service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a low-maintenance platform the team can update without developer help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Success Metrics (12 Months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website visitors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form submissions / month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Consultation bookings / month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enquiries / month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Newsletter subscribers (6 mo)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Search ranking (target kws)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Unranked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1</w:t>
            </w:r>
          </w:p>
        </w:tc>
      </w:tr>
    </w:tbl>
    <w:p>
      <w:pPr>
        <w:pBdr>
          <w:bottom w:val="single" w:color="E5E7E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Target Audience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website serves three distinct audience segments: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SME Owners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Small-to-medium business owners, 5–100 staff, ₦5M–₦500M revenue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Bookkeeping, tax filing, financial clarity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Startups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Founders raising capital or formalising operations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structuring, compliance, investor-ready accounts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Individuals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High-net-worth individuals and salary earners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tax advisory, estate planning, PAYE compliance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Corporations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Mid-to-large companies seeking outsourced finance functions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 support, management accounts, strategic advisory</w:t>
            </w:r>
          </w:p>
        </w:tc>
      </w:tr>
    </w:tbl>
    <w:p>
      <w:pPr>
        <w:pBdr>
          <w:bottom w:val="single" w:color="E5E7E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MVP Feature Set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Features are classified using MoSCoW prioritisation: Must Have (M), Should Have (S), Could Have (C), Won't Have in MVP (W).</w:t>
      </w:r>
    </w:p>
    <w:p>
      <w:pPr>
        <w:spacing w:after="1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 Pages — Must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Hero headline, value proposition, services grid, social proof strip, CTA banner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Accounting, Tax, Business Consulting — descriptions, benefits, ideal clients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About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Firm story, mission &amp; vision, team profiles with photos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form, phone, email, Google Maps embed, business hours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Blog (skeleton)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Category-filtered article listing, individual post template, SEO meta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FAQ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Accordion-style Q&amp;A, structured data markup for Google snippets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 Functionality — Must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"Book a Consultation" CTA button — fixed in header + embedded in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Calendly popup / embed for direct scheduling (no back-and-forth emails)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chat widget — floating button, pre-filled message, mobile deep-link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Contact form with email notification and basic spam protection (reCAPTCHA)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Newsletter signup — MailChimp / Brevo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Mobile-first responsive layout — tested on iOS Safari, Android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On-page SEO — title tags, meta descriptions, Open Graph, schema markup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Analytics 4 + Google Search Console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SSL/HTTPS — required from day one</w:t>
      </w:r>
    </w:p>
    <w:p>
      <w:pPr>
        <w:spacing w:after="1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 Functionality — Should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Testimonials carousel on Home and Services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Case studies section (3 anonymised examples at 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Blog with minimum 5 seed articles (keyword-targeted)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FAQ with 15–20 questions across service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Sitemap.xml and robots.txt for crawler optimisation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Cookie consent banner (NDPR / GDPR compliant)</w:t>
      </w:r>
    </w:p>
    <w:p>
      <w:pPr>
        <w:spacing w:after="1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 Functionality — Could Have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Portal — secure document upload/download, invoice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Online payment integration — Paystack / Flutterwave for retainer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chat support — Intercom or Crisp with bot auto-responses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AI-powered chat widget trained on firm's service FAQs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Job vacancies / careers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Resource library — downloadable tax guides, checklists</w:t>
      </w:r>
    </w:p>
    <w:p>
      <w:pPr>
        <w:spacing w:after="1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4.5  Won't Have in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Client-facing accounting dashboard or reporting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E-commerce (selling digital products)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Membership or subscription portal</w:t>
      </w:r>
    </w:p>
    <w:p>
      <w:pPr>
        <w:pBdr>
          <w:bottom w:val="single" w:color="E5E7E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Option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CMS / Framework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WordPress (Elementor Pro) or Webflow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maintenance, SEO-friendly, team can update content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WP Engine / Cloudways (Nigeria region or closest)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Managed WordPress, SSL included, CDN, daily backups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Calendly (free tier sufficient at launch)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Proven UX, iCal sync, automatic reminders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Brevo (ex-Sendinblue) or Mailchimp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tier, automation, GDPR tools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Free, industry standard, integrates with Search Console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WPForms / Elementor Forms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Drag-and-drop builder, reCAPTCHA, email notification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Widget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Elfsight WhatsApp Chat or WP plugin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One-click install, mobile-optimised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Wordfence + Cloudflare (free tier)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Firewall, DDoS protection, SSL caching</w:t>
            </w:r>
          </w:p>
        </w:tc>
      </w:tr>
    </w:tbl>
    <w:p>
      <w:pPr>
        <w:pBdr>
          <w:bottom w:val="single" w:color="E5E7E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Discovery &amp; Design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Wireframes, brand assets, copy brief, design system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Approval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High-fidelity mockups for all 4 pages, client sign-off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5–6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Development Sprint 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 + Services pages built, mobile responsive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Development Sprint 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About + Contact pages, integrations (Calendly, WhatsApp, forms)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 &amp; SEO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Blog seed articles, FAQ, meta tags, sitemaps, GA4 setup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Cross-browser, mobile, performance (Core Web Vitals), accessibility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DNS, SSL, final review, go-live, post-launch monitoring</w:t>
            </w:r>
          </w:p>
        </w:tc>
      </w:tr>
    </w:tbl>
    <w:p>
      <w:pPr>
        <w:pBdr>
          <w:bottom w:val="single" w:color="E5E7E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Budget Estimate (MVP Only)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Estimates are indicative and depend on vendor selection and scope confirmations.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 (USD)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(UX/UI)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$1,500 – $3,000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page mockups + design system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Development (WordPress)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$2,000 – $4,000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Build, integrations, mobile QA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Copywriting (6 pages + 5 blogs)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$800 – $1,500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SEO-optimised professional copy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 (annual)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$200 – $600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Managed WP Engine or Cloudways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 (annual)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$15 – $30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.com or .ng registration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Plugins &amp; Tools (annual)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$200 – $500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Elementor Pro, Wordfence, WPForms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(one-time + Year 1)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$4,715 – $9,630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Excludes paid advertising</w:t>
            </w:r>
          </w:p>
        </w:tc>
      </w:tr>
    </w:tbl>
    <w:p>
      <w:pPr>
        <w:pBdr>
          <w:bottom w:val="single" w:color="E5E7E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 delays from client team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Provide copy templates and brief; assign dedicated content owner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Scope creep adding Phase 2 features early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Strict MoSCoW governance; change request process required for additions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organic search traffic initially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 Google Ads campaign alongside SEO; expect 3–6 months for organic traction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Calendly adoption by team members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Training session during Week 9; shared team Calendly account recommended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 issues on Nigerian mobile networks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compression, lazy loading, Cloudflare CDN, target &lt; 3s LCP</w:t>
            </w:r>
          </w:p>
        </w:tc>
      </w:tr>
    </w:tbl>
    <w:p>
      <w:pPr>
        <w:pBdr>
          <w:bottom w:val="single" w:color="E5E7E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Approvals &amp; Next Steps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Upon approval of this MVP Scope, the following actions should be taken immediately:</w:t>
      </w:r>
    </w:p>
    <w:p>
      <w:pPr>
        <w:spacing w:after="10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internal Project Owner and Content Lead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and brief design/development agency or freelancer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domain name and provision hosting environment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Calendly account and connect to firm calendar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Begin collecting team photos, bios, and client testimonials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 Week 1 kickoff meeting with all stakeholders</w:t>
      </w:r>
    </w:p>
    <w:p>
      <w:pPr>
        <w:spacing w:after="100" w:before="400"/>
      </w:pPr>
    </w:p>
    <w:p>
      <w:pPr>
        <w:pBdr>
          <w:top w:val="single" w:color="1B4F8A" w:sz="4" w:space="1"/>
        </w:pBd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Nexus Advisory Group — Confidential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This document is intended for internal use only. © 2025 Nexus Advisory Group. All rights reserved.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Confidential  |  Version 1.0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  <w:spacing w:after="160"/>
    </w:pPr>
    <w:r>
      <w:rPr>
        <w:rFonts w:ascii="Arial" w:cs="Arial" w:eastAsia="Arial" w:hAnsi="Arial"/>
        <w:color w:val="6B7280"/>
        <w:sz w:val="18"/>
        <w:szCs w:val="18"/>
      </w:rPr>
      <w:t xml:space="preserve">NEXUS ADVISORY GROUP  |  MVP Scope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2026-03-31T08:39:33.181Z</dcterms:created>
  <dcterms:modified xsi:type="dcterms:W3CDTF">2026-03-31T08:39:33.182Z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