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A8157" w14:textId="77777777" w:rsidR="00381FFB" w:rsidRPr="00381FFB" w:rsidRDefault="00381FFB" w:rsidP="00381FFB">
      <w:pPr>
        <w:rPr>
          <w:b/>
          <w:bCs/>
        </w:rPr>
      </w:pPr>
      <w:r w:rsidRPr="00381FFB">
        <w:rPr>
          <w:b/>
          <w:bCs/>
        </w:rPr>
        <w:t>Chapter 4 – Empirical Results</w:t>
      </w:r>
    </w:p>
    <w:p w14:paraId="5560A698" w14:textId="77777777" w:rsidR="00381FFB" w:rsidRPr="00381FFB" w:rsidRDefault="00381FFB" w:rsidP="00381FFB">
      <w:pPr>
        <w:rPr>
          <w:b/>
          <w:bCs/>
        </w:rPr>
      </w:pPr>
      <w:r w:rsidRPr="00381FFB">
        <w:rPr>
          <w:b/>
          <w:bCs/>
        </w:rPr>
        <w:t>4.1 Introduction</w:t>
      </w:r>
    </w:p>
    <w:p w14:paraId="77E3F3B3" w14:textId="77777777" w:rsidR="00381FFB" w:rsidRPr="00381FFB" w:rsidRDefault="00381FFB" w:rsidP="00381FFB">
      <w:r w:rsidRPr="00381FFB">
        <w:t>This chapter presents the empirical results derived from the implementation of the end</w:t>
      </w:r>
      <w:r w:rsidRPr="00381FFB">
        <w:noBreakHyphen/>
        <w:t>to</w:t>
      </w:r>
      <w:r w:rsidRPr="00381FFB">
        <w:noBreakHyphen/>
        <w:t>end data engineering pipeline described in Chapter 3. Using the validated analytics schema as a single source of truth, a set of portfolio</w:t>
      </w:r>
      <w:r w:rsidRPr="00381FFB">
        <w:noBreakHyphen/>
        <w:t xml:space="preserve">level key performance indicators (KPIs) is computed and analyzed </w:t>
      </w:r>
      <w:proofErr w:type="gramStart"/>
      <w:r w:rsidRPr="00381FFB">
        <w:t>in order to</w:t>
      </w:r>
      <w:proofErr w:type="gramEnd"/>
      <w:r w:rsidRPr="00381FFB">
        <w:t xml:space="preserve"> provide an aggregated view of the loan portfolio’s risk, size, pricing characteristics, and temporal evolution. The results are produced through a combination of materialized analytical tables and dynamic query</w:t>
      </w:r>
      <w:r w:rsidRPr="00381FFB">
        <w:noBreakHyphen/>
        <w:t>based computations, ensuring both reproducibility and analytical flexibility.</w:t>
      </w:r>
    </w:p>
    <w:p w14:paraId="7F091C19" w14:textId="77777777" w:rsidR="00381FFB" w:rsidRPr="00381FFB" w:rsidRDefault="00381FFB" w:rsidP="00381FFB">
      <w:r w:rsidRPr="00381FFB">
        <w:t>The objective of this chapter is twofold. First, it documents the numerical outcomes of the implemented KPIs, demonstrating that the pipeline produces coherent and interpretable portfolio metrics. Second, it provides an initial analytical interpretation of these results, linking them to established concepts in loan portfolio monitoring and credit risk analysis discussed in the literature review. The chapter focuses on descriptive and aggregate</w:t>
      </w:r>
      <w:r w:rsidRPr="00381FFB">
        <w:noBreakHyphen/>
        <w:t>level insights, rather than predictive modeling, in line with the scope of the thesis.</w:t>
      </w:r>
    </w:p>
    <w:p w14:paraId="1B87F7E0" w14:textId="77777777" w:rsidR="00381FFB" w:rsidRPr="00381FFB" w:rsidRDefault="00381FFB" w:rsidP="00381FFB">
      <w:pPr>
        <w:rPr>
          <w:b/>
          <w:bCs/>
        </w:rPr>
      </w:pPr>
      <w:r w:rsidRPr="00381FFB">
        <w:rPr>
          <w:b/>
          <w:bCs/>
        </w:rPr>
        <w:t>4.2 Data Basis and Analytical Scope</w:t>
      </w:r>
    </w:p>
    <w:p w14:paraId="4A3D0B8A" w14:textId="02C061DE" w:rsidR="00381FFB" w:rsidRPr="00381FFB" w:rsidRDefault="00381FFB" w:rsidP="00381FFB">
      <w:r w:rsidRPr="00381FFB">
        <w:t xml:space="preserve">All empirical results presented in this chapter are derived from the </w:t>
      </w:r>
      <w:r w:rsidR="00D638CF">
        <w:t>analytics</w:t>
      </w:r>
      <w:r w:rsidRPr="00381FFB">
        <w:t xml:space="preserve"> schema of the PostgreSQL database, which contains fully processed, validated, and feature</w:t>
      </w:r>
      <w:r w:rsidRPr="00381FFB">
        <w:noBreakHyphen/>
        <w:t>engineered loan</w:t>
      </w:r>
      <w:r w:rsidRPr="00381FFB">
        <w:noBreakHyphen/>
        <w:t>level data. This schema represents the final output of the ETL pipeline orchestrated via Airflow and serves as the exclusive input layer for KPI computation.</w:t>
      </w:r>
    </w:p>
    <w:p w14:paraId="22F08BB2" w14:textId="77777777" w:rsidR="00381FFB" w:rsidRPr="00381FFB" w:rsidRDefault="00381FFB" w:rsidP="00381FFB">
      <w:r w:rsidRPr="00381FFB">
        <w:t>The analysis is conducted at portfolio level and does not involve customer</w:t>
      </w:r>
      <w:r w:rsidRPr="00381FFB">
        <w:noBreakHyphen/>
        <w:t>level or loan</w:t>
      </w:r>
      <w:r w:rsidRPr="00381FFB">
        <w:noBreakHyphen/>
        <w:t>level disclosure. Aggregations are performed using SQL queries that operate on contractually defined fields, such as loan amount, interest rate, origination date, loan status indicators, and credit grade attributes. This design ensures consistency across all reported KPIs and prevents analytical discrepancies arising from heterogeneous data sources or transformation logic.</w:t>
      </w:r>
    </w:p>
    <w:p w14:paraId="012BE7FC" w14:textId="5B630211" w:rsidR="00381FFB" w:rsidRPr="00381FFB" w:rsidRDefault="00381FFB" w:rsidP="00381FFB">
      <w:pPr>
        <w:rPr>
          <w:b/>
          <w:bCs/>
        </w:rPr>
      </w:pPr>
      <w:r w:rsidRPr="00381FFB">
        <w:rPr>
          <w:b/>
          <w:bCs/>
        </w:rPr>
        <w:t>4.3 Default Rate</w:t>
      </w:r>
    </w:p>
    <w:p w14:paraId="0C6F6A7E" w14:textId="77777777" w:rsidR="00381FFB" w:rsidRPr="00381FFB" w:rsidRDefault="00381FFB" w:rsidP="00381FFB">
      <w:pPr>
        <w:rPr>
          <w:b/>
          <w:bCs/>
        </w:rPr>
      </w:pPr>
      <w:r w:rsidRPr="00381FFB">
        <w:rPr>
          <w:b/>
          <w:bCs/>
        </w:rPr>
        <w:t>4.3.1 Portfolio-Level Default Rate</w:t>
      </w:r>
    </w:p>
    <w:p w14:paraId="2955233E" w14:textId="77777777" w:rsidR="00381FFB" w:rsidRPr="00381FFB" w:rsidRDefault="00381FFB" w:rsidP="00381FFB">
      <w:r w:rsidRPr="00381FFB">
        <w:t xml:space="preserve">The Default Rate constitutes the core indicator of realized credit risk within the examined loan portfolio. As defined in the methodological framework, the metric captures the empirical frequency of default events by aggregating a binary default indicator across all loans in the analytics dataset. Each loan contributes equally to the </w:t>
      </w:r>
      <w:r w:rsidRPr="00381FFB">
        <w:lastRenderedPageBreak/>
        <w:t>computation, ensuring that the resulting measure reflects the proportion of defaulted exposures rather than being driven by loan size or repayment structure.</w:t>
      </w:r>
    </w:p>
    <w:p w14:paraId="4235BABB" w14:textId="77777777" w:rsidR="00381FFB" w:rsidRPr="00381FFB" w:rsidRDefault="00381FFB" w:rsidP="00381FFB">
      <w:r w:rsidRPr="00381FFB">
        <w:t>Empirical results indicate an overall portfolio-level Default Rate of approximately 1.15%. This value suggests that a relatively small share of loans within the portfolio has transitioned into a default state during the observed period. From a descriptive perspective, the result is indicative of a portfolio characterized by moderate realized credit risk, particularly when considering the unsecured nature of consumer lending and the heterogeneous borrower profiles typically associated with marketplace lending platforms.</w:t>
      </w:r>
    </w:p>
    <w:p w14:paraId="224978C8" w14:textId="77777777" w:rsidR="00381FFB" w:rsidRPr="00381FFB" w:rsidRDefault="00381FFB" w:rsidP="00381FFB">
      <w:r w:rsidRPr="00381FFB">
        <w:t>The observed Default Rate must be interpreted within the specific institutional and temporal context of the dataset. Lending Club operates as a peer-to-peer lending platform with risk-based pricing and standardized credit grading mechanisms. As a result, default frequencies are strongly influenced by underwriting standards, borrower self-selection, and credit-grade allocation. The relatively low aggregate default rate reflects, in part, the exclusion of early-stage delinquent loans from the default definition and the reliance on a supervisory-aligned binary default proxy rather than broader delinquency-based classifications.</w:t>
      </w:r>
    </w:p>
    <w:p w14:paraId="77AB4E8B" w14:textId="77777777" w:rsidR="00381FFB" w:rsidRPr="00381FFB" w:rsidRDefault="00381FFB" w:rsidP="00381FFB">
      <w:r w:rsidRPr="00381FFB">
        <w:t>From a methodological standpoint, the dynamic computation of the Default Rate directly against the analytics schema ensures that the reported value reflects the most recent validated analytical state of the portfolio. The use of SQL-based aggregation logic avoids inconsistencies associated with precomputed summary tables and guarantees full traceability from the reported KPI back to individual loan-level observations. This design aligns with governance-oriented analytical practices, where transparency and reproducibility are prioritized alongside numerical accuracy.</w:t>
      </w:r>
    </w:p>
    <w:p w14:paraId="01F12C0D" w14:textId="77777777" w:rsidR="00381FFB" w:rsidRPr="00381FFB" w:rsidRDefault="00381FFB" w:rsidP="00381FFB">
      <w:pPr>
        <w:rPr>
          <w:b/>
          <w:bCs/>
        </w:rPr>
      </w:pPr>
      <w:r w:rsidRPr="00381FFB">
        <w:rPr>
          <w:b/>
          <w:bCs/>
        </w:rPr>
        <w:t>4.3.2 Default Incidence and Portfolio Composition</w:t>
      </w:r>
    </w:p>
    <w:p w14:paraId="04388C53" w14:textId="023CCCD4" w:rsidR="00381FFB" w:rsidRPr="00381FFB" w:rsidRDefault="00381FFB" w:rsidP="00381FFB">
      <w:r w:rsidRPr="00381FFB">
        <w:t xml:space="preserve">While the portfolio-level Default Rate provides a high-level summary of credit risk realization, further insight can be gained by examining the distribution of default and non-default observations within the dataset. The binary default indicator reveals a strong asymmetry between performing and defaulted loans, with </w:t>
      </w:r>
      <w:r w:rsidR="003C13A2" w:rsidRPr="00381FFB">
        <w:t>most</w:t>
      </w:r>
      <w:r w:rsidRPr="00381FFB">
        <w:t xml:space="preserve"> observations classified as non-defaulted. This imbalance is consistent with expectations for consumer lending portfolios, where defaults represent relatively rare but economically significant events.</w:t>
      </w:r>
      <w:r w:rsidR="001B2728">
        <w:t xml:space="preserve"> </w:t>
      </w:r>
      <w:r w:rsidRPr="00381FFB">
        <w:t xml:space="preserve">The low frequency of default events has important implications for portfolio monitoring and risk interpretation. On the one hand, it confirms that the dataset does not exhibit excessive credit deterioration over the observed horizon. On the other hand, it highlights the importance of contextualizing the Default Rate alongside </w:t>
      </w:r>
      <w:r w:rsidRPr="00381FFB">
        <w:lastRenderedPageBreak/>
        <w:t xml:space="preserve">complementary indicators, such as interest rate levels and credit-grade composition </w:t>
      </w:r>
      <w:proofErr w:type="gramStart"/>
      <w:r w:rsidRPr="00381FFB">
        <w:t>in order to</w:t>
      </w:r>
      <w:proofErr w:type="gramEnd"/>
      <w:r w:rsidRPr="00381FFB">
        <w:t xml:space="preserve"> assess whether observed pricing adequately compensates for realized risk.</w:t>
      </w:r>
    </w:p>
    <w:p w14:paraId="086C0DA5" w14:textId="77777777" w:rsidR="00381FFB" w:rsidRPr="00381FFB" w:rsidRDefault="00381FFB" w:rsidP="00381FFB">
      <w:r w:rsidRPr="00381FFB">
        <w:t>Importantly, the binary default representation employed in this analysis supports aggregation stability and interpretability. By relying on a single, clearly defined default proxy, the methodology avoids ambiguity in classification and ensures consistency across analytical runs. This choice mirrors supervisory reporting practices, where default indicators are typically defined through explicit contractual or regulatory criteria rather than probabilistic thresholds.</w:t>
      </w:r>
    </w:p>
    <w:p w14:paraId="34541CFA" w14:textId="77777777" w:rsidR="00381FFB" w:rsidRPr="00381FFB" w:rsidRDefault="00381FFB" w:rsidP="00381FFB">
      <w:pPr>
        <w:rPr>
          <w:b/>
          <w:bCs/>
        </w:rPr>
      </w:pPr>
      <w:r w:rsidRPr="00381FFB">
        <w:rPr>
          <w:b/>
          <w:bCs/>
        </w:rPr>
        <w:t>4.3.3 Default Rate by Credit Grade</w:t>
      </w:r>
    </w:p>
    <w:p w14:paraId="19E878D7" w14:textId="77777777" w:rsidR="00381FFB" w:rsidRPr="00381FFB" w:rsidRDefault="00381FFB" w:rsidP="00381FFB">
      <w:r w:rsidRPr="00381FFB">
        <w:t>To deepen the analysis of credit risk realization, the Default Rate is further examined across credit-grade categories. Credit grades represent ordinal risk classifications assigned at loan origination and are designed to capture differences in borrower creditworthiness. As such, grade-level default behavior provides a direct test of whether ex-ante risk segmentation is reflected in ex-post portfolio performance.</w:t>
      </w:r>
    </w:p>
    <w:p w14:paraId="28771A25" w14:textId="0D076717" w:rsidR="00381FFB" w:rsidRPr="00381FFB" w:rsidRDefault="00381FFB" w:rsidP="00381FFB">
      <w:r w:rsidRPr="00381FFB">
        <w:t>Empirical results reveal a clear monotonic relationship between credit grade and default incidence. Lower-risk grades exhibit substantially lower default frequencies, while higher-risk grades display progressively elevated default rates. This pattern is consistent with both academic findings and industry expectations and provides validation of the internal risk differentiation embedded in the dataset.</w:t>
      </w:r>
      <w:r w:rsidR="00DB1300">
        <w:t xml:space="preserve"> </w:t>
      </w:r>
      <w:r w:rsidRPr="00381FFB">
        <w:t>The presence of a well-ordered default gradient across grades indicates that credit grading mechanisms are effective in separating borrowers by underlying risk characteristics. From a portfolio management perspective, this finding supports the use of grade-based allocation strategies to balance risk and return objectives. It also reinforces the analytical validity of using credit grades as a structural dimension for portfolio monitoring and reporting.</w:t>
      </w:r>
    </w:p>
    <w:p w14:paraId="7C32B88E" w14:textId="77777777" w:rsidR="00381FFB" w:rsidRPr="00381FFB" w:rsidRDefault="00381FFB" w:rsidP="00381FFB">
      <w:pPr>
        <w:rPr>
          <w:b/>
          <w:bCs/>
        </w:rPr>
      </w:pPr>
      <w:r w:rsidRPr="00381FFB">
        <w:rPr>
          <w:b/>
          <w:bCs/>
        </w:rPr>
        <w:t>4.3.4 Interpretation and Risk Implications</w:t>
      </w:r>
    </w:p>
    <w:p w14:paraId="40DF2BDA" w14:textId="77777777" w:rsidR="00381FFB" w:rsidRPr="00381FFB" w:rsidRDefault="00381FFB" w:rsidP="00381FFB">
      <w:r w:rsidRPr="00381FFB">
        <w:t>Taken together, the Default Rate results provide a coherent and interpretable picture of realized credit risk within the examined portfolio. The low aggregate Default Rate suggests limited overall credit deterioration, while the observed variation across credit grades confirms the effectiveness of risk-based segmentation. When interpreted jointly with pricing indicators, such as the Average Interest Rate, the Default Rate supports an initial assessment of the portfolio’s risk–return profile.</w:t>
      </w:r>
    </w:p>
    <w:p w14:paraId="4CA2253C" w14:textId="77777777" w:rsidR="00381FFB" w:rsidRPr="00381FFB" w:rsidRDefault="00381FFB" w:rsidP="00381FFB">
      <w:r w:rsidRPr="00381FFB">
        <w:t xml:space="preserve">It is important to emphasize that the Default Rate captures realized outcomes rather than expected losses or forward-looking risk measures. As such, the metric reflects historical portfolio performance over the observation window and does not account for future macroeconomic shocks or changes in borrower behavior. Nevertheless, as a </w:t>
      </w:r>
      <w:r w:rsidRPr="00381FFB">
        <w:lastRenderedPageBreak/>
        <w:t>descriptive and governance-oriented indicator, the Default Rate provides a robust foundation for portfolio monitoring and comparative analysis.</w:t>
      </w:r>
    </w:p>
    <w:p w14:paraId="037B3CE0" w14:textId="77777777" w:rsidR="00381FFB" w:rsidRPr="00381FFB" w:rsidRDefault="00381FFB" w:rsidP="00381FFB">
      <w:pPr>
        <w:rPr>
          <w:b/>
          <w:bCs/>
        </w:rPr>
      </w:pPr>
      <w:r w:rsidRPr="00381FFB">
        <w:rPr>
          <w:b/>
          <w:bCs/>
        </w:rPr>
        <w:t>4.4 Average Loan Amount</w:t>
      </w:r>
    </w:p>
    <w:p w14:paraId="29DB1B31" w14:textId="4B5C098B" w:rsidR="00381FFB" w:rsidRPr="00381FFB" w:rsidRDefault="00381FFB" w:rsidP="00381FFB">
      <w:pPr>
        <w:rPr>
          <w:b/>
          <w:bCs/>
        </w:rPr>
      </w:pPr>
      <w:r w:rsidRPr="00381FFB">
        <w:rPr>
          <w:b/>
          <w:bCs/>
        </w:rPr>
        <w:t xml:space="preserve">4.4.1 </w:t>
      </w:r>
      <w:r w:rsidR="00B70F6D" w:rsidRPr="00B70F6D">
        <w:rPr>
          <w:b/>
          <w:bCs/>
        </w:rPr>
        <w:t>Portfolio-Level Average Loan Amount</w:t>
      </w:r>
    </w:p>
    <w:p w14:paraId="41D68238" w14:textId="6139D347" w:rsidR="00AB38D3" w:rsidRDefault="00381FFB" w:rsidP="00381FFB">
      <w:r w:rsidRPr="00381FFB">
        <w:t>The Average Loan Amount represents the mean nominal size of loans issued within the portfolio and serves as a fundamental indicator of exposure scale and capital allocation. It is computed as the arithmetic average of the original loan amount across all loan observations contained in the analytics dataset.</w:t>
      </w:r>
      <w:r w:rsidR="002873C9">
        <w:t xml:space="preserve"> </w:t>
      </w:r>
      <w:r w:rsidRPr="00381FFB">
        <w:t>The computation is performed dynamically using the validated loan_portfolio_features table</w:t>
      </w:r>
      <w:r w:rsidR="00FD253A" w:rsidRPr="00FD253A">
        <w:t xml:space="preserve"> </w:t>
      </w:r>
      <w:r w:rsidR="00FD253A">
        <w:t>in the analytics schema</w:t>
      </w:r>
      <w:r w:rsidRPr="00381FFB">
        <w:t>, ensuring that the metric reflects the most recent and fully processed state of the data</w:t>
      </w:r>
      <w:r w:rsidR="00C76CA5">
        <w:t xml:space="preserve"> and </w:t>
      </w:r>
      <w:r w:rsidR="00C76CA5" w:rsidRPr="00C76CA5">
        <w:t>provides a transparent and reproducible measure</w:t>
      </w:r>
      <w:r w:rsidRPr="00381FFB">
        <w:t xml:space="preserve">. Each loan contributes equally to the calculation, irrespective of its repayment status or credit grade. </w:t>
      </w:r>
    </w:p>
    <w:p w14:paraId="308F0CAE" w14:textId="6CB5F53A" w:rsidR="00381FFB" w:rsidRPr="00381FFB" w:rsidRDefault="00381FFB" w:rsidP="00381FFB">
      <w:r w:rsidRPr="00381FFB">
        <w:t>Empirical computation yields an Average Loan Amount of approximately 15,075 monetary units. This value indicates that the portfolio is primarily composed of mid-sized consumer loans, consistent with the characteristics of marketplace lending platforms that target standardized retail credit products.</w:t>
      </w:r>
      <w:r w:rsidR="003B078D">
        <w:t xml:space="preserve"> </w:t>
      </w:r>
      <w:r w:rsidRPr="00381FFB">
        <w:t xml:space="preserve">The observed magnitude of the average loan size suggests a moderate level of exposure per contract, implying that portfolio risk is distributed across </w:t>
      </w:r>
      <w:proofErr w:type="gramStart"/>
      <w:r w:rsidRPr="00381FFB">
        <w:t>a large number of</w:t>
      </w:r>
      <w:proofErr w:type="gramEnd"/>
      <w:r w:rsidRPr="00381FFB">
        <w:t xml:space="preserve"> relatively homogeneous loan amounts rather than being concentrated in a small number of large exposures. From a capital management perspective, such a structure supports diversification and reduces sensitivity to idiosyncratic borrower defaults.</w:t>
      </w:r>
    </w:p>
    <w:p w14:paraId="38020182" w14:textId="741E1A78" w:rsidR="000D7E5D" w:rsidRPr="000D7E5D" w:rsidRDefault="000D7E5D" w:rsidP="00C72F5A">
      <w:pPr>
        <w:rPr>
          <w:b/>
          <w:bCs/>
        </w:rPr>
      </w:pPr>
      <w:r w:rsidRPr="000D7E5D">
        <w:rPr>
          <w:b/>
          <w:bCs/>
        </w:rPr>
        <w:t>4.4.</w:t>
      </w:r>
      <w:r w:rsidRPr="000D7E5D">
        <w:rPr>
          <w:b/>
          <w:bCs/>
        </w:rPr>
        <w:t>2</w:t>
      </w:r>
      <w:r w:rsidRPr="000D7E5D">
        <w:rPr>
          <w:b/>
          <w:bCs/>
        </w:rPr>
        <w:t xml:space="preserve"> Distributional Characteristics and Portfolio Risk Implications</w:t>
      </w:r>
    </w:p>
    <w:p w14:paraId="2AD91F76" w14:textId="77777777" w:rsidR="000D7E5D" w:rsidRPr="000D7E5D" w:rsidRDefault="000D7E5D" w:rsidP="000D7E5D">
      <w:r w:rsidRPr="000D7E5D">
        <w:t xml:space="preserve">While the Average Loan Amount provides </w:t>
      </w:r>
      <w:proofErr w:type="gramStart"/>
      <w:r w:rsidRPr="000D7E5D">
        <w:t>a useful</w:t>
      </w:r>
      <w:proofErr w:type="gramEnd"/>
      <w:r w:rsidRPr="000D7E5D">
        <w:t xml:space="preserve"> summary statistic, it does not capture the full distributional properties of loan sizes within the portfolio. Consumer lending portfolios typically exhibit right-skewed loan amount distributions, where a majority of loans cluster around standardized issuance amounts, while a smaller number of larger loans extend the upper tail of the distribution.</w:t>
      </w:r>
    </w:p>
    <w:p w14:paraId="6698C45C" w14:textId="77777777" w:rsidR="000D7E5D" w:rsidRPr="000D7E5D" w:rsidRDefault="000D7E5D" w:rsidP="000D7E5D">
      <w:r w:rsidRPr="000D7E5D">
        <w:t>This distributional pattern has important implications for exposure concentration and loss severity. Larger loans, although less frequent, may contribute disproportionately to realized losses in the event of default. As such, the Average Loan Amount should be interpreted in conjunction with complementary indicators, such as credit-grade segmentation and default incidence, to assess whether larger exposures are adequately compensated through pricing or risk classification.</w:t>
      </w:r>
    </w:p>
    <w:p w14:paraId="0DB1FD1A" w14:textId="77777777" w:rsidR="000D7E5D" w:rsidRPr="000D7E5D" w:rsidRDefault="000D7E5D" w:rsidP="000D7E5D">
      <w:r w:rsidRPr="000D7E5D">
        <w:lastRenderedPageBreak/>
        <w:t>From a portfolio risk perspective, the Average Loan Amount provides critical context for interpreting other portfolio-level KPIs. When combined with the Default Rate, it informs expectations regarding loss magnitude and capital adequacy, as higher average exposures amplify the financial impact of individual default events. When interpreted alongside the Average Interest Rate, it contributes to an assessment of whether pricing levels are commensurate with both borrower risk and exposure size.</w:t>
      </w:r>
    </w:p>
    <w:p w14:paraId="5663E0CF" w14:textId="582B0014" w:rsidR="000D7E5D" w:rsidRPr="000D7E5D" w:rsidRDefault="000D7E5D" w:rsidP="00C72F5A">
      <w:pPr>
        <w:rPr>
          <w:lang w:val="el-GR"/>
        </w:rPr>
      </w:pPr>
      <w:r w:rsidRPr="000D7E5D">
        <w:t>Finally, from a governance and data engineering standpoint, the reproducible computation of the Average Loan Amount highlights the robustness of the implemented analytics schema. By relying on semantically consistent and validated fields, the pipeline ensures that exposure-related indicators remain stable, traceable, and suitable for longitudinal monitoring and comparative portfolio analysis.</w:t>
      </w:r>
    </w:p>
    <w:p w14:paraId="55582A2D" w14:textId="596CA4FA" w:rsidR="00C72F5A" w:rsidRPr="00C72F5A" w:rsidRDefault="00C72F5A" w:rsidP="00C72F5A">
      <w:pPr>
        <w:rPr>
          <w:b/>
          <w:bCs/>
        </w:rPr>
      </w:pPr>
      <w:r w:rsidRPr="00C72F5A">
        <w:rPr>
          <w:b/>
          <w:bCs/>
        </w:rPr>
        <w:t>4.5 Average Interest Rate</w:t>
      </w:r>
    </w:p>
    <w:p w14:paraId="42FD6E22" w14:textId="3E7ABA1B" w:rsidR="00E95188" w:rsidRPr="00E95188" w:rsidRDefault="00C72F5A" w:rsidP="00E95188">
      <w:pPr>
        <w:rPr>
          <w:b/>
          <w:bCs/>
        </w:rPr>
      </w:pPr>
      <w:r w:rsidRPr="00C72F5A">
        <w:rPr>
          <w:b/>
          <w:bCs/>
        </w:rPr>
        <w:t xml:space="preserve">4.5.1 </w:t>
      </w:r>
      <w:r w:rsidR="00E95188" w:rsidRPr="00E95188">
        <w:rPr>
          <w:b/>
          <w:bCs/>
        </w:rPr>
        <w:t>Portfolio-Level Average Interest Rate</w:t>
      </w:r>
    </w:p>
    <w:p w14:paraId="7DF80A27" w14:textId="6D3FA668" w:rsidR="00C72F5A" w:rsidRPr="00D638CF" w:rsidRDefault="00C72F5A" w:rsidP="00C72F5A">
      <w:r w:rsidRPr="00C72F5A">
        <w:t>The Average Interest Rate represents the mean pricing level of loans within the portfolio and constitutes a core indicator of the portfolio’s risk–return characteristics. Interest rates reflect the compensation required by lenders for bearing credit risk, liquidity risk, and operational costs, while also embedding borrower-specific risk differentiation through underwriting and pricing mechanisms.</w:t>
      </w:r>
      <w:r w:rsidR="00542E30">
        <w:t xml:space="preserve"> </w:t>
      </w:r>
      <w:r w:rsidRPr="00C72F5A">
        <w:t xml:space="preserve">Formally, the Average Interest Rate is computed as the arithmetic </w:t>
      </w:r>
      <w:proofErr w:type="gramStart"/>
      <w:r w:rsidRPr="00C72F5A">
        <w:t>mean</w:t>
      </w:r>
      <w:proofErr w:type="gramEnd"/>
      <w:r w:rsidRPr="00C72F5A">
        <w:t xml:space="preserve"> of the contractual interest </w:t>
      </w:r>
      <w:r w:rsidR="00156FDA">
        <w:t xml:space="preserve">rate </w:t>
      </w:r>
      <w:r w:rsidRPr="00C72F5A">
        <w:t>across all loan observations in the analytics dataset. Each loan contributes equally to the computation, irrespective of its principal amount or repayment structure. This aggregation approach provides a portfolio-level view of pricing conditions and allows for consistent comparison across time periods and portfolio segments.</w:t>
      </w:r>
      <w:r w:rsidR="008B3D68">
        <w:t xml:space="preserve"> </w:t>
      </w:r>
      <w:r w:rsidRPr="00C72F5A">
        <w:t>In line with the overall analytical design of the pipeline, the computation is performed dynamically using aggregation logic applied directly to the loan_portfolio_features table</w:t>
      </w:r>
      <w:r w:rsidR="00F659AE">
        <w:t xml:space="preserve"> in the analytics schema</w:t>
      </w:r>
      <w:r w:rsidRPr="00C72F5A">
        <w:t xml:space="preserve">. </w:t>
      </w:r>
      <w:r w:rsidR="00CF6552">
        <w:t>It</w:t>
      </w:r>
      <w:r w:rsidRPr="00C72F5A">
        <w:t xml:space="preserve"> ensures that the reported value reflects the most recent validated analytical state of the portfolio and remains fully traceable to loan-level inputs. By avoiding manually maintained summary tables, the methodology preserves transparency, reproducibility, and governance alignment.</w:t>
      </w:r>
    </w:p>
    <w:p w14:paraId="39E0635D" w14:textId="77777777" w:rsidR="00C72F5A" w:rsidRPr="00C72F5A" w:rsidRDefault="00C72F5A" w:rsidP="00C72F5A">
      <w:r w:rsidRPr="00C72F5A">
        <w:t xml:space="preserve">Empirical analysis indicates an Average Interest Rate of </w:t>
      </w:r>
      <w:r w:rsidRPr="008B3D68">
        <w:t>approximately 13.03% across</w:t>
      </w:r>
      <w:r w:rsidRPr="00C72F5A">
        <w:t xml:space="preserve"> the examined loan portfolio. This value suggests a portfolio positioned within a moderate-to-elevated pricing segment, consistent with consumer lending environments characterized by heterogeneous borrower credit profiles and risk-based pricing practices.</w:t>
      </w:r>
    </w:p>
    <w:p w14:paraId="7050B6F5" w14:textId="77777777" w:rsidR="00C72F5A" w:rsidRPr="00C72F5A" w:rsidRDefault="00C72F5A" w:rsidP="00C72F5A">
      <w:r w:rsidRPr="00C72F5A">
        <w:lastRenderedPageBreak/>
        <w:t>The observed average interest rate reflects the aggregation of loans spanning multiple credit grades, origination years, and borrower risk categories. As such, the metric captures not only borrower credit risk but also prevailing market conditions and institutional pricing strategies during the observation window. Compared to traditional bank-originated consumer loans, which often exhibit lower average interest rates due to collateralization or regulatory capital advantages, the reported level is indicative of marketplace or unsecured lending contexts.</w:t>
      </w:r>
    </w:p>
    <w:p w14:paraId="69568EAD" w14:textId="0359843C" w:rsidR="00C72F5A" w:rsidRPr="00D638CF" w:rsidRDefault="00C72F5A" w:rsidP="00C72F5A">
      <w:r w:rsidRPr="00C72F5A">
        <w:t>From a descriptive standpoint, the Average Interest Rate serves as a benchmark for evaluating whether portfolio pricing appears broadly consistent with realized credit outcomes. When interpreted in isolation, the metric provides limited insight; however, its analytical value increases substantially when examined jointly with credit risk indicators such as the Default Rate and portfolio composition measures.</w:t>
      </w:r>
    </w:p>
    <w:p w14:paraId="38AC7471" w14:textId="4FB59203" w:rsidR="00C72F5A" w:rsidRPr="00C72F5A" w:rsidRDefault="00C72F5A" w:rsidP="00C72F5A">
      <w:pPr>
        <w:rPr>
          <w:b/>
          <w:bCs/>
        </w:rPr>
      </w:pPr>
      <w:r w:rsidRPr="00C72F5A">
        <w:rPr>
          <w:b/>
          <w:bCs/>
        </w:rPr>
        <w:t>4.5.</w:t>
      </w:r>
      <w:r w:rsidR="00AF1C92">
        <w:rPr>
          <w:b/>
          <w:bCs/>
        </w:rPr>
        <w:t>2</w:t>
      </w:r>
      <w:r w:rsidRPr="00C72F5A">
        <w:rPr>
          <w:b/>
          <w:bCs/>
        </w:rPr>
        <w:t xml:space="preserve"> Pricing, Risk Differentiation</w:t>
      </w:r>
      <w:r w:rsidR="00580EB1" w:rsidRPr="00FD253A">
        <w:rPr>
          <w:b/>
          <w:bCs/>
        </w:rPr>
        <w:t xml:space="preserve"> </w:t>
      </w:r>
      <w:r w:rsidRPr="00C72F5A">
        <w:rPr>
          <w:b/>
          <w:bCs/>
        </w:rPr>
        <w:t>and Portfolio Structure</w:t>
      </w:r>
    </w:p>
    <w:p w14:paraId="4AFBD49D" w14:textId="77777777" w:rsidR="00C72F5A" w:rsidRPr="00C72F5A" w:rsidRDefault="00C72F5A" w:rsidP="00C72F5A">
      <w:r w:rsidRPr="00C72F5A">
        <w:t>Interest rates within a loan portfolio are not distributed uniformly but instead reflect systematic risk differentiation across borrowers. Higher-risk borrowers are typically assigned higher interest rates to compensate for increased default probability, while lower-risk borrowers benefit from more favorable pricing terms. Consequently, the portfolio-level average interest rate encapsulates the combined effect of credit-grade allocation, underwriting standards, and strategic risk appetite.</w:t>
      </w:r>
    </w:p>
    <w:p w14:paraId="3A186267" w14:textId="77777777" w:rsidR="00C72F5A" w:rsidRPr="00C72F5A" w:rsidRDefault="00C72F5A" w:rsidP="00C72F5A">
      <w:r w:rsidRPr="00C72F5A">
        <w:t>The reported average of 13.03% suggests that a significant portion of the portfolio is concentrated in intermediate risk segments rather than at the extremes of the credit spectrum. This interpretation aligns with the observed distribution of loans across credit grades and the moderate Default Rate documented in the previous section. The absence of excessively high average pricing levels implies that the portfolio is not disproportionately exposed to the highest-risk borrower categories, which would otherwise drive interest rates upward.</w:t>
      </w:r>
    </w:p>
    <w:p w14:paraId="61817A5B" w14:textId="768CF200" w:rsidR="00C72F5A" w:rsidRPr="00D638CF" w:rsidRDefault="00C72F5A" w:rsidP="00C72F5A">
      <w:r w:rsidRPr="00C72F5A">
        <w:t>At the same time, the average interest rate must be interpreted alongside exposure size metrics. Because each loan contributes equally to the mean calculation, the indicator captures pricing behavior rather than revenue-weighted yield. As a result, large loans with relatively lower interest rates and smaller loans with higher rates exert comparable influence on the reported average. This characteristic reinforces the role of the Average Interest Rate as a pricing indicator rather than a direct profitability measure.</w:t>
      </w:r>
    </w:p>
    <w:p w14:paraId="3F3FDD49" w14:textId="054DCEE4" w:rsidR="00C72F5A" w:rsidRPr="00C72F5A" w:rsidRDefault="00C72F5A" w:rsidP="00C72F5A">
      <w:pPr>
        <w:rPr>
          <w:b/>
          <w:bCs/>
        </w:rPr>
      </w:pPr>
      <w:r w:rsidRPr="00C72F5A">
        <w:rPr>
          <w:b/>
          <w:bCs/>
        </w:rPr>
        <w:t>4.5.</w:t>
      </w:r>
      <w:r w:rsidR="00AF1C92">
        <w:rPr>
          <w:b/>
          <w:bCs/>
        </w:rPr>
        <w:t>3</w:t>
      </w:r>
      <w:r w:rsidRPr="00C72F5A">
        <w:rPr>
          <w:b/>
          <w:bCs/>
        </w:rPr>
        <w:t xml:space="preserve"> Interpretation and Risk–Return Implications</w:t>
      </w:r>
    </w:p>
    <w:p w14:paraId="10190666" w14:textId="77777777" w:rsidR="00C72F5A" w:rsidRPr="00C72F5A" w:rsidRDefault="00C72F5A" w:rsidP="00C72F5A">
      <w:r w:rsidRPr="00C72F5A">
        <w:t xml:space="preserve">When interpreted jointly with the Default Rate of approximately 1.15%, the Average Interest Rate provides an initial assessment of the portfolio’s risk–return balance. The </w:t>
      </w:r>
      <w:r w:rsidRPr="00C72F5A">
        <w:lastRenderedPageBreak/>
        <w:t>combination of relatively elevated pricing and low realized default frequency suggests that, over the observed period, portfolio pricing may have been sufficient to compensate for realized credit risk. This observation is consistent with risk-based pricing frameworks commonly applied in consumer lending markets.</w:t>
      </w:r>
    </w:p>
    <w:p w14:paraId="2B173878" w14:textId="77777777" w:rsidR="00C72F5A" w:rsidRPr="00C72F5A" w:rsidRDefault="00C72F5A" w:rsidP="00C72F5A">
      <w:r w:rsidRPr="00C72F5A">
        <w:t>However, it is important to emphasize that the Average Interest Rate reflects contractual pricing at origination rather than realized yield or net return. The metric does not account for losses given default, prepayments, or recovery dynamics, nor does it capture temporal variation in borrower performance. As such, the indicator should be viewed as a descriptive pricing benchmark rather than a comprehensive profitability measure.</w:t>
      </w:r>
    </w:p>
    <w:p w14:paraId="34DE1D06" w14:textId="77777777" w:rsidR="00C72F5A" w:rsidRPr="00C72F5A" w:rsidRDefault="00C72F5A" w:rsidP="00C72F5A">
      <w:r w:rsidRPr="00C72F5A">
        <w:t>From a data governance and engineering perspective, the reliability of the reported Average Interest Rate is underpinned by the controlled design of the analytics schema and the dynamic computation strategy. The consistent handling of interest rate data throughout the pipeline ensures that pricing indicators can be reproduced deterministically and extended to more granular segmentation analyses, such as grade-level or vintage-based pricing comparisons, without modification to the underlying architecture.</w:t>
      </w:r>
    </w:p>
    <w:p w14:paraId="62ADBFB2" w14:textId="0A4AC2B5" w:rsidR="00FA3239" w:rsidRPr="00FA3239" w:rsidRDefault="00FA3239" w:rsidP="00FA3239">
      <w:pPr>
        <w:rPr>
          <w:b/>
          <w:bCs/>
        </w:rPr>
      </w:pPr>
      <w:r w:rsidRPr="00FA3239">
        <w:rPr>
          <w:b/>
          <w:bCs/>
        </w:rPr>
        <w:t xml:space="preserve">4.6 Portfolio Growth </w:t>
      </w:r>
    </w:p>
    <w:p w14:paraId="3E9FF066" w14:textId="2C9E0E03" w:rsidR="00FA3239" w:rsidRPr="00FA3239" w:rsidRDefault="00FA3239" w:rsidP="00FA3239">
      <w:pPr>
        <w:rPr>
          <w:b/>
          <w:bCs/>
        </w:rPr>
      </w:pPr>
      <w:r w:rsidRPr="00FA3239">
        <w:rPr>
          <w:b/>
          <w:bCs/>
        </w:rPr>
        <w:t xml:space="preserve">4.6.1 </w:t>
      </w:r>
      <w:r w:rsidR="00E8286F" w:rsidRPr="00E8286F">
        <w:rPr>
          <w:b/>
          <w:bCs/>
        </w:rPr>
        <w:t>Portfolio-Level</w:t>
      </w:r>
      <w:r w:rsidR="00E8286F">
        <w:rPr>
          <w:b/>
          <w:bCs/>
        </w:rPr>
        <w:t xml:space="preserve"> </w:t>
      </w:r>
      <w:r w:rsidR="00E8286F" w:rsidRPr="00E8286F">
        <w:rPr>
          <w:b/>
          <w:bCs/>
        </w:rPr>
        <w:t>Portfolio Growth</w:t>
      </w:r>
    </w:p>
    <w:p w14:paraId="00EDC2BC" w14:textId="36969C8A" w:rsidR="00C352C8" w:rsidRPr="00C352C8" w:rsidRDefault="00FA3239" w:rsidP="00C352C8">
      <w:r w:rsidRPr="00FA3239">
        <w:t>Portfolio Growth captures the temporal evolution of lending activity by measuring changes in total loan origination volumes over time. Unlike static portfolio-level KPIs, such as the Default Rate or Average Loan Amount, the Portfolio Growth indicator introduces a dynamic dimension to the analysis, enabling the identification of expansion and contraction phases in lending activity across origination years.</w:t>
      </w:r>
      <w:r w:rsidR="00DB687E">
        <w:t xml:space="preserve"> </w:t>
      </w:r>
      <w:r w:rsidRPr="00FA3239">
        <w:t xml:space="preserve">Formally, portfolio growth is computed by aggregating the total originated loan </w:t>
      </w:r>
      <w:r w:rsidR="00E00445" w:rsidRPr="00FA3239">
        <w:t>amount by</w:t>
      </w:r>
      <w:r w:rsidRPr="00FA3239">
        <w:t xml:space="preserve"> origination year </w:t>
      </w:r>
      <w:r w:rsidR="00DB687E">
        <w:t xml:space="preserve">and </w:t>
      </w:r>
      <w:r w:rsidRPr="00FA3239">
        <w:t>calculating the year-over-year growth rate of total exposure. The growth rate is derived using a lagged comparison of annual origination volumes, expressed as the relative change between the current year and the preceding year.</w:t>
      </w:r>
      <w:r w:rsidR="008550FF" w:rsidRPr="008550FF">
        <w:t xml:space="preserve"> </w:t>
      </w:r>
      <w:r w:rsidR="00C352C8" w:rsidRPr="00C352C8">
        <w:t>The portfolio growth KPI is computed after data validation at the analytics layer using Python-based aggregation logic. Annual loan volumes are first calculated by grouping loan amounts by issuance year. Year-over-year growth rates are then derived using percentage change calculations applied to the ordered time series of annual volumes.</w:t>
      </w:r>
      <w:r w:rsidR="00C352C8" w:rsidRPr="00C352C8">
        <w:t xml:space="preserve"> </w:t>
      </w:r>
      <w:r w:rsidR="00C352C8" w:rsidRPr="00C352C8">
        <w:t>This approach provides a clear and reproducible computation of portfolio growth dynamics, while maintaining full transparency of the transformation logic within the data engineering pipeline.</w:t>
      </w:r>
    </w:p>
    <w:p w14:paraId="6E542E19" w14:textId="3C545966" w:rsidR="00FA3239" w:rsidRPr="008550FF" w:rsidRDefault="00FA3239" w:rsidP="00FA3239"/>
    <w:p w14:paraId="389168D6" w14:textId="4F8A4C44" w:rsidR="00FA3239" w:rsidRPr="00FA3239" w:rsidRDefault="00FA3239" w:rsidP="00FA3239">
      <w:r w:rsidRPr="00FA3239">
        <w:t>Empirical results reveal a pronounced expansion of the loan portfolio over the examined origination period. Total annual loan origination volumes increase substantially from the earliest years of the dataset, reflecting the scaling trajectory of the lending platform.</w:t>
      </w:r>
      <w:r w:rsidR="00912227" w:rsidRPr="00912227">
        <w:t xml:space="preserve"> </w:t>
      </w:r>
      <w:r w:rsidRPr="00FA3239">
        <w:t xml:space="preserve">In the initial years, origination volumes </w:t>
      </w:r>
      <w:proofErr w:type="gramStart"/>
      <w:r w:rsidRPr="00FA3239">
        <w:t>are</w:t>
      </w:r>
      <w:proofErr w:type="gramEnd"/>
      <w:r w:rsidRPr="00FA3239">
        <w:t xml:space="preserve"> relatively low, corresponding to the early operational phase of the platform. Subsequent years exhibit rapid growth, with total loan amounts increasing sharply on a year-over-year basis. This expansionary phase is characterized by high </w:t>
      </w:r>
      <w:proofErr w:type="gramStart"/>
      <w:r w:rsidRPr="00FA3239">
        <w:t>positive growth</w:t>
      </w:r>
      <w:proofErr w:type="gramEnd"/>
      <w:r w:rsidRPr="00FA3239">
        <w:t xml:space="preserve"> rates, indicating accelerated portfolio scaling and increased lending activity.</w:t>
      </w:r>
      <w:r w:rsidR="002D7D51" w:rsidRPr="002D7D51">
        <w:t xml:space="preserve"> </w:t>
      </w:r>
      <w:r w:rsidRPr="00FA3239">
        <w:t>In later years, the growth trajectory moderates. While total loan origination volumes continue to rise in absolute terms, year-over-year growth rates decline and, in certain periods, approach zero or become marginally negative. This pattern suggests a transition from an early-stage high-growth phase toward a more mature portfolio structure, where lending activity stabilizes and expansion becomes more incremental.</w:t>
      </w:r>
    </w:p>
    <w:p w14:paraId="3D6FAE90" w14:textId="73270EF7" w:rsidR="00FA3239" w:rsidRPr="00FA3239" w:rsidRDefault="00FA3239" w:rsidP="00FA3239">
      <w:pPr>
        <w:rPr>
          <w:b/>
          <w:bCs/>
        </w:rPr>
      </w:pPr>
      <w:r w:rsidRPr="00FA3239">
        <w:rPr>
          <w:b/>
          <w:bCs/>
        </w:rPr>
        <w:t>4.6.</w:t>
      </w:r>
      <w:r w:rsidR="00C352C8">
        <w:rPr>
          <w:b/>
          <w:bCs/>
          <w:lang w:val="el-GR"/>
        </w:rPr>
        <w:t>2</w:t>
      </w:r>
      <w:r w:rsidRPr="00FA3239">
        <w:rPr>
          <w:b/>
          <w:bCs/>
        </w:rPr>
        <w:t xml:space="preserve"> Temporal Patterns and Structural Interpretation</w:t>
      </w:r>
    </w:p>
    <w:p w14:paraId="00889578" w14:textId="77777777" w:rsidR="00FA3239" w:rsidRPr="00FA3239" w:rsidRDefault="00FA3239" w:rsidP="00FA3239">
      <w:r w:rsidRPr="00FA3239">
        <w:t>The observed portfolio growth pattern exhibits a clear non-linear structure over time. Early periods are characterized by rapid relative growth, driven by a low initial base and expanding borrower acquisition. As the portfolio matures, growth rates decline despite increasing absolute loan volumes, reflecting structural constraints such as market saturation, regulatory considerations, and evolving underwriting standards.</w:t>
      </w:r>
    </w:p>
    <w:p w14:paraId="12DAD731" w14:textId="77777777" w:rsidR="00FA3239" w:rsidRPr="00FA3239" w:rsidRDefault="00FA3239" w:rsidP="00FA3239">
      <w:r w:rsidRPr="00FA3239">
        <w:t>The presence of a marginally negative growth rate in later years highlights the sensitivity of year-over-year metrics to changes in lending strategy or external conditions. Such contractions may be associated with tighter credit policies, shifts in risk appetite, or broader macroeconomic factors influencing borrower demand and loan supply.</w:t>
      </w:r>
    </w:p>
    <w:p w14:paraId="32CE8C1F" w14:textId="03B0A1BC" w:rsidR="00FA3239" w:rsidRPr="00FA3239" w:rsidRDefault="00FA3239" w:rsidP="00FA3239">
      <w:r w:rsidRPr="00FA3239">
        <w:t>Importantly, the decoupling between absolute origination volumes and relative growth rates underscores the analytical value of examining both measures jointly. While absolute loan volumes provide insight into portfolio scale, growth rates capture changes in momentum and strategic direction. Together, these indicators offer a more comprehensive understanding of portfolio dynamics than either metric in isolation.</w:t>
      </w:r>
    </w:p>
    <w:p w14:paraId="38E25B67" w14:textId="1746F4BF" w:rsidR="00FA3239" w:rsidRPr="00FA3239" w:rsidRDefault="00FA3239" w:rsidP="00FA3239">
      <w:pPr>
        <w:rPr>
          <w:b/>
          <w:bCs/>
        </w:rPr>
      </w:pPr>
      <w:r w:rsidRPr="00FA3239">
        <w:rPr>
          <w:b/>
          <w:bCs/>
        </w:rPr>
        <w:t>4.6.</w:t>
      </w:r>
      <w:r w:rsidR="00C352C8" w:rsidRPr="00912227">
        <w:rPr>
          <w:b/>
          <w:bCs/>
        </w:rPr>
        <w:t>3</w:t>
      </w:r>
      <w:r w:rsidRPr="00FA3239">
        <w:rPr>
          <w:b/>
          <w:bCs/>
        </w:rPr>
        <w:t xml:space="preserve"> Implications for Portfolio Monitoring and Governance</w:t>
      </w:r>
    </w:p>
    <w:p w14:paraId="5ED94599" w14:textId="77777777" w:rsidR="00FA3239" w:rsidRPr="00FA3239" w:rsidRDefault="00FA3239" w:rsidP="00FA3239">
      <w:r w:rsidRPr="00FA3239">
        <w:t>From a portfolio monitoring perspective, growth dynamics constitute a critical dimension of risk assessment and strategic oversight. Rapid expansion phases may introduce elevated credit risk if underwriting standards deteriorate or operational capacity fails to scale proportionally. Conversely, periods of stagnation or contraction may signal shifts toward risk containment or responses to adverse external conditions.</w:t>
      </w:r>
    </w:p>
    <w:p w14:paraId="256493EC" w14:textId="244310D9" w:rsidR="00FA3239" w:rsidRPr="00FA3239" w:rsidRDefault="00960A5F" w:rsidP="00FA3239">
      <w:r w:rsidRPr="00960A5F">
        <w:lastRenderedPageBreak/>
        <w:t>The reproducible computation of portfolio growth within the analytics layer enables consistent longitudinal monitoring and supports governance-oriented reporting. Growth metrics are derived directly from validated loan-level data and computed through transparent, Python-based aggregation logic, ensuring that results can be audited, extended, and segmented without modification to the underlying data architecture.</w:t>
      </w:r>
      <w:r>
        <w:t xml:space="preserve"> </w:t>
      </w:r>
      <w:r w:rsidR="00FA3239" w:rsidRPr="00FA3239">
        <w:t>When interpreted jointly with other portfolio-level KPIs, such as the Default Rate and Average Interest Rate, Portfolio Growth provides essential context for understanding the evolution of the portfolio’s risk–return profile over time. Expansion phases accompanied by stable default rates and consistent pricing suggest controlled growth, while divergence between growth and risk indicators may warrant closer supervisory attention.</w:t>
      </w:r>
    </w:p>
    <w:p w14:paraId="199DE848" w14:textId="3C38FE96" w:rsidR="00E54557" w:rsidRDefault="00E54557" w:rsidP="00677D98">
      <w:pPr>
        <w:rPr>
          <w:lang w:val="el-GR"/>
        </w:rPr>
      </w:pPr>
      <w:r w:rsidRPr="00E54557">
        <w:t>Overall, the observed growth pattern is consistent with the expected lifecycle of a rapidly scaling lending platform. The transition from high relative growth rates to more moderate expansion suggests portfolio maturation rather than structural contraction. In the absence of a simultaneous deterioration in core risk indicators, such as default rates or pricing metrics, the slowdown in growth is interpreted as a stabilizing adjustment rather than a signal of portfolio stress.</w:t>
      </w:r>
    </w:p>
    <w:p w14:paraId="00815709" w14:textId="27541C08" w:rsidR="00D635C5" w:rsidRDefault="00D635C5" w:rsidP="00677D98">
      <w:pPr>
        <w:rPr>
          <w:b/>
          <w:bCs/>
          <w:lang w:val="el-GR"/>
        </w:rPr>
      </w:pPr>
      <w:r w:rsidRPr="00D635C5">
        <w:rPr>
          <w:b/>
          <w:bCs/>
        </w:rPr>
        <w:t>4.6.4 Temporal Dynamics and Growth Volatility</w:t>
      </w:r>
    </w:p>
    <w:p w14:paraId="64C37A8F" w14:textId="77777777" w:rsidR="00DA6214" w:rsidRPr="00DA6214" w:rsidRDefault="00DA6214" w:rsidP="00DA6214">
      <w:r w:rsidRPr="00DA6214">
        <w:t>The observed variation in annual growth rates highlights the inherently cyclical nature of lending activity. Early-stage expansion phases are characterized by high relative growth rates, reflecting the low base effect associated with smaller initial portfolio sizes. As the portfolio matures and origination volumes increase, growth rates tend to stabilize and exhibit lower relative volatility.</w:t>
      </w:r>
    </w:p>
    <w:p w14:paraId="3A419A77" w14:textId="77777777" w:rsidR="00DA6214" w:rsidRDefault="00DA6214" w:rsidP="00DA6214">
      <w:pPr>
        <w:rPr>
          <w:lang w:val="el-GR"/>
        </w:rPr>
      </w:pPr>
      <w:r w:rsidRPr="00DA6214">
        <w:t>The occurrence of negative or near-zero growth in later years suggests a transition from aggressive expansion toward consolidation or more cautious lending behavior. Such dynamics are consistent with portfolio maturation processes, where scaling constraints, risk management considerations, and regulatory pressures increasingly shape lending decisions.</w:t>
      </w:r>
    </w:p>
    <w:p w14:paraId="067ECBEF" w14:textId="49625402" w:rsidR="00CA5F3A" w:rsidRPr="00CA5F3A" w:rsidRDefault="00CA5F3A" w:rsidP="00DA6214">
      <w:pPr>
        <w:rPr>
          <w:lang w:val="el-GR"/>
        </w:rPr>
      </w:pPr>
      <w:r w:rsidRPr="006E0ADB">
        <w:rPr>
          <w:noProof/>
        </w:rPr>
        <w:lastRenderedPageBreak/>
        <w:drawing>
          <wp:inline distT="0" distB="0" distL="0" distR="0" wp14:anchorId="5C3DB5CE" wp14:editId="4604950E">
            <wp:extent cx="5486400" cy="2708275"/>
            <wp:effectExtent l="0" t="0" r="0" b="0"/>
            <wp:docPr id="14690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33807" name=""/>
                    <pic:cNvPicPr/>
                  </pic:nvPicPr>
                  <pic:blipFill>
                    <a:blip r:embed="rId5"/>
                    <a:stretch>
                      <a:fillRect/>
                    </a:stretch>
                  </pic:blipFill>
                  <pic:spPr>
                    <a:xfrm>
                      <a:off x="0" y="0"/>
                      <a:ext cx="5486400" cy="2708275"/>
                    </a:xfrm>
                    <a:prstGeom prst="rect">
                      <a:avLst/>
                    </a:prstGeom>
                  </pic:spPr>
                </pic:pic>
              </a:graphicData>
            </a:graphic>
          </wp:inline>
        </w:drawing>
      </w:r>
    </w:p>
    <w:p w14:paraId="3D1A0DF8" w14:textId="6360CFF2" w:rsidR="00CA5F3A" w:rsidRPr="00CA5F3A" w:rsidRDefault="00CA5F3A" w:rsidP="00DA6214">
      <w:pPr>
        <w:rPr>
          <w:lang w:val="el-GR"/>
        </w:rPr>
      </w:pPr>
      <w:r w:rsidRPr="00CA5F3A">
        <w:rPr>
          <w:b/>
          <w:bCs/>
        </w:rPr>
        <w:t>Figure 4.2: Portfolio Growth – Total Loan Amount by Year</w:t>
      </w:r>
      <w:r w:rsidRPr="00CA5F3A">
        <w:br/>
        <w:t>The figure illustrates the annual evolution of total originated loan amounts, serving as the primary measure of portfolio growth over time.</w:t>
      </w:r>
    </w:p>
    <w:p w14:paraId="01CF8AE5" w14:textId="756EF781" w:rsidR="00DA6214" w:rsidRDefault="00DA6214" w:rsidP="00DA6214">
      <w:pPr>
        <w:rPr>
          <w:lang w:val="el-GR"/>
        </w:rPr>
      </w:pPr>
      <w:r w:rsidRPr="00DA6214">
        <w:t>From an analytical perspective, these findings emphasize the importance of interpreting growth metrics jointly with risk and pricing indicators. Rapid portfolio expansion, while indicative of business growth, may coincide with shifts in credit quality or underwriting standards, whereas slower growth may reflect deliberate risk containment strategies.</w:t>
      </w:r>
    </w:p>
    <w:p w14:paraId="16B5DAB0" w14:textId="7854AD67" w:rsidR="00D65E79" w:rsidRDefault="006A73DF" w:rsidP="00DA6214">
      <w:pPr>
        <w:rPr>
          <w:lang w:val="el-GR"/>
        </w:rPr>
      </w:pPr>
      <w:r w:rsidRPr="00A019A8">
        <w:rPr>
          <w:noProof/>
        </w:rPr>
        <w:drawing>
          <wp:inline distT="0" distB="0" distL="0" distR="0" wp14:anchorId="638D31D7" wp14:editId="18B6034A">
            <wp:extent cx="5486400" cy="2708275"/>
            <wp:effectExtent l="0" t="0" r="0" b="0"/>
            <wp:docPr id="178399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44865" name=""/>
                    <pic:cNvPicPr/>
                  </pic:nvPicPr>
                  <pic:blipFill>
                    <a:blip r:embed="rId6"/>
                    <a:stretch>
                      <a:fillRect/>
                    </a:stretch>
                  </pic:blipFill>
                  <pic:spPr>
                    <a:xfrm>
                      <a:off x="0" y="0"/>
                      <a:ext cx="5486400" cy="2708275"/>
                    </a:xfrm>
                    <a:prstGeom prst="rect">
                      <a:avLst/>
                    </a:prstGeom>
                  </pic:spPr>
                </pic:pic>
              </a:graphicData>
            </a:graphic>
          </wp:inline>
        </w:drawing>
      </w:r>
    </w:p>
    <w:p w14:paraId="4E20F6E7" w14:textId="77777777" w:rsidR="002D298D" w:rsidRPr="002D298D" w:rsidRDefault="002D298D" w:rsidP="002D298D">
      <w:r w:rsidRPr="002D298D">
        <w:rPr>
          <w:b/>
          <w:bCs/>
        </w:rPr>
        <w:t>Figure 4.3: Portfolio Growth – Year-over-Year Growth Rate</w:t>
      </w:r>
      <w:r w:rsidRPr="002D298D">
        <w:br/>
        <w:t>The figure illustrates the annual percentage change in total originated loan amounts, highlighting periods of accelerated expansion, deceleration, and temporary contraction.</w:t>
      </w:r>
    </w:p>
    <w:p w14:paraId="61ACE198" w14:textId="77777777" w:rsidR="002D298D" w:rsidRPr="002D298D" w:rsidRDefault="002D298D" w:rsidP="002D298D">
      <w:r w:rsidRPr="002D298D">
        <w:lastRenderedPageBreak/>
        <w:t>The growth pattern is not uniform across time. Several years display particularly strong expansion, characterized by substantial year-over-year increases in total originated loan amounts. These phases suggest periods of accelerated scaling, potentially driven by favorable market conditions, increased borrower demand, or strategic platform growth.</w:t>
      </w:r>
    </w:p>
    <w:p w14:paraId="7F75911B" w14:textId="422F3B2A" w:rsidR="006A73DF" w:rsidRPr="002D298D" w:rsidRDefault="002D298D" w:rsidP="00DA6214">
      <w:pPr>
        <w:rPr>
          <w:lang w:val="el-GR"/>
        </w:rPr>
      </w:pPr>
      <w:r w:rsidRPr="002D298D">
        <w:t>Conversely, the analysis also identifies periods of slower growth and, in at least one instance, a contraction in origination volumes. The presence of a negative growth rate indicates that portfolio expansion is not strictly monotonic and may be influenced by external factors such as changes in underwriting standards, funding conditions, or macroeconomic uncertainty.</w:t>
      </w:r>
    </w:p>
    <w:p w14:paraId="77C34798" w14:textId="64E71BFD" w:rsidR="00C83C59" w:rsidRPr="00C83C59" w:rsidRDefault="00C83C59" w:rsidP="00C83C59">
      <w:pPr>
        <w:rPr>
          <w:b/>
          <w:bCs/>
        </w:rPr>
      </w:pPr>
      <w:r w:rsidRPr="00C83C59">
        <w:rPr>
          <w:b/>
          <w:bCs/>
        </w:rPr>
        <w:t>4.</w:t>
      </w:r>
      <w:r>
        <w:rPr>
          <w:b/>
          <w:bCs/>
          <w:lang w:val="el-GR"/>
        </w:rPr>
        <w:t>6.5</w:t>
      </w:r>
      <w:r w:rsidRPr="00C83C59">
        <w:rPr>
          <w:b/>
          <w:bCs/>
        </w:rPr>
        <w:t xml:space="preserve"> Interpretation and Strategic Implications</w:t>
      </w:r>
    </w:p>
    <w:p w14:paraId="199E9A97" w14:textId="77777777" w:rsidR="00C83C59" w:rsidRPr="00C83C59" w:rsidRDefault="00C83C59" w:rsidP="00C83C59">
      <w:r w:rsidRPr="00C83C59">
        <w:t>Portfolio Growth provides essential context for interpreting the empirical results presented throughout this chapter. The combination of sustained long-term expansion with episodic volatility suggests that the portfolio has undergone multiple strategic phases rather than following a single homogeneous growth trajectory.</w:t>
      </w:r>
    </w:p>
    <w:p w14:paraId="749D5CCF" w14:textId="77777777" w:rsidR="00C83C59" w:rsidRPr="00C83C59" w:rsidRDefault="00C83C59" w:rsidP="00C83C59">
      <w:r w:rsidRPr="00C83C59">
        <w:t xml:space="preserve">When examined alongside the Default Rate and the Average Interest Rate, </w:t>
      </w:r>
      <w:proofErr w:type="gramStart"/>
      <w:r w:rsidRPr="00C83C59">
        <w:t>the growth</w:t>
      </w:r>
      <w:proofErr w:type="gramEnd"/>
      <w:r w:rsidRPr="00C83C59">
        <w:t xml:space="preserve"> dynamics offer insight into the sustainability of portfolio performance. Periods of strong growth accompanied by moderate default levels and stable pricing indicate effective scaling without excessive risk accumulation. In contrast, growth slowdowns or contractions may signal shifts in risk appetite or responses to adverse external conditions.</w:t>
      </w:r>
    </w:p>
    <w:p w14:paraId="53FE55C1" w14:textId="77777777" w:rsidR="00C83C59" w:rsidRPr="00C83C59" w:rsidRDefault="00C83C59" w:rsidP="00C83C59">
      <w:r w:rsidRPr="00C83C59">
        <w:t xml:space="preserve">From a governance and data engineering standpoint, the dynamic computation of portfolio growth underscores the value of maintaining temporally consistent and well-typed date attributes within the analytics schema. The ability to compute growth metrics </w:t>
      </w:r>
      <w:proofErr w:type="gramStart"/>
      <w:r w:rsidRPr="00C83C59">
        <w:t>deterministically across time</w:t>
      </w:r>
      <w:proofErr w:type="gramEnd"/>
      <w:r w:rsidRPr="00C83C59">
        <w:t xml:space="preserve"> validates the pipeline’s suitability for longitudinal analysis and supports its applicability to real-world portfolio monitoring and reporting frameworks.</w:t>
      </w:r>
    </w:p>
    <w:p w14:paraId="11D7AE1A" w14:textId="31792A32" w:rsidR="00925592" w:rsidRPr="00925592" w:rsidRDefault="00925592" w:rsidP="00925592">
      <w:pPr>
        <w:rPr>
          <w:b/>
          <w:bCs/>
        </w:rPr>
      </w:pPr>
      <w:r w:rsidRPr="00925592">
        <w:rPr>
          <w:b/>
          <w:bCs/>
        </w:rPr>
        <w:t>4.</w:t>
      </w:r>
      <w:r>
        <w:rPr>
          <w:b/>
          <w:bCs/>
          <w:lang w:val="el-GR"/>
        </w:rPr>
        <w:t>6</w:t>
      </w:r>
      <w:r w:rsidRPr="00925592">
        <w:rPr>
          <w:b/>
          <w:bCs/>
        </w:rPr>
        <w:t>.</w:t>
      </w:r>
      <w:r>
        <w:rPr>
          <w:b/>
          <w:bCs/>
          <w:lang w:val="el-GR"/>
        </w:rPr>
        <w:t>6</w:t>
      </w:r>
      <w:r w:rsidRPr="00925592">
        <w:rPr>
          <w:b/>
          <w:bCs/>
        </w:rPr>
        <w:t xml:space="preserve"> Analytical Limitations</w:t>
      </w:r>
    </w:p>
    <w:p w14:paraId="1A3ED4EB" w14:textId="77777777" w:rsidR="00925592" w:rsidRPr="00925592" w:rsidRDefault="00925592" w:rsidP="00925592">
      <w:r w:rsidRPr="00925592">
        <w:t>While the Portfolio Growth KPI provides valuable insight into the evolution of lending activity, it remains a descriptive indicator based on historical origination data. The metric does not account for loan prepayments, early repayments, or portfolio runoff effects, nor does it capture changes in outstanding balances over time.</w:t>
      </w:r>
    </w:p>
    <w:p w14:paraId="68C02561" w14:textId="5EF9A727" w:rsidR="00D635C5" w:rsidRPr="002D298D" w:rsidRDefault="00925592" w:rsidP="00677D98">
      <w:pPr>
        <w:rPr>
          <w:lang w:val="el-GR"/>
        </w:rPr>
      </w:pPr>
      <w:r w:rsidRPr="00925592">
        <w:t>Nevertheless, within the scope of this thesis, Portfolio Growth serves as a robust indicator of business scale and temporal dynamics, complementing the static and structural KPIs presented in previous sections.</w:t>
      </w:r>
    </w:p>
    <w:p w14:paraId="6F71C58F" w14:textId="6DF98CDD" w:rsidR="00677D98" w:rsidRPr="00677D98" w:rsidRDefault="00677D98" w:rsidP="00677D98">
      <w:pPr>
        <w:rPr>
          <w:b/>
          <w:bCs/>
        </w:rPr>
      </w:pPr>
      <w:r w:rsidRPr="00677D98">
        <w:rPr>
          <w:b/>
          <w:bCs/>
        </w:rPr>
        <w:lastRenderedPageBreak/>
        <w:t>4.7 Loan Distribution by Credit Grade</w:t>
      </w:r>
    </w:p>
    <w:p w14:paraId="7AB4E17A" w14:textId="77777777" w:rsidR="00677D98" w:rsidRPr="00677D98" w:rsidRDefault="00677D98" w:rsidP="00677D98">
      <w:pPr>
        <w:rPr>
          <w:b/>
          <w:bCs/>
        </w:rPr>
      </w:pPr>
      <w:r w:rsidRPr="00677D98">
        <w:rPr>
          <w:b/>
          <w:bCs/>
        </w:rPr>
        <w:t>4.7.1 Definition and Analytical Scope</w:t>
      </w:r>
    </w:p>
    <w:p w14:paraId="083B0022" w14:textId="77777777" w:rsidR="00677D98" w:rsidRPr="00677D98" w:rsidRDefault="00677D98" w:rsidP="00677D98">
      <w:r w:rsidRPr="00677D98">
        <w:t>The Loan Distribution by Credit Grade provides a structural overview of the portfolio by describing how loan exposures are allocated across standardized credit risk categories. Credit grades are ordinal classifications assigned at loan origination and are designed to capture borrower creditworthiness based on a combination of financial, behavioral, and demographic characteristics.</w:t>
      </w:r>
    </w:p>
    <w:p w14:paraId="71E6E282" w14:textId="510F7446" w:rsidR="00677D98" w:rsidRPr="00677D98" w:rsidRDefault="00677D98" w:rsidP="00677D98">
      <w:r w:rsidRPr="00677D98">
        <w:t xml:space="preserve">In the context of portfolio-level monitoring, credit grade distribution plays a critical role in assessing the underlying risk profile of the portfolio. Unlike performance indicators such as the Default Rate, which capture realized outcomes, the distribution across credit grades reflects the </w:t>
      </w:r>
      <w:r w:rsidRPr="00E242DE">
        <w:t>ex-ante</w:t>
      </w:r>
      <w:r w:rsidRPr="00677D98">
        <w:t xml:space="preserve"> risk composition of the portfolio and offers insight into underwriting standards, risk appetite, and allocation strategies.</w:t>
      </w:r>
      <w:r w:rsidR="00C51519">
        <w:t xml:space="preserve"> </w:t>
      </w:r>
      <w:r w:rsidRPr="00677D98">
        <w:t>The analysis is performed using the ordinal credit grade variable stored in the analytics schema, ensuring that grade definitions remain consistent with those applied during feature engineering and upstream data standardization.</w:t>
      </w:r>
    </w:p>
    <w:p w14:paraId="4500802A" w14:textId="2829D8BA" w:rsidR="00677D98" w:rsidRPr="00677D98" w:rsidRDefault="00677D98" w:rsidP="00677D98">
      <w:r w:rsidRPr="00677D98">
        <w:t>Empirical results indicate that the loan portfolio is not evenly distributed across credit grades but instead exhibits a pronounced concentration in intermediate risk categories. A substantial share of total loan volume is allocated to mid-range grades, while both the lowest-risk and highest-risk grades represent comparatively smaller proportions of the portfolio.</w:t>
      </w:r>
    </w:p>
    <w:p w14:paraId="7E57592C" w14:textId="083DE65E" w:rsidR="00677D98" w:rsidRPr="00677D98" w:rsidRDefault="00677D98" w:rsidP="00677D98">
      <w:r w:rsidRPr="00677D98">
        <w:t>This distributional pattern suggests a deliberate allocation strategy that balances risk and return considerations. Concentration in intermediate grades typically reflects a trade-off between credit quality and pricing potential, as these segments often offer higher yields than prime borrowers while avoiding the elevated default risk associated with the weakest credit categories.</w:t>
      </w:r>
      <w:r w:rsidR="00F117F4">
        <w:t xml:space="preserve"> </w:t>
      </w:r>
      <w:r w:rsidRPr="00677D98">
        <w:t>Lower-risk grades account for a relatively limited share of the portfolio, indicating that the dataset is not dominated by highly conservative lending. At the same time, the exposure to the highest-risk grades remains contained, suggesting that extreme credit risk is actively managed rather than aggressively pursued.</w:t>
      </w:r>
    </w:p>
    <w:p w14:paraId="7804FAAC" w14:textId="4F1578E4" w:rsidR="00677D98" w:rsidRPr="00677D98" w:rsidRDefault="00677D98" w:rsidP="00677D98">
      <w:pPr>
        <w:rPr>
          <w:b/>
          <w:bCs/>
        </w:rPr>
      </w:pPr>
      <w:r w:rsidRPr="00677D98">
        <w:rPr>
          <w:b/>
          <w:bCs/>
        </w:rPr>
        <w:t>4.7.</w:t>
      </w:r>
      <w:r w:rsidR="009A458D">
        <w:rPr>
          <w:b/>
          <w:bCs/>
        </w:rPr>
        <w:t>2</w:t>
      </w:r>
      <w:r w:rsidRPr="00677D98">
        <w:rPr>
          <w:b/>
          <w:bCs/>
        </w:rPr>
        <w:t xml:space="preserve"> Portfolio Structure and Risk Implications</w:t>
      </w:r>
    </w:p>
    <w:p w14:paraId="25248BD4" w14:textId="5389F37F" w:rsidR="00677D98" w:rsidRPr="00677D98" w:rsidRDefault="00677D98" w:rsidP="00677D98">
      <w:r w:rsidRPr="00677D98">
        <w:t>The observed credit grade distribution has important implications for portfolio risk assessment and interpretation of other KPIs presented in this chapter. Because default behavior and interest rate levels are strongly correlated with credit grades, the structural composition of the portfolio directly influences aggregate metrics such as the Default Rate and the Average Interest Rate.</w:t>
      </w:r>
      <w:r w:rsidR="00E37403">
        <w:t xml:space="preserve"> </w:t>
      </w:r>
      <w:r w:rsidRPr="00677D98">
        <w:t xml:space="preserve">A portfolio concentrated in intermediate </w:t>
      </w:r>
      <w:r w:rsidRPr="00677D98">
        <w:lastRenderedPageBreak/>
        <w:t>grades is generally expected to exhibit moderate default frequencies combined with pricing levels sufficient to compensate for realized risk. This structural characteristic is consistent with the empirical findings documented in previous sections, where a relatively low portfolio-level Default Rate coexists with a moderately elevated Average Interest Rate.</w:t>
      </w:r>
    </w:p>
    <w:p w14:paraId="70754B44" w14:textId="24D82952" w:rsidR="00677D98" w:rsidRDefault="00677D98" w:rsidP="00677D98">
      <w:r w:rsidRPr="00677D98">
        <w:t>From a risk management perspective, the credit grade distribution provides a foundational context for understanding portfolio performance. It clarifies whether observed outcomes are driven by favorable borrower behavior, conservative underwriting, or simply by the underlying allocation of loans across risk categories.</w:t>
      </w:r>
    </w:p>
    <w:p w14:paraId="25D728CA" w14:textId="5DC00C3D" w:rsidR="00DA4FE5" w:rsidRPr="00677D98" w:rsidRDefault="00FF3166" w:rsidP="00677D98">
      <w:r w:rsidRPr="00FF3166">
        <w:rPr>
          <w:noProof/>
        </w:rPr>
        <w:drawing>
          <wp:inline distT="0" distB="0" distL="0" distR="0" wp14:anchorId="2BA26145" wp14:editId="1780A0EF">
            <wp:extent cx="5486400" cy="3105785"/>
            <wp:effectExtent l="0" t="0" r="0" b="0"/>
            <wp:docPr id="89206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61049" name=""/>
                    <pic:cNvPicPr/>
                  </pic:nvPicPr>
                  <pic:blipFill>
                    <a:blip r:embed="rId7"/>
                    <a:stretch>
                      <a:fillRect/>
                    </a:stretch>
                  </pic:blipFill>
                  <pic:spPr>
                    <a:xfrm>
                      <a:off x="0" y="0"/>
                      <a:ext cx="5486400" cy="3105785"/>
                    </a:xfrm>
                    <a:prstGeom prst="rect">
                      <a:avLst/>
                    </a:prstGeom>
                  </pic:spPr>
                </pic:pic>
              </a:graphicData>
            </a:graphic>
          </wp:inline>
        </w:drawing>
      </w:r>
    </w:p>
    <w:p w14:paraId="3635C7B7" w14:textId="39B68028" w:rsidR="00806C4F" w:rsidRDefault="00EC7265" w:rsidP="00677D98">
      <w:pPr>
        <w:rPr>
          <w:b/>
          <w:bCs/>
        </w:rPr>
      </w:pPr>
      <w:r w:rsidRPr="00EC7265">
        <w:rPr>
          <w:b/>
          <w:bCs/>
        </w:rPr>
        <w:t>Figure 4.</w:t>
      </w:r>
      <w:r>
        <w:rPr>
          <w:b/>
          <w:bCs/>
        </w:rPr>
        <w:t>1</w:t>
      </w:r>
      <w:r w:rsidRPr="00EC7265">
        <w:rPr>
          <w:b/>
          <w:bCs/>
        </w:rPr>
        <w:t>: Loan Distribution by Credit Grade.</w:t>
      </w:r>
      <w:r w:rsidRPr="00EC7265">
        <w:rPr>
          <w:b/>
          <w:bCs/>
        </w:rPr>
        <w:br/>
      </w:r>
      <w:r w:rsidRPr="00EC7265">
        <w:t>The figure illustrates the proportion of loans across standardized credit grades (A–G). The portfolio is primarily concentrated in intermediate risk categories, with the highest shares observed in grades E and F, while high-quality (A–B) grades represent a relatively small fraction of total originations.</w:t>
      </w:r>
    </w:p>
    <w:p w14:paraId="10ADC2CE" w14:textId="294A6BCB" w:rsidR="00677D98" w:rsidRPr="00EF39F0" w:rsidRDefault="00677D98" w:rsidP="00677D98">
      <w:r w:rsidRPr="00677D98">
        <w:t>From a data governance and engineering standpoint, the ability to analyze loan distribution by credit grade demonstrates the robustness of the implemented analytics schema. The preservation of semantically consistent categorical variables throughout the pipeline enables deterministic aggregation and reproducible structural analysis without additional transformation logic.</w:t>
      </w:r>
      <w:r w:rsidR="00EF39F0" w:rsidRPr="00EF39F0">
        <w:t xml:space="preserve"> </w:t>
      </w:r>
      <w:r w:rsidRPr="00677D98">
        <w:t xml:space="preserve">Moreover, the grade-based distribution constitutes a natural anchor for further segmentation analysis, such as grade-level default rates or pricing differentiation. Although such extensions fall outside the </w:t>
      </w:r>
      <w:r w:rsidRPr="00677D98">
        <w:lastRenderedPageBreak/>
        <w:t>descriptive scope of this chapter, the current results confirm that the data architecture supports risk-aware portfolio monitoring aligned with both academic and supervisory analytical practices.</w:t>
      </w:r>
    </w:p>
    <w:p w14:paraId="197010FA" w14:textId="75C065ED" w:rsidR="00960A5F" w:rsidRPr="002D298D" w:rsidRDefault="00643D9C" w:rsidP="00F81265">
      <w:pPr>
        <w:rPr>
          <w:lang w:val="el-GR"/>
        </w:rPr>
      </w:pPr>
      <w:r w:rsidRPr="00643D9C">
        <w:t>Overall, the concentration of loan exposures in intermediate credit grades reflects a portfolio structure aligned with moderate risk-taking rather than aggressive yield-seeking behavior. Given the limited exposure to both prime and high-risk segments, the observed distribution suggests a calibrated underwriting strategy that prioritizes risk-adjusted returns over volume expansion at the extremes of the credit spectrum. This structural composition provides a stable baseline for interpreting aggregate performance indicators and supports the view that observed portfolio outcomes are driven by intentional allocation choices rather than unintended risk concentration.</w:t>
      </w:r>
    </w:p>
    <w:p w14:paraId="1169B7DD" w14:textId="35C062CD" w:rsidR="00F81265" w:rsidRPr="00F81265" w:rsidRDefault="00F81265" w:rsidP="00F81265">
      <w:pPr>
        <w:rPr>
          <w:b/>
          <w:bCs/>
        </w:rPr>
      </w:pPr>
      <w:r w:rsidRPr="00F81265">
        <w:rPr>
          <w:b/>
          <w:bCs/>
        </w:rPr>
        <w:t>4.</w:t>
      </w:r>
      <w:r w:rsidR="002D298D">
        <w:rPr>
          <w:b/>
          <w:bCs/>
          <w:lang w:val="el-GR"/>
        </w:rPr>
        <w:t>8</w:t>
      </w:r>
      <w:r w:rsidRPr="00F81265">
        <w:rPr>
          <w:b/>
          <w:bCs/>
        </w:rPr>
        <w:t xml:space="preserve"> Synthesis of Empirical Results</w:t>
      </w:r>
    </w:p>
    <w:p w14:paraId="1FBF64F7" w14:textId="77777777" w:rsidR="00F81265" w:rsidRPr="00F81265" w:rsidRDefault="00F81265" w:rsidP="00F81265">
      <w:r w:rsidRPr="00F81265">
        <w:t>This chapter presented the empirical results derived from the implementation of the proposed end-to-end data engineering pipeline, focusing on a coherent set of portfolio-level KPIs that capture credit risk realization, exposure characteristics, pricing behavior, portfolio composition, and temporal dynamics. The analysis was conducted exclusively on the validated analytics schema, ensuring that all reported results are grounded in a governed, reproducible, and auditable data foundation.</w:t>
      </w:r>
    </w:p>
    <w:p w14:paraId="0C911CBE" w14:textId="77777777" w:rsidR="00F81265" w:rsidRPr="00F81265" w:rsidRDefault="00F81265" w:rsidP="00F81265">
      <w:r w:rsidRPr="00F81265">
        <w:t>Taken collectively, the empirical findings depict a loan portfolio characterized by moderate realized credit risk, balanced exposure sizing, and pricing levels consistent with risk-based lending practices. The observed Default Rate of approximately 1.15% indicates limited credit deterioration over the examined period, particularly when contextualized within an unsecured consumer lending environment. This result is further reinforced by the monotonic increase in default incidence across credit grades, confirming that ex-ante risk segmentation is reflected in ex-post portfolio performance.</w:t>
      </w:r>
    </w:p>
    <w:p w14:paraId="360863AA" w14:textId="197CA0B4" w:rsidR="00F81265" w:rsidRPr="00F81265" w:rsidRDefault="00F81265" w:rsidP="00F81265">
      <w:r w:rsidRPr="00F81265">
        <w:t>Exposure-related indicators provide additional insight into the structural characteristics of the portfolio. The Average Loan Amount of approximately 15,075 monetary units suggests a portfolio dominated by mid-sized consumer loans, supporting diversification and limiting concentration risk at the individual exposure level. When interpreted jointly with the Default Rate, this exposure profile implies that realized losses are unlikely to be driven by a small number of disproportionately large contracts but rather distributed across a broad base of loans.</w:t>
      </w:r>
    </w:p>
    <w:p w14:paraId="7AE444E6" w14:textId="77777777" w:rsidR="00F81265" w:rsidRPr="00F81265" w:rsidRDefault="00F81265" w:rsidP="00F81265">
      <w:r w:rsidRPr="00F81265">
        <w:t xml:space="preserve">Pricing dynamics further complement the risk assessment. The Average Interest Rate of approximately 13.03% reflects a portfolio positioned within a moderate-to-elevated pricing segment, consistent with heterogeneous borrower credit quality and risk-based </w:t>
      </w:r>
      <w:r w:rsidRPr="00F81265">
        <w:lastRenderedPageBreak/>
        <w:t>pricing mechanisms. When examined alongside the low observed Default Rate, the pricing level suggests that, over the observation window, contractual interest rates were broadly sufficient to compensate for realized credit risk. While this indicator does not capture net profitability or loss severity, it provides a meaningful descriptive benchmark for portfolio-level pricing behavior.</w:t>
      </w:r>
    </w:p>
    <w:p w14:paraId="22342B16" w14:textId="77777777" w:rsidR="00F81265" w:rsidRPr="00F81265" w:rsidRDefault="00F81265" w:rsidP="00F81265">
      <w:r w:rsidRPr="00F81265">
        <w:t>The analysis of portfolio growth introduces a dynamic perspective, revealing that lending activity evolved through distinct expansion and stabilization phases rather than following a uniform trajectory. Periods of rapid origination growth are followed by slower expansion and, in some instances, contraction, highlighting the cyclical nature of lending activity and the influence of strategic, institutional, and external factors. These findings underscore the importance of interpreting growth metrics jointly with risk and pricing indicators, as expansion dynamics alone do not provide sufficient information about portfolio sustainability.</w:t>
      </w:r>
    </w:p>
    <w:p w14:paraId="4665A476" w14:textId="77777777" w:rsidR="00F81265" w:rsidRPr="00F81265" w:rsidRDefault="00F81265" w:rsidP="00F81265">
      <w:r w:rsidRPr="00F81265">
        <w:t xml:space="preserve">Overall, the empirical results demonstrate that the implemented pipeline </w:t>
      </w:r>
      <w:proofErr w:type="gramStart"/>
      <w:r w:rsidRPr="00F81265">
        <w:t>is capable of producing</w:t>
      </w:r>
      <w:proofErr w:type="gramEnd"/>
      <w:r w:rsidRPr="00F81265">
        <w:t xml:space="preserve"> analytically coherent and economically interpretable portfolio-level indicators. Importantly, the reliability of these results is not derived solely from the numerical values themselves, but from the methodological rigor embedded in the pipeline architecture. Semantic typing, controlled data promotion, dynamic KPI computation, and integrated validation collectively ensure that the reported metrics are transparent, reproducible, and suitable for professional portfolio monitoring contexts.</w:t>
      </w:r>
    </w:p>
    <w:p w14:paraId="446328EB" w14:textId="77777777" w:rsidR="00F81265" w:rsidRPr="00F81265" w:rsidRDefault="00F81265" w:rsidP="00F81265">
      <w:r w:rsidRPr="00F81265">
        <w:t>This synthesis confirms that the proposed data-engineering–driven framework successfully operationalizes theoretical and regulatory concepts discussed in the literature review into measurable and governed analytical outputs. The following chapter builds upon these findings by discussing methodological limitations, potential extensions of the framework, and directions for future research and practical application.</w:t>
      </w:r>
    </w:p>
    <w:p w14:paraId="1D5B2A4B" w14:textId="65AB2E72" w:rsidR="000F00C4" w:rsidRPr="00611E8B" w:rsidRDefault="000F00C4"/>
    <w:sectPr w:rsidR="000F00C4" w:rsidRPr="00611E8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3F7F"/>
    <w:multiLevelType w:val="multilevel"/>
    <w:tmpl w:val="71C4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86F24"/>
    <w:multiLevelType w:val="multilevel"/>
    <w:tmpl w:val="30C42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45CE9"/>
    <w:multiLevelType w:val="multilevel"/>
    <w:tmpl w:val="64DC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D17F1"/>
    <w:multiLevelType w:val="multilevel"/>
    <w:tmpl w:val="3E86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9568D"/>
    <w:multiLevelType w:val="multilevel"/>
    <w:tmpl w:val="35DE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F2F29"/>
    <w:multiLevelType w:val="multilevel"/>
    <w:tmpl w:val="C92AD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110D50"/>
    <w:multiLevelType w:val="multilevel"/>
    <w:tmpl w:val="BF4C6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5319B"/>
    <w:multiLevelType w:val="multilevel"/>
    <w:tmpl w:val="73B6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F7E19"/>
    <w:multiLevelType w:val="multilevel"/>
    <w:tmpl w:val="C7F0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71196C"/>
    <w:multiLevelType w:val="multilevel"/>
    <w:tmpl w:val="1270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7E193C"/>
    <w:multiLevelType w:val="multilevel"/>
    <w:tmpl w:val="8820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F1D46"/>
    <w:multiLevelType w:val="multilevel"/>
    <w:tmpl w:val="9002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31FBE"/>
    <w:multiLevelType w:val="multilevel"/>
    <w:tmpl w:val="C886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DD4C2C"/>
    <w:multiLevelType w:val="multilevel"/>
    <w:tmpl w:val="D46E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A3981"/>
    <w:multiLevelType w:val="multilevel"/>
    <w:tmpl w:val="B0FA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654FA4"/>
    <w:multiLevelType w:val="multilevel"/>
    <w:tmpl w:val="F5EA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CA74D3"/>
    <w:multiLevelType w:val="multilevel"/>
    <w:tmpl w:val="1E36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281637"/>
    <w:multiLevelType w:val="multilevel"/>
    <w:tmpl w:val="BC9C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E5265"/>
    <w:multiLevelType w:val="multilevel"/>
    <w:tmpl w:val="53C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730182">
    <w:abstractNumId w:val="16"/>
  </w:num>
  <w:num w:numId="2" w16cid:durableId="1410469368">
    <w:abstractNumId w:val="18"/>
  </w:num>
  <w:num w:numId="3" w16cid:durableId="1713918858">
    <w:abstractNumId w:val="3"/>
  </w:num>
  <w:num w:numId="4" w16cid:durableId="2052799988">
    <w:abstractNumId w:val="4"/>
  </w:num>
  <w:num w:numId="5" w16cid:durableId="792333927">
    <w:abstractNumId w:val="0"/>
  </w:num>
  <w:num w:numId="6" w16cid:durableId="1837066801">
    <w:abstractNumId w:val="8"/>
  </w:num>
  <w:num w:numId="7" w16cid:durableId="588805871">
    <w:abstractNumId w:val="7"/>
  </w:num>
  <w:num w:numId="8" w16cid:durableId="1391028949">
    <w:abstractNumId w:val="2"/>
  </w:num>
  <w:num w:numId="9" w16cid:durableId="404642137">
    <w:abstractNumId w:val="9"/>
  </w:num>
  <w:num w:numId="10" w16cid:durableId="480538609">
    <w:abstractNumId w:val="1"/>
  </w:num>
  <w:num w:numId="11" w16cid:durableId="1593197547">
    <w:abstractNumId w:val="6"/>
  </w:num>
  <w:num w:numId="12" w16cid:durableId="554582446">
    <w:abstractNumId w:val="11"/>
  </w:num>
  <w:num w:numId="13" w16cid:durableId="123624298">
    <w:abstractNumId w:val="15"/>
  </w:num>
  <w:num w:numId="14" w16cid:durableId="1768192934">
    <w:abstractNumId w:val="10"/>
  </w:num>
  <w:num w:numId="15" w16cid:durableId="1958487014">
    <w:abstractNumId w:val="14"/>
  </w:num>
  <w:num w:numId="16" w16cid:durableId="1916235632">
    <w:abstractNumId w:val="13"/>
  </w:num>
  <w:num w:numId="17" w16cid:durableId="572205600">
    <w:abstractNumId w:val="17"/>
  </w:num>
  <w:num w:numId="18" w16cid:durableId="1071663329">
    <w:abstractNumId w:val="12"/>
  </w:num>
  <w:num w:numId="19" w16cid:durableId="16661242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5F3"/>
    <w:rsid w:val="000728E9"/>
    <w:rsid w:val="000857EB"/>
    <w:rsid w:val="000D7E5D"/>
    <w:rsid w:val="000F00C4"/>
    <w:rsid w:val="00123939"/>
    <w:rsid w:val="00154D8A"/>
    <w:rsid w:val="00156FDA"/>
    <w:rsid w:val="001B2728"/>
    <w:rsid w:val="001D2B17"/>
    <w:rsid w:val="00227912"/>
    <w:rsid w:val="002375EF"/>
    <w:rsid w:val="002638C4"/>
    <w:rsid w:val="002873C9"/>
    <w:rsid w:val="002D298D"/>
    <w:rsid w:val="002D7D51"/>
    <w:rsid w:val="00316D4A"/>
    <w:rsid w:val="00381FFB"/>
    <w:rsid w:val="003B078D"/>
    <w:rsid w:val="003C13A2"/>
    <w:rsid w:val="00465380"/>
    <w:rsid w:val="00496941"/>
    <w:rsid w:val="004D6F49"/>
    <w:rsid w:val="00542E30"/>
    <w:rsid w:val="005760AD"/>
    <w:rsid w:val="00580EB1"/>
    <w:rsid w:val="00611E8B"/>
    <w:rsid w:val="00643D9C"/>
    <w:rsid w:val="00677D98"/>
    <w:rsid w:val="006A73DF"/>
    <w:rsid w:val="006E0ADB"/>
    <w:rsid w:val="00731E80"/>
    <w:rsid w:val="00806C4F"/>
    <w:rsid w:val="00822944"/>
    <w:rsid w:val="00831A85"/>
    <w:rsid w:val="008510FB"/>
    <w:rsid w:val="008550FF"/>
    <w:rsid w:val="0085629F"/>
    <w:rsid w:val="008B3D68"/>
    <w:rsid w:val="008E7F0F"/>
    <w:rsid w:val="008F6B50"/>
    <w:rsid w:val="00912227"/>
    <w:rsid w:val="00925592"/>
    <w:rsid w:val="00960A5F"/>
    <w:rsid w:val="009A458D"/>
    <w:rsid w:val="009F25F3"/>
    <w:rsid w:val="00A019A8"/>
    <w:rsid w:val="00A26DF3"/>
    <w:rsid w:val="00A53B32"/>
    <w:rsid w:val="00A758E9"/>
    <w:rsid w:val="00AB38D3"/>
    <w:rsid w:val="00AF1C92"/>
    <w:rsid w:val="00B26BBE"/>
    <w:rsid w:val="00B70F6D"/>
    <w:rsid w:val="00C352C8"/>
    <w:rsid w:val="00C51519"/>
    <w:rsid w:val="00C72F5A"/>
    <w:rsid w:val="00C73293"/>
    <w:rsid w:val="00C76CA5"/>
    <w:rsid w:val="00C83C59"/>
    <w:rsid w:val="00CA5F3A"/>
    <w:rsid w:val="00CF6552"/>
    <w:rsid w:val="00D635C5"/>
    <w:rsid w:val="00D638CF"/>
    <w:rsid w:val="00D65E79"/>
    <w:rsid w:val="00DA4FE5"/>
    <w:rsid w:val="00DA6214"/>
    <w:rsid w:val="00DB1300"/>
    <w:rsid w:val="00DB687E"/>
    <w:rsid w:val="00DD27A4"/>
    <w:rsid w:val="00E00445"/>
    <w:rsid w:val="00E04F2E"/>
    <w:rsid w:val="00E242DE"/>
    <w:rsid w:val="00E37403"/>
    <w:rsid w:val="00E54557"/>
    <w:rsid w:val="00E8286F"/>
    <w:rsid w:val="00E87783"/>
    <w:rsid w:val="00E95188"/>
    <w:rsid w:val="00EC7265"/>
    <w:rsid w:val="00EF39F0"/>
    <w:rsid w:val="00F117F4"/>
    <w:rsid w:val="00F17BA4"/>
    <w:rsid w:val="00F56168"/>
    <w:rsid w:val="00F659AE"/>
    <w:rsid w:val="00F81265"/>
    <w:rsid w:val="00FA3239"/>
    <w:rsid w:val="00FD253A"/>
    <w:rsid w:val="00FF3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B90A1"/>
  <w15:chartTrackingRefBased/>
  <w15:docId w15:val="{4B7B2F24-8354-4DA5-8A47-7DBCE2C10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214"/>
  </w:style>
  <w:style w:type="paragraph" w:styleId="Heading1">
    <w:name w:val="heading 1"/>
    <w:basedOn w:val="Normal"/>
    <w:next w:val="Normal"/>
    <w:link w:val="Heading1Char"/>
    <w:uiPriority w:val="9"/>
    <w:qFormat/>
    <w:rsid w:val="000F0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0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0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0C4"/>
    <w:rPr>
      <w:rFonts w:eastAsiaTheme="majorEastAsia" w:cstheme="majorBidi"/>
      <w:color w:val="272727" w:themeColor="text1" w:themeTint="D8"/>
    </w:rPr>
  </w:style>
  <w:style w:type="paragraph" w:styleId="Title">
    <w:name w:val="Title"/>
    <w:basedOn w:val="Normal"/>
    <w:next w:val="Normal"/>
    <w:link w:val="TitleChar"/>
    <w:uiPriority w:val="10"/>
    <w:qFormat/>
    <w:rsid w:val="000F0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0C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F00C4"/>
    <w:pPr>
      <w:ind w:left="720"/>
      <w:contextualSpacing/>
    </w:pPr>
  </w:style>
  <w:style w:type="paragraph" w:styleId="Quote">
    <w:name w:val="Quote"/>
    <w:basedOn w:val="Normal"/>
    <w:next w:val="Normal"/>
    <w:link w:val="QuoteChar"/>
    <w:uiPriority w:val="29"/>
    <w:qFormat/>
    <w:rsid w:val="000F00C4"/>
    <w:pPr>
      <w:spacing w:before="160"/>
      <w:jc w:val="center"/>
    </w:pPr>
    <w:rPr>
      <w:i/>
      <w:iCs/>
      <w:color w:val="404040" w:themeColor="text1" w:themeTint="BF"/>
    </w:rPr>
  </w:style>
  <w:style w:type="character" w:customStyle="1" w:styleId="QuoteChar">
    <w:name w:val="Quote Char"/>
    <w:basedOn w:val="DefaultParagraphFont"/>
    <w:link w:val="Quote"/>
    <w:uiPriority w:val="29"/>
    <w:rsid w:val="000F00C4"/>
    <w:rPr>
      <w:i/>
      <w:iCs/>
      <w:color w:val="404040" w:themeColor="text1" w:themeTint="BF"/>
    </w:rPr>
  </w:style>
  <w:style w:type="paragraph" w:styleId="IntenseQuote">
    <w:name w:val="Intense Quote"/>
    <w:basedOn w:val="Normal"/>
    <w:next w:val="Normal"/>
    <w:link w:val="IntenseQuoteChar"/>
    <w:uiPriority w:val="30"/>
    <w:qFormat/>
    <w:rsid w:val="000F0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0C4"/>
    <w:rPr>
      <w:i/>
      <w:iCs/>
      <w:color w:val="0F4761" w:themeColor="accent1" w:themeShade="BF"/>
    </w:rPr>
  </w:style>
  <w:style w:type="character" w:styleId="IntenseEmphasis">
    <w:name w:val="Intense Emphasis"/>
    <w:basedOn w:val="DefaultParagraphFont"/>
    <w:uiPriority w:val="21"/>
    <w:qFormat/>
    <w:rsid w:val="000F00C4"/>
    <w:rPr>
      <w:i/>
      <w:iCs/>
      <w:color w:val="0F4761" w:themeColor="accent1" w:themeShade="BF"/>
    </w:rPr>
  </w:style>
  <w:style w:type="character" w:styleId="IntenseReference">
    <w:name w:val="Intense Reference"/>
    <w:basedOn w:val="DefaultParagraphFont"/>
    <w:uiPriority w:val="32"/>
    <w:qFormat/>
    <w:rsid w:val="000F00C4"/>
    <w:rPr>
      <w:b/>
      <w:bCs/>
      <w:smallCaps/>
      <w:color w:val="0F4761" w:themeColor="accent1" w:themeShade="BF"/>
      <w:spacing w:val="5"/>
    </w:rPr>
  </w:style>
  <w:style w:type="paragraph" w:styleId="NormalWeb">
    <w:name w:val="Normal (Web)"/>
    <w:basedOn w:val="Normal"/>
    <w:uiPriority w:val="99"/>
    <w:semiHidden/>
    <w:unhideWhenUsed/>
    <w:rsid w:val="00C352C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15</Pages>
  <Words>5363</Words>
  <Characters>30570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Eleftheria Pardali</dc:creator>
  <cp:keywords/>
  <dc:description/>
  <cp:lastModifiedBy>Eleftheria Pardali</cp:lastModifiedBy>
  <cp:revision>79</cp:revision>
  <dcterms:created xsi:type="dcterms:W3CDTF">2025-12-21T17:24:00Z</dcterms:created>
  <dcterms:modified xsi:type="dcterms:W3CDTF">2026-01-25T13:23:00Z</dcterms:modified>
</cp:coreProperties>
</file>