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D9F6B" w14:textId="67A03D5D" w:rsidR="007704B3" w:rsidRPr="002C5327" w:rsidRDefault="007704B3" w:rsidP="007704B3">
      <w:pPr>
        <w:rPr>
          <w:sz w:val="22"/>
          <w:szCs w:val="22"/>
        </w:rPr>
      </w:pPr>
      <w:r w:rsidRPr="002C5327">
        <w:rPr>
          <w:b/>
          <w:bCs/>
          <w:sz w:val="22"/>
          <w:szCs w:val="22"/>
        </w:rPr>
        <w:t>3. Methodological Framework</w:t>
      </w:r>
    </w:p>
    <w:p w14:paraId="64306479" w14:textId="77777777" w:rsidR="006506DB" w:rsidRPr="006506DB" w:rsidRDefault="006506DB" w:rsidP="006506DB">
      <w:pPr>
        <w:rPr>
          <w:sz w:val="22"/>
          <w:szCs w:val="22"/>
        </w:rPr>
      </w:pPr>
      <w:r w:rsidRPr="006506DB">
        <w:rPr>
          <w:sz w:val="22"/>
          <w:szCs w:val="22"/>
        </w:rPr>
        <w:t xml:space="preserve">This thesis adopts a data-engineering–driven methodological framework aimed at the production of reliable, reproducible, and audit-ready loan-portfolio performance indicators. Rather than treating key performance indicators (KPIs) as ad-hoc analytical outputs, the methodology is designed to operationalize the theoretical and regulatory insights identified in the literature review through a structured, end-to-end data pipeline. The methodological choices made throughout the thesis are therefore not purely </w:t>
      </w:r>
      <w:proofErr w:type="gramStart"/>
      <w:r w:rsidRPr="006506DB">
        <w:rPr>
          <w:sz w:val="22"/>
          <w:szCs w:val="22"/>
        </w:rPr>
        <w:t>technical, but</w:t>
      </w:r>
      <w:proofErr w:type="gramEnd"/>
      <w:r w:rsidRPr="006506DB">
        <w:rPr>
          <w:sz w:val="22"/>
          <w:szCs w:val="22"/>
        </w:rPr>
        <w:t xml:space="preserve"> are grounded in established principles of credit-risk analytics, supervisory reporting requirements, and data-quality management.</w:t>
      </w:r>
    </w:p>
    <w:p w14:paraId="2F8B6201" w14:textId="77777777" w:rsidR="006506DB" w:rsidRPr="006506DB" w:rsidRDefault="006506DB" w:rsidP="006506DB">
      <w:pPr>
        <w:rPr>
          <w:sz w:val="22"/>
          <w:szCs w:val="22"/>
        </w:rPr>
      </w:pPr>
      <w:r w:rsidRPr="006506DB">
        <w:rPr>
          <w:sz w:val="22"/>
          <w:szCs w:val="22"/>
        </w:rPr>
        <w:t xml:space="preserve">At a conceptual level, the research </w:t>
      </w:r>
      <w:r w:rsidRPr="00932875">
        <w:rPr>
          <w:sz w:val="22"/>
          <w:szCs w:val="22"/>
        </w:rPr>
        <w:t>follows a design-oriented methodology, where</w:t>
      </w:r>
      <w:r w:rsidRPr="006506DB">
        <w:rPr>
          <w:sz w:val="22"/>
          <w:szCs w:val="22"/>
        </w:rPr>
        <w:t xml:space="preserve"> the primary research contribution lies in the construction and evaluation of a robust analytical system rather than in the estimation of a predictive or causal model. The methodological focus is placed on how loan-level data should be ingested, standardized, governed, and transformed </w:t>
      </w:r>
      <w:proofErr w:type="gramStart"/>
      <w:r w:rsidRPr="006506DB">
        <w:rPr>
          <w:sz w:val="22"/>
          <w:szCs w:val="22"/>
        </w:rPr>
        <w:t>in order to</w:t>
      </w:r>
      <w:proofErr w:type="gramEnd"/>
      <w:r w:rsidRPr="006506DB">
        <w:rPr>
          <w:sz w:val="22"/>
          <w:szCs w:val="22"/>
        </w:rPr>
        <w:t xml:space="preserve"> produce portfolio-level KPIs that are analytically meaningful and suitable for professional use. This approach aligns with contemporary research in financial data engineering, which emphasizes the importance of data architecture, traceability, and quality assurance as prerequisites for reliable financial analytics.</w:t>
      </w:r>
    </w:p>
    <w:p w14:paraId="113B975C" w14:textId="77777777" w:rsidR="006506DB" w:rsidRPr="00932875" w:rsidRDefault="006506DB" w:rsidP="006506DB">
      <w:pPr>
        <w:rPr>
          <w:sz w:val="22"/>
          <w:szCs w:val="22"/>
        </w:rPr>
      </w:pPr>
      <w:r w:rsidRPr="006506DB">
        <w:rPr>
          <w:sz w:val="22"/>
          <w:szCs w:val="22"/>
        </w:rPr>
        <w:t xml:space="preserve">The methodological framework is explicitly shaped by the six research questions underpinning this dissertation. First, the identification of the KPIs most consistently used to evaluate loan-portfolio performance determines the analytical outputs that the pipeline must ultimately produce. Second, the investigation of the loan-level attributes required for KPI computation informs the selection and structuring of the dataset. Third, the examination of default definitions guides the transformation of loan-status information into analytically valid default indicators. Fourth, the analysis of data-quality dimensions—such as completeness, accuracy, </w:t>
      </w:r>
      <w:r w:rsidRPr="00932875">
        <w:rPr>
          <w:sz w:val="22"/>
          <w:szCs w:val="22"/>
        </w:rPr>
        <w:t xml:space="preserve">consistency, timeliness, and traceability—establishes the standards that must be enforced throughout the pipeline. Fifth, the assessment of pipeline </w:t>
      </w:r>
      <w:proofErr w:type="gramStart"/>
      <w:r w:rsidRPr="00932875">
        <w:rPr>
          <w:sz w:val="22"/>
          <w:szCs w:val="22"/>
        </w:rPr>
        <w:t>architectures</w:t>
      </w:r>
      <w:proofErr w:type="gramEnd"/>
      <w:r w:rsidRPr="00932875">
        <w:rPr>
          <w:sz w:val="22"/>
          <w:szCs w:val="22"/>
        </w:rPr>
        <w:t xml:space="preserve"> determines how these requirements can be operationalized in a scalable and reproducible manner. Finally, the relationship between data quality and KPI reliability motivates the integration of validation and testing mechanisms into the execution flow.</w:t>
      </w:r>
    </w:p>
    <w:p w14:paraId="362A537A" w14:textId="77777777" w:rsidR="006506DB" w:rsidRPr="00932875" w:rsidRDefault="006506DB" w:rsidP="006506DB">
      <w:pPr>
        <w:rPr>
          <w:sz w:val="22"/>
          <w:szCs w:val="22"/>
        </w:rPr>
      </w:pPr>
      <w:r w:rsidRPr="00932875">
        <w:rPr>
          <w:sz w:val="22"/>
          <w:szCs w:val="22"/>
        </w:rPr>
        <w:t>From a financial analytics perspective, the methodology centers on five core portfolio-level KPIs that capture complementary dimensions of loan-portfolio performance: Default Rate, Average Loan Amount, Average Interest Rate, Portfolio Growth, and Loan Distribution by Credit Grade. These indicators are widely used in both academic research and professional portfolio monitoring, as demonstrated in the literature review, and together provide a balanced view of credit risk, pricing, exposure size, portfolio composition, and growth dynamics.</w:t>
      </w:r>
    </w:p>
    <w:p w14:paraId="10D14BDC" w14:textId="77777777" w:rsidR="006506DB" w:rsidRPr="00932875" w:rsidRDefault="006506DB" w:rsidP="006506DB">
      <w:pPr>
        <w:rPr>
          <w:sz w:val="22"/>
          <w:szCs w:val="22"/>
        </w:rPr>
      </w:pPr>
      <w:r w:rsidRPr="00932875">
        <w:rPr>
          <w:sz w:val="22"/>
          <w:szCs w:val="22"/>
        </w:rPr>
        <w:t xml:space="preserve">From a regulatory and governance perspective, the methodological framework incorporates the supervisory expectations articulated by institutions such as the European Banking Authority, the European Central Bank, and the Basel Committee. These frameworks specify the types of contractual, performance, and credit-risk data that financial institutions are expected to </w:t>
      </w:r>
      <w:r w:rsidRPr="00932875">
        <w:rPr>
          <w:sz w:val="22"/>
          <w:szCs w:val="22"/>
        </w:rPr>
        <w:lastRenderedPageBreak/>
        <w:t xml:space="preserve">maintain </w:t>
      </w:r>
      <w:proofErr w:type="gramStart"/>
      <w:r w:rsidRPr="00932875">
        <w:rPr>
          <w:sz w:val="22"/>
          <w:szCs w:val="22"/>
        </w:rPr>
        <w:t>in order to</w:t>
      </w:r>
      <w:proofErr w:type="gramEnd"/>
      <w:r w:rsidRPr="00932875">
        <w:rPr>
          <w:sz w:val="22"/>
          <w:szCs w:val="22"/>
        </w:rPr>
        <w:t xml:space="preserve"> support risk monitoring and regulatory reporting. Although the empirical dataset used in this thesis originates from a marketplace-lending platform rather than a regulated bank, the methodology deliberately mirrors supervisory data requirements by enforcing structured data storage, explicit default definitions, and controlled transformation logic. This design choice allows the pipeline to approximate the analytical rigor expected in regulated banking environments.</w:t>
      </w:r>
    </w:p>
    <w:p w14:paraId="4857F6E9" w14:textId="77777777" w:rsidR="006506DB" w:rsidRPr="00932875" w:rsidRDefault="006506DB" w:rsidP="006506DB">
      <w:pPr>
        <w:rPr>
          <w:sz w:val="22"/>
          <w:szCs w:val="22"/>
        </w:rPr>
      </w:pPr>
      <w:r w:rsidRPr="00932875">
        <w:rPr>
          <w:sz w:val="22"/>
          <w:szCs w:val="22"/>
        </w:rPr>
        <w:t>From a data-engineering perspective, the methodology is implemented through a multi-layered pipeline architecture that separates raw data ingestion, standardized transformation, analytical aggregation, and data exposure. The pipeline is organized into three primary database schemas—raw, staging, and analytics—each serving a distinct role in enforcing data lineage, semantic consistency, and analytical readiness. Python is used for exploratory analysis and feature engineering, while PostgreSQL functions as the central analytical engine for structured storage and aggregation. Workflow orchestration and validation are handled through Apache Airflow, ensuring deterministic execution, observability, and fault tolerance.</w:t>
      </w:r>
    </w:p>
    <w:p w14:paraId="71A82720" w14:textId="77777777" w:rsidR="006506DB" w:rsidRPr="006506DB" w:rsidRDefault="006506DB" w:rsidP="006506DB">
      <w:pPr>
        <w:rPr>
          <w:sz w:val="22"/>
          <w:szCs w:val="22"/>
        </w:rPr>
      </w:pPr>
      <w:r w:rsidRPr="00932875">
        <w:rPr>
          <w:sz w:val="22"/>
          <w:szCs w:val="22"/>
        </w:rPr>
        <w:t xml:space="preserve">A defining characteristic of </w:t>
      </w:r>
      <w:proofErr w:type="gramStart"/>
      <w:r w:rsidRPr="00932875">
        <w:rPr>
          <w:sz w:val="22"/>
          <w:szCs w:val="22"/>
        </w:rPr>
        <w:t>the methodological</w:t>
      </w:r>
      <w:proofErr w:type="gramEnd"/>
      <w:r w:rsidRPr="00932875">
        <w:rPr>
          <w:sz w:val="22"/>
          <w:szCs w:val="22"/>
        </w:rPr>
        <w:t xml:space="preserve"> design is its emphasis on reproducibility and auditability. All transformations applied to the data are explicitly encoded either in Python scripts or SQL logic, and all intermediate and final datasets </w:t>
      </w:r>
      <w:proofErr w:type="gramStart"/>
      <w:r w:rsidRPr="00932875">
        <w:rPr>
          <w:sz w:val="22"/>
          <w:szCs w:val="22"/>
        </w:rPr>
        <w:t>are persisted</w:t>
      </w:r>
      <w:proofErr w:type="gramEnd"/>
      <w:r w:rsidRPr="00932875">
        <w:rPr>
          <w:sz w:val="22"/>
          <w:szCs w:val="22"/>
        </w:rPr>
        <w:t xml:space="preserve"> in relational form. This ensures that portfolio-level KPIs can be traced back to their underlying loan-level inputs, satisfying both academic transparency requirements and professional governance standards. Furthermore, the integration of automated validation tests ensures that analytical outputs are not artifacts of processing errors or schema inconsistencies</w:t>
      </w:r>
      <w:r w:rsidRPr="006506DB">
        <w:rPr>
          <w:sz w:val="22"/>
          <w:szCs w:val="22"/>
        </w:rPr>
        <w:t>.</w:t>
      </w:r>
    </w:p>
    <w:p w14:paraId="5AF1F8B3" w14:textId="77777777" w:rsidR="006506DB" w:rsidRPr="006506DB" w:rsidRDefault="006506DB" w:rsidP="006506DB">
      <w:pPr>
        <w:rPr>
          <w:sz w:val="22"/>
          <w:szCs w:val="22"/>
        </w:rPr>
      </w:pPr>
      <w:r w:rsidRPr="006506DB">
        <w:rPr>
          <w:sz w:val="22"/>
          <w:szCs w:val="22"/>
        </w:rPr>
        <w:t>In this sense, the methodology serves as the practical operationalization of the literature review. The identification of relevant KPIs defines the analytical objectives of the pipeline; regulatory definitions determine the structure and semantics of the data; and data-quality frameworks establish the conditions under which analytical results can be considered reliable. The resulting methodological framework ensures that the computed KPIs are not merely numerical summaries, but the outcome of a transparent, governed, and reproducible analytical process.</w:t>
      </w:r>
    </w:p>
    <w:p w14:paraId="0FDED175" w14:textId="77777777" w:rsidR="006506DB" w:rsidRPr="006506DB" w:rsidRDefault="006506DB" w:rsidP="006506DB">
      <w:pPr>
        <w:rPr>
          <w:sz w:val="22"/>
          <w:szCs w:val="22"/>
        </w:rPr>
      </w:pPr>
      <w:r w:rsidRPr="006506DB">
        <w:rPr>
          <w:sz w:val="22"/>
          <w:szCs w:val="22"/>
        </w:rPr>
        <w:t>This chapter therefore details the dataset selection and justification, the architecture and execution of the data pipeline, the exploratory and transformation procedures applied to the data, the logic underlying KPI computation, and the exposure of these indicators through a modern API layer. Together, these elements form the methodological foundation upon which the empirical analysis and results presented in the subsequent chapters are built.</w:t>
      </w:r>
    </w:p>
    <w:p w14:paraId="45EDCC5A" w14:textId="77777777" w:rsidR="007704B3" w:rsidRDefault="007704B3" w:rsidP="007704B3">
      <w:pPr>
        <w:rPr>
          <w:b/>
          <w:bCs/>
          <w:sz w:val="22"/>
          <w:szCs w:val="22"/>
        </w:rPr>
      </w:pPr>
      <w:r>
        <w:rPr>
          <w:b/>
          <w:bCs/>
          <w:sz w:val="22"/>
          <w:szCs w:val="22"/>
        </w:rPr>
        <w:br w:type="page"/>
      </w:r>
    </w:p>
    <w:p w14:paraId="4EC56247" w14:textId="77777777" w:rsidR="007704B3" w:rsidRPr="002C5327" w:rsidRDefault="007704B3" w:rsidP="007704B3">
      <w:pPr>
        <w:rPr>
          <w:b/>
          <w:bCs/>
          <w:sz w:val="22"/>
          <w:szCs w:val="22"/>
        </w:rPr>
      </w:pPr>
      <w:r w:rsidRPr="002C5327">
        <w:rPr>
          <w:b/>
          <w:bCs/>
          <w:sz w:val="22"/>
          <w:szCs w:val="22"/>
        </w:rPr>
        <w:lastRenderedPageBreak/>
        <w:t>3.1 Dataset Description and Justification</w:t>
      </w:r>
    </w:p>
    <w:p w14:paraId="6A7CA8CC" w14:textId="77777777" w:rsidR="00F72AF0" w:rsidRPr="00F72AF0" w:rsidRDefault="00F72AF0" w:rsidP="00F72AF0">
      <w:pPr>
        <w:rPr>
          <w:sz w:val="22"/>
          <w:szCs w:val="22"/>
        </w:rPr>
      </w:pPr>
      <w:r w:rsidRPr="00F72AF0">
        <w:rPr>
          <w:sz w:val="22"/>
          <w:szCs w:val="22"/>
        </w:rPr>
        <w:t>The empirical analysis conducted in this thesis is based on the publicly available loan-level dataset provided by Lending Club, one of the largest peer-to-peer lending platforms operating in the United States. Lending Club facilitates unsecured consumer loans by directly connecting borrowers and investors through an online marketplace, resulting in a dataset that captures the full lifecycle of loan origination, servicing, and performance outcomes. The dataset includes detailed information for each loan originated through the platform and spans multiple years, thereby offering both cross-sectional and temporal depth.</w:t>
      </w:r>
    </w:p>
    <w:p w14:paraId="4B64876E" w14:textId="77777777" w:rsidR="00F72AF0" w:rsidRPr="00F72AF0" w:rsidRDefault="00F72AF0" w:rsidP="00F72AF0">
      <w:pPr>
        <w:rPr>
          <w:sz w:val="22"/>
          <w:szCs w:val="22"/>
        </w:rPr>
      </w:pPr>
      <w:r w:rsidRPr="00F72AF0">
        <w:rPr>
          <w:sz w:val="22"/>
          <w:szCs w:val="22"/>
        </w:rPr>
        <w:t>At the loan level, the dataset contains a comprehensive set of contractual attributes, including the funded loan amount, the contractual interest rate, the loan term, and the origination date. In addition, it provides extensive borrower-related information, such as annual income, employment characteristics, and credit history indicators. Crucially, the dataset also records detailed loan performance data, including payment history, delinquency status, charge-off events, and final loan outcomes. The presence of these performance variables enables the precise identification of default events and repayment behavior over time, which is essential for portfolio-level performance analysis.</w:t>
      </w:r>
    </w:p>
    <w:p w14:paraId="6AAC6152" w14:textId="77777777" w:rsidR="00F72AF0" w:rsidRPr="00F72AF0" w:rsidRDefault="00F72AF0" w:rsidP="00F72AF0">
      <w:pPr>
        <w:rPr>
          <w:sz w:val="22"/>
          <w:szCs w:val="22"/>
        </w:rPr>
      </w:pPr>
      <w:r w:rsidRPr="00F72AF0">
        <w:rPr>
          <w:sz w:val="22"/>
          <w:szCs w:val="22"/>
        </w:rPr>
        <w:t>The richness of the dataset makes it particularly well suited for the analysis of the core loan-portfolio KPIs examined in this thesis. Indicators such as Default Rate, Average Loan Amount, Average Interest Rate, Portfolio Growth, and Loan Distribution by Credit Grade require a combination of exposure-level data, pricing information, temporal markers, and performance classifications. All these elements are explicitly available within the Lending Club dataset, allowing for a consistent and internally coherent computation of the selected KPIs without reliance on external data sources.</w:t>
      </w:r>
    </w:p>
    <w:p w14:paraId="721E893D" w14:textId="77777777" w:rsidR="00F72AF0" w:rsidRPr="00F72AF0" w:rsidRDefault="00F72AF0" w:rsidP="00F72AF0">
      <w:pPr>
        <w:rPr>
          <w:sz w:val="22"/>
          <w:szCs w:val="22"/>
        </w:rPr>
      </w:pPr>
      <w:r w:rsidRPr="00F72AF0">
        <w:rPr>
          <w:sz w:val="22"/>
          <w:szCs w:val="22"/>
        </w:rPr>
        <w:t xml:space="preserve">The selection of the Lending Club dataset is justified on both </w:t>
      </w:r>
      <w:r w:rsidRPr="00F72AF0">
        <w:rPr>
          <w:b/>
          <w:bCs/>
          <w:sz w:val="22"/>
          <w:szCs w:val="22"/>
        </w:rPr>
        <w:t>analytical</w:t>
      </w:r>
      <w:r w:rsidRPr="00F72AF0">
        <w:rPr>
          <w:sz w:val="22"/>
          <w:szCs w:val="22"/>
        </w:rPr>
        <w:t xml:space="preserve"> and </w:t>
      </w:r>
      <w:r w:rsidRPr="00F72AF0">
        <w:rPr>
          <w:b/>
          <w:bCs/>
          <w:sz w:val="22"/>
          <w:szCs w:val="22"/>
        </w:rPr>
        <w:t>methodological</w:t>
      </w:r>
      <w:r w:rsidRPr="00F72AF0">
        <w:rPr>
          <w:sz w:val="22"/>
          <w:szCs w:val="22"/>
        </w:rPr>
        <w:t xml:space="preserve"> grounds. From an analytical perspective, the literature review demonstrated that Lending Club data has been extensively used in empirical credit-risk and loan-performance research. Its popularity in academic studies stems from a unique combination of scale, granularity, and public accessibility. Unlike proprietary bank datasets, which are typically unavailable to researchers, Lending Club data offers millions of loan observations with standardized variable definitions, enabling transparent and reproducible empirical analysis.</w:t>
      </w:r>
    </w:p>
    <w:p w14:paraId="1883CC11" w14:textId="77777777" w:rsidR="00F72AF0" w:rsidRPr="00F72AF0" w:rsidRDefault="00F72AF0" w:rsidP="00F72AF0">
      <w:pPr>
        <w:rPr>
          <w:sz w:val="22"/>
          <w:szCs w:val="22"/>
        </w:rPr>
      </w:pPr>
      <w:r w:rsidRPr="00F72AF0">
        <w:rPr>
          <w:sz w:val="22"/>
          <w:szCs w:val="22"/>
        </w:rPr>
        <w:t xml:space="preserve">Prior studies, such as Xia et al. (2019), rely on Lending Club data precisely because it contains the contractual variables and realized performance outcomes required for default analysis and portfolio monitoring. These studies commonly compute portfolio-level indicators </w:t>
      </w:r>
      <w:proofErr w:type="gramStart"/>
      <w:r w:rsidRPr="00F72AF0">
        <w:rPr>
          <w:sz w:val="22"/>
          <w:szCs w:val="22"/>
        </w:rPr>
        <w:t>similar to</w:t>
      </w:r>
      <w:proofErr w:type="gramEnd"/>
      <w:r w:rsidRPr="00F72AF0">
        <w:rPr>
          <w:sz w:val="22"/>
          <w:szCs w:val="22"/>
        </w:rPr>
        <w:t xml:space="preserve"> those adopted in this thesis, including default frequencies, interest-rate averages, exposure-weighted metrics, and grade-based portfolio composition. By adopting the same dataset and KPI framework, this thesis aligns its methodological design with established academic practices, ensuring comparability with existing empirical findings.</w:t>
      </w:r>
    </w:p>
    <w:p w14:paraId="13387907" w14:textId="77777777" w:rsidR="00F72AF0" w:rsidRPr="00F72AF0" w:rsidRDefault="00F72AF0" w:rsidP="00F72AF0">
      <w:pPr>
        <w:rPr>
          <w:sz w:val="22"/>
          <w:szCs w:val="22"/>
        </w:rPr>
      </w:pPr>
      <w:r w:rsidRPr="00F72AF0">
        <w:rPr>
          <w:sz w:val="22"/>
          <w:szCs w:val="22"/>
        </w:rPr>
        <w:lastRenderedPageBreak/>
        <w:t>From a methodological perspective, the Lending Club dataset is particularly suitable for the data-engineering–driven framework proposed in this thesis. Beyond its analytical richness, the dataset contains the full range of data elements typically required under supervisory and regulatory reporting frameworks. Exposure amounts, interest rates, loan maturities, origination dates, credit grades, delinquency indicators, and default classifications are all explicitly recorded at the loan level. These attributes closely mirror the contractual and performance data fields mandated by regulatory initiatives such as AnaCredit, the EBA guidelines on loan origination and monitoring, and the Basel Committee’s principles for risk data aggregation.</w:t>
      </w:r>
    </w:p>
    <w:p w14:paraId="7887B4A4" w14:textId="77777777" w:rsidR="00F72AF0" w:rsidRPr="00F72AF0" w:rsidRDefault="00F72AF0" w:rsidP="00F72AF0">
      <w:pPr>
        <w:rPr>
          <w:sz w:val="22"/>
          <w:szCs w:val="22"/>
        </w:rPr>
      </w:pPr>
      <w:r w:rsidRPr="00F72AF0">
        <w:rPr>
          <w:sz w:val="22"/>
          <w:szCs w:val="22"/>
        </w:rPr>
        <w:t>This alignment with regulatory data requirements allows the construction of a data pipeline that approximates the structure and rigor of banking data environments, even though the underlying dataset originates from a marketplace-lending platform rather than a regulated financial institution. In particular, the availability of detailed loan-status histories enables the operationalization of default definitions that are consistent with supervisory interpretations. This capability is critical for ensuring that the computed Default Rate KPI reflects economically and regulatorily meaningful credit events rather than simplistic or ambiguous classifications.</w:t>
      </w:r>
    </w:p>
    <w:p w14:paraId="0929F323" w14:textId="77777777" w:rsidR="00F72AF0" w:rsidRPr="00F72AF0" w:rsidRDefault="00F72AF0" w:rsidP="00F72AF0">
      <w:pPr>
        <w:rPr>
          <w:sz w:val="22"/>
          <w:szCs w:val="22"/>
        </w:rPr>
      </w:pPr>
      <w:r w:rsidRPr="00F72AF0">
        <w:rPr>
          <w:sz w:val="22"/>
          <w:szCs w:val="22"/>
        </w:rPr>
        <w:t>An additional methodological advantage of the dataset lies in its temporal structure. Each loan record includes origination timestamps and performance updates over time, enabling the aggregation of exposure volumes and performance outcomes across different periods. This temporal granularity is essential for the computation of dynamic portfolio metrics such as Portfolio Growth, which requires consistent aggregation of origination amounts across successive time intervals. The dataset therefore supports both static portfolio snapshots and time-based trend analysis within a unified analytical framework.</w:t>
      </w:r>
    </w:p>
    <w:p w14:paraId="29614D6C" w14:textId="77777777" w:rsidR="00F72AF0" w:rsidRPr="00F72AF0" w:rsidRDefault="00F72AF0" w:rsidP="00F72AF0">
      <w:pPr>
        <w:rPr>
          <w:sz w:val="22"/>
          <w:szCs w:val="22"/>
        </w:rPr>
      </w:pPr>
      <w:r w:rsidRPr="00F72AF0">
        <w:rPr>
          <w:sz w:val="22"/>
          <w:szCs w:val="22"/>
        </w:rPr>
        <w:t>In practical terms, the original Lending Club dataset is large, comprising several million observations spanning multiple years. Direct exploratory analysis on the full dataset would be computationally inefficient and unnecessary for initial diagnostic purposes. Consequently, for the exploratory data analysis (EDA) stage, a random subset of approximately ten thousand observations was extracted. This subset was used exclusively for visualization, descriptive statistics, and diagnostic checks, allowing rapid iteration and hypothesis validation without compromising representativeness. The random sampling strategy ensured that the exploratory insights remained indicative of the broader portfolio structure.</w:t>
      </w:r>
    </w:p>
    <w:p w14:paraId="14E3FB8F" w14:textId="77777777" w:rsidR="00F72AF0" w:rsidRPr="00F72AF0" w:rsidRDefault="00F72AF0" w:rsidP="00F72AF0">
      <w:pPr>
        <w:rPr>
          <w:sz w:val="22"/>
          <w:szCs w:val="22"/>
        </w:rPr>
      </w:pPr>
      <w:r w:rsidRPr="00F72AF0">
        <w:rPr>
          <w:sz w:val="22"/>
          <w:szCs w:val="22"/>
        </w:rPr>
        <w:t>For the construction of the data pipeline and the computation of the portfolio-level KPIs, however, the full dataset was ingested into the raw layer of the PostgreSQL environment. This design choice ensures that all analytical results presented in this thesis are based on the complete information set rather than on a reduced sample. The full ingestion of the dataset supports comprehensive aggregation, accurate exposure measurement, and robust KPI computation, while intermediate sampling is confined strictly to exploratory stages.</w:t>
      </w:r>
    </w:p>
    <w:p w14:paraId="09364FD4" w14:textId="77777777" w:rsidR="00F72AF0" w:rsidRPr="00F72AF0" w:rsidRDefault="00F72AF0" w:rsidP="00F72AF0">
      <w:pPr>
        <w:rPr>
          <w:sz w:val="22"/>
          <w:szCs w:val="22"/>
        </w:rPr>
      </w:pPr>
      <w:r w:rsidRPr="00F72AF0">
        <w:rPr>
          <w:sz w:val="22"/>
          <w:szCs w:val="22"/>
        </w:rPr>
        <w:t xml:space="preserve">Overall, the Lending Club dataset provides the contractual structure, performance granularity, temporal coverage, and data completeness required to operationalize the methodological framework of this thesis. Its widespread adoption in academic research, its close alignment with </w:t>
      </w:r>
      <w:r w:rsidRPr="00F72AF0">
        <w:rPr>
          <w:sz w:val="22"/>
          <w:szCs w:val="22"/>
        </w:rPr>
        <w:lastRenderedPageBreak/>
        <w:t>supervisory data standards, and its suitability for a multi-layered data-engineering pipeline make it an appropriate and rigorous choice for analyzing loan-portfolio performance. The dataset thus forms a solid empirical foundation upon which the subsequent stages of data processing, KPI computation, and analytical validation are built.</w:t>
      </w:r>
    </w:p>
    <w:p w14:paraId="22626CAD" w14:textId="77777777" w:rsidR="001675C7" w:rsidRPr="001675C7" w:rsidRDefault="001675C7" w:rsidP="001675C7">
      <w:pPr>
        <w:rPr>
          <w:b/>
          <w:bCs/>
          <w:sz w:val="22"/>
          <w:szCs w:val="22"/>
        </w:rPr>
      </w:pPr>
      <w:r w:rsidRPr="001675C7">
        <w:rPr>
          <w:b/>
          <w:bCs/>
          <w:sz w:val="22"/>
          <w:szCs w:val="22"/>
        </w:rPr>
        <w:t>3.2 Data Architecture and Pipeline Design — Raw Layer (Database Setup &amp; Ingestion)</w:t>
      </w:r>
    </w:p>
    <w:p w14:paraId="40108C49" w14:textId="77777777" w:rsidR="00BA7EDE" w:rsidRPr="00BA7EDE" w:rsidRDefault="00BA7EDE" w:rsidP="00BA7EDE">
      <w:pPr>
        <w:rPr>
          <w:sz w:val="22"/>
          <w:szCs w:val="22"/>
        </w:rPr>
      </w:pPr>
      <w:r w:rsidRPr="00BA7EDE">
        <w:rPr>
          <w:sz w:val="22"/>
          <w:szCs w:val="22"/>
        </w:rPr>
        <w:t>The data architecture implemented in this thesis follows a layered, database-centric design that reflects both data-engineering best practices and the governance principles identified in the literature review. The pipeline is deployed on a PostgreSQL environment, which functions as the central storage, validation, and analytical engine for the entire end-to-end workflow. PostgreSQL was selected due to its robustness, strong support for analytical SQL operations, transactional reliability, and suitability for structured, reproducible data pipelines that must support auditability and traceability.</w:t>
      </w:r>
    </w:p>
    <w:p w14:paraId="55E29799" w14:textId="77777777" w:rsidR="00BA7EDE" w:rsidRPr="00BA7EDE" w:rsidRDefault="00BA7EDE" w:rsidP="00BA7EDE">
      <w:pPr>
        <w:rPr>
          <w:sz w:val="22"/>
          <w:szCs w:val="22"/>
        </w:rPr>
      </w:pPr>
      <w:r w:rsidRPr="00BA7EDE">
        <w:rPr>
          <w:sz w:val="22"/>
          <w:szCs w:val="22"/>
        </w:rPr>
        <w:t xml:space="preserve">The database environment was created and administered using DataGrip (JetBrains), a professional database integrated development environment (IDE) widely used in industry settings. DataGrip was employed for database connection management, SQL execution, schema creation, and inspection of tables across the raw, staging, and analytics layers. Access to DataGrip was obtained through an academic license provided by the National and </w:t>
      </w:r>
      <w:proofErr w:type="spellStart"/>
      <w:r w:rsidRPr="00BA7EDE">
        <w:rPr>
          <w:sz w:val="22"/>
          <w:szCs w:val="22"/>
        </w:rPr>
        <w:t>Kapodistrian</w:t>
      </w:r>
      <w:proofErr w:type="spellEnd"/>
      <w:r w:rsidRPr="00BA7EDE">
        <w:rPr>
          <w:sz w:val="22"/>
          <w:szCs w:val="22"/>
        </w:rPr>
        <w:t xml:space="preserve"> University of Athens, enabling the use of enterprise-grade tooling within an academic research context. The use of a professional IDE contributes to methodological rigor by enabling transparent schema inspection, controlled execution of SQL scripts, and consistent interaction with the database throughout the lifecycle of the pipeline.</w:t>
      </w:r>
    </w:p>
    <w:p w14:paraId="70DEA291" w14:textId="77777777" w:rsidR="00BA7EDE" w:rsidRPr="00BA7EDE" w:rsidRDefault="00BA7EDE" w:rsidP="00BA7EDE">
      <w:pPr>
        <w:rPr>
          <w:sz w:val="22"/>
          <w:szCs w:val="22"/>
        </w:rPr>
      </w:pPr>
      <w:r w:rsidRPr="00BA7EDE">
        <w:rPr>
          <w:sz w:val="22"/>
          <w:szCs w:val="22"/>
        </w:rPr>
        <w:t>Following database initialization, three core schemas—raw, staging, and analytics—were explicitly created within PostgreSQL to enforce a strict separation of concerns across the data lifecycle. This layered schema design is not merely a technical implementation detail, but a methodological choice that directly supports traceability, reproducibility, and audit readiness. By clearly distinguishing immutable source data (raw) from validated and transformed representations (staging) and final analytical outputs (analytics), the architecture aligns with regulatory data-governance principles and minimizes the risk of uncontrolled transformations or undocumented data manipulation.</w:t>
      </w:r>
    </w:p>
    <w:p w14:paraId="79ACA373" w14:textId="0D41152E" w:rsidR="00BA7EDE" w:rsidRPr="00932875" w:rsidRDefault="00BA7EDE" w:rsidP="00BA7EDE">
      <w:pPr>
        <w:rPr>
          <w:sz w:val="22"/>
          <w:szCs w:val="22"/>
        </w:rPr>
      </w:pPr>
      <w:r w:rsidRPr="00BA7EDE">
        <w:rPr>
          <w:sz w:val="22"/>
          <w:szCs w:val="22"/>
        </w:rPr>
        <w:t>The creation of this three-tier schema structure is operationalized through a dedicated set of SQL scripts stored in the /schemas directory of the project repository. These scripts automate schema creation and ensure that the database environment can be recreated deterministically across executions or systems. This approach guarantees that the logical boundaries between raw storage, validation staging, and analytical consumption are enforced consistently from the outset of the pipeline, reinforcing both reproducibility and methodological transparency.</w:t>
      </w:r>
    </w:p>
    <w:p w14:paraId="6F07681D" w14:textId="77777777" w:rsidR="00BA7EDE" w:rsidRPr="00BA7EDE" w:rsidRDefault="00BA7EDE" w:rsidP="00BA7EDE">
      <w:pPr>
        <w:rPr>
          <w:b/>
          <w:bCs/>
          <w:sz w:val="22"/>
          <w:szCs w:val="22"/>
        </w:rPr>
      </w:pPr>
      <w:r w:rsidRPr="00BA7EDE">
        <w:rPr>
          <w:b/>
          <w:bCs/>
          <w:sz w:val="22"/>
          <w:szCs w:val="22"/>
        </w:rPr>
        <w:t>Raw Layer Purpose and Design</w:t>
      </w:r>
    </w:p>
    <w:p w14:paraId="0A320BC3" w14:textId="77777777" w:rsidR="00BA7EDE" w:rsidRPr="00BA7EDE" w:rsidRDefault="00BA7EDE" w:rsidP="00BA7EDE">
      <w:pPr>
        <w:rPr>
          <w:sz w:val="22"/>
          <w:szCs w:val="22"/>
        </w:rPr>
      </w:pPr>
      <w:r w:rsidRPr="00BA7EDE">
        <w:rPr>
          <w:sz w:val="22"/>
          <w:szCs w:val="22"/>
        </w:rPr>
        <w:t xml:space="preserve">The raw layer is designed as an immutable repository that preserves the original Lending Club dataset exactly as received, without any form of cleaning, type casting, enrichment, or </w:t>
      </w:r>
      <w:r w:rsidRPr="00BA7EDE">
        <w:rPr>
          <w:sz w:val="22"/>
          <w:szCs w:val="22"/>
        </w:rPr>
        <w:lastRenderedPageBreak/>
        <w:t>transformation. This design choice reflects a deliberate adherence to data lineage and traceability principles. By storing the dataset in its original form, the pipeline ensures that all downstream analytical results can be traced back to the unmodified source data, enabling reconstruction, verification, and audit of the entire analytical process if required.</w:t>
      </w:r>
    </w:p>
    <w:p w14:paraId="3CF9E89E" w14:textId="77777777" w:rsidR="00BA7EDE" w:rsidRPr="00BA7EDE" w:rsidRDefault="00BA7EDE" w:rsidP="00BA7EDE">
      <w:pPr>
        <w:rPr>
          <w:sz w:val="22"/>
          <w:szCs w:val="22"/>
        </w:rPr>
      </w:pPr>
      <w:r w:rsidRPr="00BA7EDE">
        <w:rPr>
          <w:sz w:val="22"/>
          <w:szCs w:val="22"/>
        </w:rPr>
        <w:t>This design follows a schema-on-read paradigm, in which the structure of the source data is preserved at ingestion time and semantic interpretation is deferred to subsequent pipeline stages. In contrast to schema-on-write approaches, which impose strict typing and validation at ingestion, schema-on-read allows the raw layer to function as a faithful archival representation of the source dataset. This is particularly important in research and regulatory contexts, where premature assumptions about data types or semantics may obscure data-quality issues or introduce bias into downstream transformations.</w:t>
      </w:r>
    </w:p>
    <w:p w14:paraId="5D513868" w14:textId="1BD2C754" w:rsidR="00BA7EDE" w:rsidRPr="00932875" w:rsidRDefault="00BA7EDE" w:rsidP="00BA7EDE">
      <w:pPr>
        <w:rPr>
          <w:sz w:val="22"/>
          <w:szCs w:val="22"/>
        </w:rPr>
      </w:pPr>
      <w:r w:rsidRPr="00BA7EDE">
        <w:rPr>
          <w:sz w:val="22"/>
          <w:szCs w:val="22"/>
        </w:rPr>
        <w:t>By intentionally avoiding transformations in the raw layer, the pipeline establishes a clear methodological boundary between data ingestion and data interpretation. All semantic enrichment, validation, and analytical typing are explicitly performed in later stages, ensuring that transformations are transparent, documented, and reproducible. As a result, the raw layer serves as a stable and authoritative reference point throughout the pipeline.</w:t>
      </w:r>
    </w:p>
    <w:p w14:paraId="0FEDD4E3" w14:textId="77777777" w:rsidR="00BA7EDE" w:rsidRPr="00BA7EDE" w:rsidRDefault="00BA7EDE" w:rsidP="00BA7EDE">
      <w:pPr>
        <w:rPr>
          <w:b/>
          <w:bCs/>
          <w:sz w:val="22"/>
          <w:szCs w:val="22"/>
        </w:rPr>
      </w:pPr>
      <w:r w:rsidRPr="00BA7EDE">
        <w:rPr>
          <w:b/>
          <w:bCs/>
          <w:sz w:val="22"/>
          <w:szCs w:val="22"/>
        </w:rPr>
        <w:t>Tooling and Implementation in Python (VS Code)</w:t>
      </w:r>
    </w:p>
    <w:p w14:paraId="320CB98B" w14:textId="77777777" w:rsidR="00BA7EDE" w:rsidRPr="00BA7EDE" w:rsidRDefault="00BA7EDE" w:rsidP="00BA7EDE">
      <w:pPr>
        <w:rPr>
          <w:sz w:val="22"/>
          <w:szCs w:val="22"/>
        </w:rPr>
      </w:pPr>
      <w:r w:rsidRPr="00BA7EDE">
        <w:rPr>
          <w:sz w:val="22"/>
          <w:szCs w:val="22"/>
        </w:rPr>
        <w:t>The ingestion process was implemented in Python using Visual Studio Code (VS Code) as the primary development environment. Python was selected due to its strong ecosystem for data engineering, database connectivity, and automation, as well as its suitability for writing repeatable, modular ingestion logic. The use of Python enables the ingestion process to be executed programmatically and integrated seamlessly into the broader orchestration workflow described in later sections.</w:t>
      </w:r>
    </w:p>
    <w:p w14:paraId="2D36E25D" w14:textId="77777777" w:rsidR="00BA7EDE" w:rsidRPr="00BA7EDE" w:rsidRDefault="00BA7EDE" w:rsidP="00BA7EDE">
      <w:pPr>
        <w:rPr>
          <w:sz w:val="22"/>
          <w:szCs w:val="22"/>
        </w:rPr>
      </w:pPr>
      <w:r w:rsidRPr="00BA7EDE">
        <w:rPr>
          <w:sz w:val="22"/>
          <w:szCs w:val="22"/>
        </w:rPr>
        <w:t xml:space="preserve">Database connection </w:t>
      </w:r>
      <w:proofErr w:type="gramStart"/>
      <w:r w:rsidRPr="00BA7EDE">
        <w:rPr>
          <w:sz w:val="22"/>
          <w:szCs w:val="22"/>
        </w:rPr>
        <w:t>parameters—</w:t>
      </w:r>
      <w:proofErr w:type="gramEnd"/>
      <w:r w:rsidRPr="00BA7EDE">
        <w:rPr>
          <w:sz w:val="22"/>
          <w:szCs w:val="22"/>
        </w:rPr>
        <w:t xml:space="preserve">including database name, host, port, user </w:t>
      </w:r>
      <w:proofErr w:type="gramStart"/>
      <w:r w:rsidRPr="00BA7EDE">
        <w:rPr>
          <w:sz w:val="22"/>
          <w:szCs w:val="22"/>
        </w:rPr>
        <w:t>credentials—</w:t>
      </w:r>
      <w:proofErr w:type="gramEnd"/>
      <w:r w:rsidRPr="00BA7EDE">
        <w:rPr>
          <w:sz w:val="22"/>
          <w:szCs w:val="22"/>
        </w:rPr>
        <w:t xml:space="preserve">were externalized into a </w:t>
      </w:r>
      <w:proofErr w:type="gramStart"/>
      <w:r w:rsidRPr="00BA7EDE">
        <w:rPr>
          <w:sz w:val="22"/>
          <w:szCs w:val="22"/>
        </w:rPr>
        <w:t>dedicated .env</w:t>
      </w:r>
      <w:proofErr w:type="gramEnd"/>
      <w:r w:rsidRPr="00BA7EDE">
        <w:rPr>
          <w:sz w:val="22"/>
          <w:szCs w:val="22"/>
        </w:rPr>
        <w:t xml:space="preserve"> configuration file and loaded at runtime using environment-variable management. This separation of configuration from code enhances portability, security, and reproducibility, allowing the same ingestion logic to be executed across environments without code modification. It also aligns </w:t>
      </w:r>
      <w:proofErr w:type="gramStart"/>
      <w:r w:rsidRPr="00BA7EDE">
        <w:rPr>
          <w:sz w:val="22"/>
          <w:szCs w:val="22"/>
        </w:rPr>
        <w:t>with</w:t>
      </w:r>
      <w:proofErr w:type="gramEnd"/>
      <w:r w:rsidRPr="00BA7EDE">
        <w:rPr>
          <w:sz w:val="22"/>
          <w:szCs w:val="22"/>
        </w:rPr>
        <w:t xml:space="preserve"> best practices for credential management and infrastructure configuration in production-grade data pipelines.</w:t>
      </w:r>
    </w:p>
    <w:p w14:paraId="2D96CD99" w14:textId="77777777" w:rsidR="00BA7EDE" w:rsidRPr="00BA7EDE" w:rsidRDefault="00BA7EDE" w:rsidP="00BA7EDE">
      <w:pPr>
        <w:rPr>
          <w:sz w:val="22"/>
          <w:szCs w:val="22"/>
        </w:rPr>
      </w:pPr>
      <w:r w:rsidRPr="00BA7EDE">
        <w:rPr>
          <w:sz w:val="22"/>
          <w:szCs w:val="22"/>
        </w:rPr>
        <w:t>To ensure robustness when handling large-scale raw data, the ingestion logic explicitly accounts for potential encoding anomalies in the source CSV file. Character replacement strategies are applied during file reading to prevent ingestion failures caused by malformed or non-standard character encodings. This design choice ensures pipeline resilience and prevents ingestion interruptions that could compromise reproducibility or require manual intervention.</w:t>
      </w:r>
    </w:p>
    <w:p w14:paraId="56DCC9A5" w14:textId="14EDBFE6" w:rsidR="00BA7EDE" w:rsidRPr="00932875" w:rsidRDefault="00BA7EDE" w:rsidP="00BA7EDE">
      <w:pPr>
        <w:rPr>
          <w:sz w:val="22"/>
          <w:szCs w:val="22"/>
        </w:rPr>
      </w:pPr>
      <w:r w:rsidRPr="00BA7EDE">
        <w:rPr>
          <w:sz w:val="22"/>
          <w:szCs w:val="22"/>
        </w:rPr>
        <w:t xml:space="preserve">Database connectivity is managed through </w:t>
      </w:r>
      <w:proofErr w:type="spellStart"/>
      <w:r w:rsidRPr="00BA7EDE">
        <w:rPr>
          <w:sz w:val="22"/>
          <w:szCs w:val="22"/>
        </w:rPr>
        <w:t>SQLAlchemy</w:t>
      </w:r>
      <w:proofErr w:type="spellEnd"/>
      <w:r w:rsidRPr="00BA7EDE">
        <w:rPr>
          <w:sz w:val="22"/>
          <w:szCs w:val="22"/>
        </w:rPr>
        <w:t>, using a reusable engine factory (</w:t>
      </w:r>
      <w:proofErr w:type="spellStart"/>
      <w:r w:rsidRPr="00BA7EDE">
        <w:rPr>
          <w:sz w:val="22"/>
          <w:szCs w:val="22"/>
        </w:rPr>
        <w:t>get_engine</w:t>
      </w:r>
      <w:proofErr w:type="spellEnd"/>
      <w:r w:rsidRPr="00BA7EDE">
        <w:rPr>
          <w:sz w:val="22"/>
          <w:szCs w:val="22"/>
        </w:rPr>
        <w:t>) that constructs a PostgreSQL connection URL from environment variables and returns a database engine instance. This abstraction centralizes database connectivity logic and ensures consistent connection handling across all pipeline components.</w:t>
      </w:r>
    </w:p>
    <w:p w14:paraId="6F30921C" w14:textId="77777777" w:rsidR="00BA7EDE" w:rsidRPr="00BA7EDE" w:rsidRDefault="00BA7EDE" w:rsidP="00BA7EDE">
      <w:pPr>
        <w:rPr>
          <w:b/>
          <w:bCs/>
          <w:sz w:val="22"/>
          <w:szCs w:val="22"/>
        </w:rPr>
      </w:pPr>
      <w:r w:rsidRPr="00BA7EDE">
        <w:rPr>
          <w:b/>
          <w:bCs/>
          <w:sz w:val="22"/>
          <w:szCs w:val="22"/>
        </w:rPr>
        <w:lastRenderedPageBreak/>
        <w:t>Raw Table Creation (Schema-on-Read)</w:t>
      </w:r>
    </w:p>
    <w:p w14:paraId="35622DD7" w14:textId="77777777" w:rsidR="00BA7EDE" w:rsidRPr="00BA7EDE" w:rsidRDefault="00BA7EDE" w:rsidP="00BA7EDE">
      <w:pPr>
        <w:rPr>
          <w:sz w:val="22"/>
          <w:szCs w:val="22"/>
        </w:rPr>
      </w:pPr>
      <w:r w:rsidRPr="00BA7EDE">
        <w:rPr>
          <w:sz w:val="22"/>
          <w:szCs w:val="22"/>
        </w:rPr>
        <w:t xml:space="preserve">Before loading the dataset, the ingestion script dynamically constructs the raw table schema based on the structure of the source CSV file. Specifically, the script reads only the header row of the loan.csv file to extract column names and generates a corresponding Data Definition Language (DDL) statement that recreates the table </w:t>
      </w:r>
      <w:proofErr w:type="spellStart"/>
      <w:proofErr w:type="gramStart"/>
      <w:r w:rsidRPr="00BA7EDE">
        <w:rPr>
          <w:sz w:val="22"/>
          <w:szCs w:val="22"/>
        </w:rPr>
        <w:t>raw.loan</w:t>
      </w:r>
      <w:proofErr w:type="gramEnd"/>
      <w:r w:rsidRPr="00BA7EDE">
        <w:rPr>
          <w:sz w:val="22"/>
          <w:szCs w:val="22"/>
        </w:rPr>
        <w:t>_portfolio</w:t>
      </w:r>
      <w:proofErr w:type="spellEnd"/>
      <w:r w:rsidRPr="00BA7EDE">
        <w:rPr>
          <w:sz w:val="22"/>
          <w:szCs w:val="22"/>
        </w:rPr>
        <w:t>. In accordance with the schema-on-read design philosophy, all columns are defined using the TEXT data type.</w:t>
      </w:r>
    </w:p>
    <w:p w14:paraId="128559B7" w14:textId="77777777" w:rsidR="00BA7EDE" w:rsidRPr="00BA7EDE" w:rsidRDefault="00BA7EDE" w:rsidP="00BA7EDE">
      <w:pPr>
        <w:rPr>
          <w:sz w:val="22"/>
          <w:szCs w:val="22"/>
        </w:rPr>
      </w:pPr>
      <w:r w:rsidRPr="00BA7EDE">
        <w:rPr>
          <w:sz w:val="22"/>
          <w:szCs w:val="22"/>
        </w:rPr>
        <w:t>Defining all columns as TEXT ensures that no assumptions are imposed on data types at ingestion time. This preserves the original representation of the dataset and avoids the risk of data loss or misinterpretation due to premature type casting. Semantic typing and validation are intentionally deferred to later stages of the pipeline, where domain knowledge and analytical requirements can be applied explicitly and systematically.</w:t>
      </w:r>
    </w:p>
    <w:p w14:paraId="51D50C07" w14:textId="195169F6" w:rsidR="00BA7EDE" w:rsidRPr="00932875" w:rsidRDefault="00BA7EDE" w:rsidP="00BA7EDE">
      <w:pPr>
        <w:rPr>
          <w:sz w:val="22"/>
          <w:szCs w:val="22"/>
        </w:rPr>
      </w:pPr>
      <w:r w:rsidRPr="00BA7EDE">
        <w:rPr>
          <w:sz w:val="22"/>
          <w:szCs w:val="22"/>
        </w:rPr>
        <w:t>To guarantee determinism and eliminate ambiguity regarding table structure, the ingestion process recreates the raw table on every execution. The script ensures that the raw schema exists, drops the table if it already exists, and then recreates it using the dynamically derived column list. This idempotent design ensures that each pipeline run begins from a clean and well-defined state, preventing schema drift and ensuring that the raw layer always reflects the exact structure of the source dataset.</w:t>
      </w:r>
    </w:p>
    <w:p w14:paraId="753B53B0" w14:textId="77777777" w:rsidR="00BA7EDE" w:rsidRPr="00BA7EDE" w:rsidRDefault="00BA7EDE" w:rsidP="00BA7EDE">
      <w:pPr>
        <w:rPr>
          <w:b/>
          <w:bCs/>
          <w:sz w:val="22"/>
          <w:szCs w:val="22"/>
        </w:rPr>
      </w:pPr>
      <w:r w:rsidRPr="00BA7EDE">
        <w:rPr>
          <w:b/>
          <w:bCs/>
          <w:sz w:val="22"/>
          <w:szCs w:val="22"/>
        </w:rPr>
        <w:t>Bulk Ingestion Using PostgreSQL COPY (High-Volume Load)</w:t>
      </w:r>
    </w:p>
    <w:p w14:paraId="00067D67" w14:textId="77777777" w:rsidR="00BA7EDE" w:rsidRPr="00BA7EDE" w:rsidRDefault="00BA7EDE" w:rsidP="00BA7EDE">
      <w:pPr>
        <w:rPr>
          <w:sz w:val="22"/>
          <w:szCs w:val="22"/>
        </w:rPr>
      </w:pPr>
      <w:r w:rsidRPr="00BA7EDE">
        <w:rPr>
          <w:sz w:val="22"/>
          <w:szCs w:val="22"/>
        </w:rPr>
        <w:t>Given the size of the Lending Club dataset, which comprises several million observations, ingestion performance is a critical consideration. To efficiently load the dataset into PostgreSQL, the pipeline uses PostgreSQL’s native bulk-loading mechanism, COPY. Instead of inserting records row by row, the ingestion script opens a low-level database connection (</w:t>
      </w:r>
      <w:proofErr w:type="spellStart"/>
      <w:r w:rsidRPr="00BA7EDE">
        <w:rPr>
          <w:sz w:val="22"/>
          <w:szCs w:val="22"/>
        </w:rPr>
        <w:t>engine.raw_</w:t>
      </w:r>
      <w:proofErr w:type="gramStart"/>
      <w:r w:rsidRPr="00BA7EDE">
        <w:rPr>
          <w:sz w:val="22"/>
          <w:szCs w:val="22"/>
        </w:rPr>
        <w:t>connection</w:t>
      </w:r>
      <w:proofErr w:type="spellEnd"/>
      <w:r w:rsidRPr="00BA7EDE">
        <w:rPr>
          <w:sz w:val="22"/>
          <w:szCs w:val="22"/>
        </w:rPr>
        <w:t>(</w:t>
      </w:r>
      <w:proofErr w:type="gramEnd"/>
      <w:r w:rsidRPr="00BA7EDE">
        <w:rPr>
          <w:sz w:val="22"/>
          <w:szCs w:val="22"/>
        </w:rPr>
        <w:t xml:space="preserve">)), streams the CSV file, and executes a COPY </w:t>
      </w:r>
      <w:proofErr w:type="spellStart"/>
      <w:proofErr w:type="gramStart"/>
      <w:r w:rsidRPr="00BA7EDE">
        <w:rPr>
          <w:sz w:val="22"/>
          <w:szCs w:val="22"/>
        </w:rPr>
        <w:t>raw.loan</w:t>
      </w:r>
      <w:proofErr w:type="gramEnd"/>
      <w:r w:rsidRPr="00BA7EDE">
        <w:rPr>
          <w:sz w:val="22"/>
          <w:szCs w:val="22"/>
        </w:rPr>
        <w:t>_portfolio</w:t>
      </w:r>
      <w:proofErr w:type="spellEnd"/>
      <w:r w:rsidRPr="00BA7EDE">
        <w:rPr>
          <w:sz w:val="22"/>
          <w:szCs w:val="22"/>
        </w:rPr>
        <w:t xml:space="preserve"> FROM STDIN WITH (FORMAT csv, HEADER true) command via the </w:t>
      </w:r>
      <w:proofErr w:type="spellStart"/>
      <w:r w:rsidRPr="00BA7EDE">
        <w:rPr>
          <w:sz w:val="22"/>
          <w:szCs w:val="22"/>
        </w:rPr>
        <w:t>copy_expert</w:t>
      </w:r>
      <w:proofErr w:type="spellEnd"/>
      <w:r w:rsidRPr="00BA7EDE">
        <w:rPr>
          <w:sz w:val="22"/>
          <w:szCs w:val="22"/>
        </w:rPr>
        <w:t xml:space="preserve"> interface.</w:t>
      </w:r>
    </w:p>
    <w:p w14:paraId="140592A4" w14:textId="77777777" w:rsidR="00BA7EDE" w:rsidRPr="00BA7EDE" w:rsidRDefault="00BA7EDE" w:rsidP="00BA7EDE">
      <w:pPr>
        <w:rPr>
          <w:sz w:val="22"/>
          <w:szCs w:val="22"/>
        </w:rPr>
      </w:pPr>
      <w:r w:rsidRPr="00BA7EDE">
        <w:rPr>
          <w:sz w:val="22"/>
          <w:szCs w:val="22"/>
        </w:rPr>
        <w:t>This approach represents a true bulk ingestion strategy and is widely adopted in production data-engineering environments due to its superior performance and reliability. By minimizing per-row overhead and leveraging PostgreSQL’s optimized internal loading mechanisms, COPY enables the efficient ingestion of large datasets while maintaining transactional integrity.</w:t>
      </w:r>
    </w:p>
    <w:p w14:paraId="4413BC7D" w14:textId="011FF7D5" w:rsidR="00BA7EDE" w:rsidRPr="00932875" w:rsidRDefault="00BA7EDE" w:rsidP="00BA7EDE">
      <w:pPr>
        <w:rPr>
          <w:sz w:val="22"/>
          <w:szCs w:val="22"/>
        </w:rPr>
      </w:pPr>
      <w:r w:rsidRPr="00BA7EDE">
        <w:rPr>
          <w:sz w:val="22"/>
          <w:szCs w:val="22"/>
        </w:rPr>
        <w:t xml:space="preserve">Upon successful completion of the COPY operation, the transaction is committed and the database connection is closed, resulting in a fully populated </w:t>
      </w:r>
      <w:proofErr w:type="spellStart"/>
      <w:proofErr w:type="gramStart"/>
      <w:r w:rsidRPr="00BA7EDE">
        <w:rPr>
          <w:sz w:val="22"/>
          <w:szCs w:val="22"/>
        </w:rPr>
        <w:t>raw.loan</w:t>
      </w:r>
      <w:proofErr w:type="gramEnd"/>
      <w:r w:rsidRPr="00BA7EDE">
        <w:rPr>
          <w:sz w:val="22"/>
          <w:szCs w:val="22"/>
        </w:rPr>
        <w:t>_portfolio</w:t>
      </w:r>
      <w:proofErr w:type="spellEnd"/>
      <w:r w:rsidRPr="00BA7EDE">
        <w:rPr>
          <w:sz w:val="22"/>
          <w:szCs w:val="22"/>
        </w:rPr>
        <w:t xml:space="preserve"> table that faithfully reproduces the original loan-level dataset. This table constitutes the immutable foundation upon which all subsequent pipeline stages are built.</w:t>
      </w:r>
    </w:p>
    <w:p w14:paraId="4432F1BC" w14:textId="77777777" w:rsidR="00BA7EDE" w:rsidRPr="00BA7EDE" w:rsidRDefault="00BA7EDE" w:rsidP="00BA7EDE">
      <w:pPr>
        <w:rPr>
          <w:b/>
          <w:bCs/>
          <w:sz w:val="22"/>
          <w:szCs w:val="22"/>
        </w:rPr>
      </w:pPr>
      <w:proofErr w:type="gramStart"/>
      <w:r w:rsidRPr="00BA7EDE">
        <w:rPr>
          <w:b/>
          <w:bCs/>
          <w:sz w:val="22"/>
          <w:szCs w:val="22"/>
        </w:rPr>
        <w:t>Execution Environment</w:t>
      </w:r>
      <w:proofErr w:type="gramEnd"/>
      <w:r w:rsidRPr="00BA7EDE">
        <w:rPr>
          <w:b/>
          <w:bCs/>
          <w:sz w:val="22"/>
          <w:szCs w:val="22"/>
        </w:rPr>
        <w:t xml:space="preserve"> and Infrastructure Setup</w:t>
      </w:r>
    </w:p>
    <w:p w14:paraId="71708978" w14:textId="77777777" w:rsidR="00BA7EDE" w:rsidRPr="00BA7EDE" w:rsidRDefault="00BA7EDE" w:rsidP="00BA7EDE">
      <w:pPr>
        <w:rPr>
          <w:sz w:val="22"/>
          <w:szCs w:val="22"/>
        </w:rPr>
      </w:pPr>
      <w:r w:rsidRPr="00BA7EDE">
        <w:rPr>
          <w:sz w:val="22"/>
          <w:szCs w:val="22"/>
        </w:rPr>
        <w:t xml:space="preserve">The entire data pipeline developed in this thesis is executed within a containerized local environment to ensure consistency, reproducibility, and isolation of dependencies. Docker is used to provision and manage the core infrastructure components required for pipeline execution, including the PostgreSQL database instance and its associated services. By </w:t>
      </w:r>
      <w:r w:rsidRPr="00BA7EDE">
        <w:rPr>
          <w:sz w:val="22"/>
          <w:szCs w:val="22"/>
        </w:rPr>
        <w:lastRenderedPageBreak/>
        <w:t>encapsulating the database and its configuration within dedicated containers, the analytical environment is decoupled from machine-specific dependencies and operating-system variations.</w:t>
      </w:r>
    </w:p>
    <w:p w14:paraId="0556A813" w14:textId="77777777" w:rsidR="00BA7EDE" w:rsidRPr="00BA7EDE" w:rsidRDefault="00BA7EDE" w:rsidP="00BA7EDE">
      <w:pPr>
        <w:rPr>
          <w:sz w:val="22"/>
          <w:szCs w:val="22"/>
        </w:rPr>
      </w:pPr>
      <w:r w:rsidRPr="00BA7EDE">
        <w:rPr>
          <w:sz w:val="22"/>
          <w:szCs w:val="22"/>
        </w:rPr>
        <w:t>Containerization enables controlled startup and shutdown of database services and ensures that all pipeline components—ingestion scripts, transformation logic, analytical queries, orchestration tasks, and API services—interact with a consistent and well-defined execution environment. This approach directly supports experimental reproducibility, as the same container configuration can be used to recreate the analytical environment across executions or systems.</w:t>
      </w:r>
    </w:p>
    <w:p w14:paraId="687A8E88" w14:textId="77777777" w:rsidR="00BA7EDE" w:rsidRPr="00BA7EDE" w:rsidRDefault="00BA7EDE" w:rsidP="00BA7EDE">
      <w:pPr>
        <w:rPr>
          <w:sz w:val="22"/>
          <w:szCs w:val="22"/>
        </w:rPr>
      </w:pPr>
      <w:r w:rsidRPr="00BA7EDE">
        <w:rPr>
          <w:sz w:val="22"/>
          <w:szCs w:val="22"/>
        </w:rPr>
        <w:t>Although infrastructure optimization is not the primary focus of this thesis, the adoption of a Docker-based execution environment reinforces the operational robustness of the proposed pipeline. It ensures reliable database connectivity, reduces configuration ambiguity, and aligns the methodological framework with modern data-engineering practices commonly employed in regulated and production-grade analytical settings.</w:t>
      </w:r>
    </w:p>
    <w:p w14:paraId="15CEE256" w14:textId="77777777" w:rsidR="00BD12DE" w:rsidRPr="00BD12DE" w:rsidRDefault="00BD12DE" w:rsidP="00BD12DE">
      <w:pPr>
        <w:rPr>
          <w:b/>
          <w:bCs/>
          <w:sz w:val="22"/>
          <w:szCs w:val="22"/>
        </w:rPr>
      </w:pPr>
      <w:r w:rsidRPr="00BD12DE">
        <w:rPr>
          <w:b/>
          <w:bCs/>
          <w:sz w:val="22"/>
          <w:szCs w:val="22"/>
        </w:rPr>
        <w:t>3.3.1 Exploratory Data Analysis (EDA)</w:t>
      </w:r>
    </w:p>
    <w:p w14:paraId="58202B56" w14:textId="77777777" w:rsidR="00D07401" w:rsidRPr="00D07401" w:rsidRDefault="00D07401" w:rsidP="00D07401">
      <w:pPr>
        <w:rPr>
          <w:sz w:val="22"/>
          <w:szCs w:val="22"/>
        </w:rPr>
      </w:pPr>
      <w:r w:rsidRPr="00D07401">
        <w:rPr>
          <w:sz w:val="22"/>
          <w:szCs w:val="22"/>
        </w:rPr>
        <w:t>Although the overall data pipeline of this thesis is structured around the raw, staging, and analytics schemas, an intermediate exploratory phase was required prior to database standardization and KPI computation. This phase corresponds to the Exploratory Data Analysis (EDA) stage and was conducted to develop an in-depth understanding of the dataset, validate domain-specific assumptions derived from the literature, and assess the suitability of the available variables for reliable portfolio-level KPI computation.</w:t>
      </w:r>
    </w:p>
    <w:p w14:paraId="652B62AC" w14:textId="77777777" w:rsidR="00D07401" w:rsidRPr="00D07401" w:rsidRDefault="00D07401" w:rsidP="00D07401">
      <w:pPr>
        <w:rPr>
          <w:sz w:val="22"/>
          <w:szCs w:val="22"/>
        </w:rPr>
      </w:pPr>
      <w:r w:rsidRPr="00D07401">
        <w:rPr>
          <w:sz w:val="22"/>
          <w:szCs w:val="22"/>
        </w:rPr>
        <w:t xml:space="preserve">The EDA phase serves a dual methodological role. First, it functions as a diagnostic process that evaluates the structure, completeness, and statistical properties of the loan-level data. Second, it acts as a validation layer that links theoretical </w:t>
      </w:r>
      <w:proofErr w:type="gramStart"/>
      <w:r w:rsidRPr="00D07401">
        <w:rPr>
          <w:sz w:val="22"/>
          <w:szCs w:val="22"/>
        </w:rPr>
        <w:t>constructs</w:t>
      </w:r>
      <w:proofErr w:type="gramEnd"/>
      <w:r w:rsidRPr="00D07401">
        <w:rPr>
          <w:sz w:val="22"/>
          <w:szCs w:val="22"/>
        </w:rPr>
        <w:t xml:space="preserve"> from credit-risk literature—such as exposure size, borrower affordability, credit quality, and default behavior—to their empirical representations within the dataset. In this sense, the EDA stage constitutes </w:t>
      </w:r>
      <w:proofErr w:type="gramStart"/>
      <w:r w:rsidRPr="00D07401">
        <w:rPr>
          <w:sz w:val="22"/>
          <w:szCs w:val="22"/>
        </w:rPr>
        <w:t>a necessary prerequisite</w:t>
      </w:r>
      <w:proofErr w:type="gramEnd"/>
      <w:r w:rsidRPr="00D07401">
        <w:rPr>
          <w:sz w:val="22"/>
          <w:szCs w:val="22"/>
        </w:rPr>
        <w:t xml:space="preserve"> for both feature engineering and the design of analytically meaningful KPIs.</w:t>
      </w:r>
    </w:p>
    <w:p w14:paraId="4CBAC0BD" w14:textId="7CC2496A" w:rsidR="00D07401" w:rsidRPr="00932875" w:rsidRDefault="00D07401" w:rsidP="00D07401">
      <w:pPr>
        <w:rPr>
          <w:sz w:val="22"/>
          <w:szCs w:val="22"/>
        </w:rPr>
      </w:pPr>
      <w:r w:rsidRPr="00D07401">
        <w:rPr>
          <w:sz w:val="22"/>
          <w:szCs w:val="22"/>
        </w:rPr>
        <w:t xml:space="preserve">The exploratory analysis was implemented entirely in Python using </w:t>
      </w:r>
      <w:proofErr w:type="spellStart"/>
      <w:r w:rsidRPr="00D07401">
        <w:rPr>
          <w:sz w:val="22"/>
          <w:szCs w:val="22"/>
        </w:rPr>
        <w:t>Jupyter</w:t>
      </w:r>
      <w:proofErr w:type="spellEnd"/>
      <w:r w:rsidRPr="00D07401">
        <w:rPr>
          <w:sz w:val="22"/>
          <w:szCs w:val="22"/>
        </w:rPr>
        <w:t xml:space="preserve"> Notebooks, which provided a flexible environment for iterative analysis, visualization, and hypothesis validation. The use of notebooks allowed rapid inspection of variable distributions, interactive plotting, and systematic refinement of analytical focus as insights emerged. All analyses were conducted on data extracted from the raw Lending Club dataset, ensuring that exploratory conclusions were grounded in the original, unmodified source data.</w:t>
      </w:r>
    </w:p>
    <w:p w14:paraId="338101DB" w14:textId="77777777" w:rsidR="00D07401" w:rsidRPr="00D07401" w:rsidRDefault="00D07401" w:rsidP="00D07401">
      <w:pPr>
        <w:rPr>
          <w:b/>
          <w:bCs/>
          <w:sz w:val="22"/>
          <w:szCs w:val="22"/>
        </w:rPr>
      </w:pPr>
      <w:r w:rsidRPr="00D07401">
        <w:rPr>
          <w:b/>
          <w:bCs/>
          <w:sz w:val="22"/>
          <w:szCs w:val="22"/>
        </w:rPr>
        <w:t>Dataset Structure and Variable Grouping</w:t>
      </w:r>
    </w:p>
    <w:p w14:paraId="7730F750" w14:textId="6C34B4CF" w:rsidR="00D07401" w:rsidRPr="00D07401" w:rsidRDefault="00D07401" w:rsidP="00D07401">
      <w:pPr>
        <w:rPr>
          <w:sz w:val="22"/>
          <w:szCs w:val="22"/>
        </w:rPr>
      </w:pPr>
      <w:r w:rsidRPr="00D07401">
        <w:rPr>
          <w:sz w:val="22"/>
          <w:szCs w:val="22"/>
        </w:rPr>
        <w:t>The EDA process aimed to develop a comprehensive understanding of four main dimensions of the loan portfolio</w:t>
      </w:r>
      <w:r w:rsidR="00997DF3">
        <w:rPr>
          <w:sz w:val="22"/>
          <w:szCs w:val="22"/>
        </w:rPr>
        <w:t>,</w:t>
      </w:r>
      <w:r w:rsidR="00430947">
        <w:rPr>
          <w:sz w:val="22"/>
          <w:szCs w:val="22"/>
        </w:rPr>
        <w:t xml:space="preserve"> the </w:t>
      </w:r>
      <w:r w:rsidRPr="00D07401">
        <w:rPr>
          <w:sz w:val="22"/>
          <w:szCs w:val="22"/>
        </w:rPr>
        <w:t>loan-level contractual characteristics,</w:t>
      </w:r>
      <w:r w:rsidR="00997DF3">
        <w:rPr>
          <w:sz w:val="22"/>
          <w:szCs w:val="22"/>
        </w:rPr>
        <w:t xml:space="preserve"> </w:t>
      </w:r>
      <w:r w:rsidRPr="00D07401">
        <w:rPr>
          <w:sz w:val="22"/>
          <w:szCs w:val="22"/>
        </w:rPr>
        <w:t>borrower financial attributes,</w:t>
      </w:r>
      <w:r w:rsidR="00997DF3">
        <w:rPr>
          <w:sz w:val="22"/>
          <w:szCs w:val="22"/>
        </w:rPr>
        <w:t xml:space="preserve"> </w:t>
      </w:r>
      <w:r w:rsidRPr="00D07401">
        <w:rPr>
          <w:sz w:val="22"/>
          <w:szCs w:val="22"/>
        </w:rPr>
        <w:t>credit history indicators, and</w:t>
      </w:r>
      <w:r w:rsidR="00997DF3">
        <w:rPr>
          <w:sz w:val="22"/>
          <w:szCs w:val="22"/>
        </w:rPr>
        <w:t xml:space="preserve"> </w:t>
      </w:r>
      <w:r w:rsidRPr="00D07401">
        <w:rPr>
          <w:sz w:val="22"/>
          <w:szCs w:val="22"/>
        </w:rPr>
        <w:t>loan performance and repayment behavior.</w:t>
      </w:r>
    </w:p>
    <w:p w14:paraId="29EB240A" w14:textId="195C46AC" w:rsidR="00D07401" w:rsidRPr="00932875" w:rsidRDefault="00D07401" w:rsidP="00D07401">
      <w:pPr>
        <w:rPr>
          <w:sz w:val="22"/>
          <w:szCs w:val="22"/>
        </w:rPr>
      </w:pPr>
      <w:r w:rsidRPr="00D07401">
        <w:rPr>
          <w:sz w:val="22"/>
          <w:szCs w:val="22"/>
        </w:rPr>
        <w:lastRenderedPageBreak/>
        <w:t>Descriptive statistics were computed for numerical variables to examine central tendency, dispersion, skewness, and the presence of extreme values. In parallel, categorical variables were inspected through frequency distributions to assess category balance, dominance patterns, and potential sparsity issues. Visual exploration techniques—including histograms, boxplots, and bar charts—were used to complement numerical summaries and facilitate intuitive interpretation of portfolio composition.</w:t>
      </w:r>
    </w:p>
    <w:p w14:paraId="3CD2671A" w14:textId="77777777" w:rsidR="00D07401" w:rsidRPr="00D07401" w:rsidRDefault="00D07401" w:rsidP="00D07401">
      <w:pPr>
        <w:rPr>
          <w:b/>
          <w:bCs/>
          <w:sz w:val="22"/>
          <w:szCs w:val="22"/>
        </w:rPr>
      </w:pPr>
      <w:r w:rsidRPr="00D07401">
        <w:rPr>
          <w:b/>
          <w:bCs/>
          <w:sz w:val="22"/>
          <w:szCs w:val="22"/>
        </w:rPr>
        <w:t>Loan Characteristics and Portfolio Exposure Patterns</w:t>
      </w:r>
    </w:p>
    <w:p w14:paraId="6ECA379E" w14:textId="77777777" w:rsidR="00D07401" w:rsidRPr="00D07401" w:rsidRDefault="00D07401" w:rsidP="00D07401">
      <w:pPr>
        <w:rPr>
          <w:sz w:val="22"/>
          <w:szCs w:val="22"/>
        </w:rPr>
      </w:pPr>
      <w:r w:rsidRPr="00D07401">
        <w:rPr>
          <w:sz w:val="22"/>
          <w:szCs w:val="22"/>
        </w:rPr>
        <w:t>Loan-level contractual variables, such as approved loan amount, contractual interest rate, loan term, and origination timing, were analyzed to assess the exposure structure and pricing characteristics of the portfolio. The distribution of loan amounts revealed a right-skewed pattern typical of unsecured consumer lending, with a concentration of loans in lower exposure brackets and a long tail of higher-value loans. This observation confirmed the need for careful handling of extreme values in portfolio-level aggregation.</w:t>
      </w:r>
    </w:p>
    <w:p w14:paraId="5EC4AD2B" w14:textId="77777777" w:rsidR="00D07401" w:rsidRPr="00D07401" w:rsidRDefault="00D07401" w:rsidP="00D07401">
      <w:pPr>
        <w:rPr>
          <w:sz w:val="22"/>
          <w:szCs w:val="22"/>
        </w:rPr>
      </w:pPr>
      <w:r w:rsidRPr="00D07401">
        <w:rPr>
          <w:sz w:val="22"/>
          <w:szCs w:val="22"/>
        </w:rPr>
        <w:t xml:space="preserve">Interest rate distributions were examined to understand portfolio pricing dynamics and risk segmentation. The observed spread in interest rates reflected differentiation across credit grades, consistent with risk-based pricing practices documented in the literature. Loan term distributions, primarily concentrated </w:t>
      </w:r>
      <w:proofErr w:type="gramStart"/>
      <w:r w:rsidRPr="00D07401">
        <w:rPr>
          <w:sz w:val="22"/>
          <w:szCs w:val="22"/>
        </w:rPr>
        <w:t>in</w:t>
      </w:r>
      <w:proofErr w:type="gramEnd"/>
      <w:r w:rsidRPr="00D07401">
        <w:rPr>
          <w:sz w:val="22"/>
          <w:szCs w:val="22"/>
        </w:rPr>
        <w:t xml:space="preserve"> standard maturities, supported their suitability for aggregation and time-based analysis.</w:t>
      </w:r>
    </w:p>
    <w:p w14:paraId="0263DB1F" w14:textId="36485A7D" w:rsidR="00D07401" w:rsidRPr="00932875" w:rsidRDefault="00D07401" w:rsidP="00D07401">
      <w:pPr>
        <w:rPr>
          <w:sz w:val="22"/>
          <w:szCs w:val="22"/>
        </w:rPr>
      </w:pPr>
      <w:r w:rsidRPr="00D07401">
        <w:rPr>
          <w:sz w:val="22"/>
          <w:szCs w:val="22"/>
        </w:rPr>
        <w:t>Origination timing variables were explored to identify temporal patterns in loan issuance volumes. These findings directly informed the design of the Portfolio Growth KPI, confirming that origination date fields could support year-based aggregation and trend analysis without extensive imputation or correction.</w:t>
      </w:r>
    </w:p>
    <w:p w14:paraId="4BD9F2FA" w14:textId="77777777" w:rsidR="00D07401" w:rsidRPr="00D07401" w:rsidRDefault="00D07401" w:rsidP="00D07401">
      <w:pPr>
        <w:rPr>
          <w:b/>
          <w:bCs/>
          <w:sz w:val="22"/>
          <w:szCs w:val="22"/>
        </w:rPr>
      </w:pPr>
      <w:r w:rsidRPr="00D07401">
        <w:rPr>
          <w:b/>
          <w:bCs/>
          <w:sz w:val="22"/>
          <w:szCs w:val="22"/>
        </w:rPr>
        <w:t>Borrower Financial Attributes and Affordability Indicators</w:t>
      </w:r>
    </w:p>
    <w:p w14:paraId="034B3BF1" w14:textId="77777777" w:rsidR="00D07401" w:rsidRPr="00D07401" w:rsidRDefault="00D07401" w:rsidP="00D07401">
      <w:pPr>
        <w:rPr>
          <w:sz w:val="22"/>
          <w:szCs w:val="22"/>
        </w:rPr>
      </w:pPr>
      <w:r w:rsidRPr="00D07401">
        <w:rPr>
          <w:sz w:val="22"/>
          <w:szCs w:val="22"/>
        </w:rPr>
        <w:t xml:space="preserve">Borrower financial </w:t>
      </w:r>
      <w:proofErr w:type="gramStart"/>
      <w:r w:rsidRPr="00D07401">
        <w:rPr>
          <w:sz w:val="22"/>
          <w:szCs w:val="22"/>
        </w:rPr>
        <w:t>variables—</w:t>
      </w:r>
      <w:proofErr w:type="gramEnd"/>
      <w:r w:rsidRPr="00D07401">
        <w:rPr>
          <w:sz w:val="22"/>
          <w:szCs w:val="22"/>
        </w:rPr>
        <w:t>including annual income, debt-to-income (DTI) ratio, and revolving credit utilization—were analyzed to assess borrower affordability and leverage profiles. Annual income exhibited significant positive skewness, with a small number of high-income borrowers potentially exerting disproportionate influence on portfolio averages. This observation motivated the later application of log transformations and ratio-based features to ensure robust aggregation.</w:t>
      </w:r>
    </w:p>
    <w:p w14:paraId="5D6AE101" w14:textId="3C1E0AC8" w:rsidR="00D07401" w:rsidRPr="00932875" w:rsidRDefault="00D07401" w:rsidP="00D07401">
      <w:pPr>
        <w:rPr>
          <w:sz w:val="22"/>
          <w:szCs w:val="22"/>
        </w:rPr>
      </w:pPr>
      <w:r w:rsidRPr="00D07401">
        <w:rPr>
          <w:sz w:val="22"/>
          <w:szCs w:val="22"/>
        </w:rPr>
        <w:t>The distribution of DTI ratios and revolving utilization rates provided insight into borrower indebtedness and credit usage behavior. These variables displayed economically plausible ranges and distributions, reinforcing their relevance for portfolio-level interpretation. Their stability and completeness further supported their inclusion in KPI-relevant feature sets.</w:t>
      </w:r>
    </w:p>
    <w:p w14:paraId="6846CFC8" w14:textId="77777777" w:rsidR="00D07401" w:rsidRPr="00D07401" w:rsidRDefault="00D07401" w:rsidP="00D07401">
      <w:pPr>
        <w:rPr>
          <w:b/>
          <w:bCs/>
          <w:sz w:val="22"/>
          <w:szCs w:val="22"/>
        </w:rPr>
      </w:pPr>
      <w:r w:rsidRPr="00D07401">
        <w:rPr>
          <w:b/>
          <w:bCs/>
          <w:sz w:val="22"/>
          <w:szCs w:val="22"/>
        </w:rPr>
        <w:t>Credit History Indicators and Borrower Maturity</w:t>
      </w:r>
    </w:p>
    <w:p w14:paraId="7F9E257C" w14:textId="77777777" w:rsidR="00D07401" w:rsidRPr="00D07401" w:rsidRDefault="00D07401" w:rsidP="00D07401">
      <w:pPr>
        <w:rPr>
          <w:sz w:val="22"/>
          <w:szCs w:val="22"/>
        </w:rPr>
      </w:pPr>
      <w:r w:rsidRPr="00D07401">
        <w:rPr>
          <w:sz w:val="22"/>
          <w:szCs w:val="22"/>
        </w:rPr>
        <w:t xml:space="preserve">Credit history metrics, such as the number of open credit lines, total credit accounts, and length of credit history, were explored to capture borrower maturity and historical credit behavior. </w:t>
      </w:r>
      <w:r w:rsidRPr="00D07401">
        <w:rPr>
          <w:sz w:val="22"/>
          <w:szCs w:val="22"/>
        </w:rPr>
        <w:lastRenderedPageBreak/>
        <w:t>These variables exhibited moderate dispersion and meaningful variation across borrowers, suggesting their suitability for segmentation and descriptive analysis.</w:t>
      </w:r>
    </w:p>
    <w:p w14:paraId="37293FFA" w14:textId="313D5B2D" w:rsidR="00D07401" w:rsidRPr="00932875" w:rsidRDefault="00D07401" w:rsidP="00D07401">
      <w:pPr>
        <w:rPr>
          <w:sz w:val="22"/>
          <w:szCs w:val="22"/>
        </w:rPr>
      </w:pPr>
      <w:r w:rsidRPr="00D07401">
        <w:rPr>
          <w:sz w:val="22"/>
          <w:szCs w:val="22"/>
        </w:rPr>
        <w:t>The length of credit history</w:t>
      </w:r>
      <w:proofErr w:type="gramStart"/>
      <w:r w:rsidRPr="00D07401">
        <w:rPr>
          <w:sz w:val="22"/>
          <w:szCs w:val="22"/>
        </w:rPr>
        <w:t>, in particular, provided</w:t>
      </w:r>
      <w:proofErr w:type="gramEnd"/>
      <w:r w:rsidRPr="00D07401">
        <w:rPr>
          <w:sz w:val="22"/>
          <w:szCs w:val="22"/>
        </w:rPr>
        <w:t xml:space="preserve"> a temporal dimension that complements loan origination data. Its distribution supported the construction of derived measures capturing borrower credit maturity, which were later incorporated into feature engineering. The absence of excessive missingness in these variables confirmed their analytical usability.</w:t>
      </w:r>
    </w:p>
    <w:p w14:paraId="4488359C" w14:textId="77777777" w:rsidR="00D07401" w:rsidRPr="00D07401" w:rsidRDefault="00D07401" w:rsidP="00D07401">
      <w:pPr>
        <w:rPr>
          <w:b/>
          <w:bCs/>
          <w:sz w:val="22"/>
          <w:szCs w:val="22"/>
        </w:rPr>
      </w:pPr>
      <w:r w:rsidRPr="00D07401">
        <w:rPr>
          <w:b/>
          <w:bCs/>
          <w:sz w:val="22"/>
          <w:szCs w:val="22"/>
        </w:rPr>
        <w:t>Loan Performance Variables and Default Behavior</w:t>
      </w:r>
    </w:p>
    <w:p w14:paraId="387D68B4" w14:textId="77777777" w:rsidR="00D07401" w:rsidRPr="00D07401" w:rsidRDefault="00D07401" w:rsidP="00D07401">
      <w:pPr>
        <w:rPr>
          <w:sz w:val="22"/>
          <w:szCs w:val="22"/>
        </w:rPr>
      </w:pPr>
      <w:r w:rsidRPr="00D07401">
        <w:rPr>
          <w:sz w:val="22"/>
          <w:szCs w:val="22"/>
        </w:rPr>
        <w:t>Special emphasis during the EDA phase was placed on loan performance variables, as these directly underpin portfolio-level KPIs related to credit risk. Loan status categories were examined to distinguish between fully paid, active, delinquent, and defaulted loans. Frequency analysis revealed a dominant share of performing loans, accompanied by a smaller but economically significant proportion of defaults and delinquencies.</w:t>
      </w:r>
    </w:p>
    <w:p w14:paraId="6B3D6B2C" w14:textId="5805FAE7" w:rsidR="00D07401" w:rsidRPr="00932875" w:rsidRDefault="00D07401" w:rsidP="00D07401">
      <w:pPr>
        <w:rPr>
          <w:sz w:val="22"/>
          <w:szCs w:val="22"/>
        </w:rPr>
      </w:pPr>
      <w:r w:rsidRPr="00D07401">
        <w:rPr>
          <w:sz w:val="22"/>
          <w:szCs w:val="22"/>
        </w:rPr>
        <w:t>Repayment-related variables were analyzed to assess realized cashflows, principal repayment patterns, and recovery behavior following default. The exploratory results confirmed patterns consistent with unsecured consumer lending, including limited post-default recoveries and a sharp distinction between performing and charged-off loans. These findings validated the use of loan status–based default definitions aligned with Basel-consistent interpretations.</w:t>
      </w:r>
    </w:p>
    <w:p w14:paraId="2E455A44" w14:textId="77777777" w:rsidR="00D07401" w:rsidRPr="00D07401" w:rsidRDefault="00D07401" w:rsidP="00D07401">
      <w:pPr>
        <w:rPr>
          <w:b/>
          <w:bCs/>
          <w:sz w:val="22"/>
          <w:szCs w:val="22"/>
        </w:rPr>
      </w:pPr>
      <w:r w:rsidRPr="00D07401">
        <w:rPr>
          <w:b/>
          <w:bCs/>
          <w:sz w:val="22"/>
          <w:szCs w:val="22"/>
        </w:rPr>
        <w:t>Correlation Analysis and Multicollinearity Assessment</w:t>
      </w:r>
    </w:p>
    <w:p w14:paraId="35A4B01B" w14:textId="77777777" w:rsidR="00D07401" w:rsidRPr="00D07401" w:rsidRDefault="00D07401" w:rsidP="00D07401">
      <w:pPr>
        <w:rPr>
          <w:sz w:val="22"/>
          <w:szCs w:val="22"/>
        </w:rPr>
      </w:pPr>
      <w:r w:rsidRPr="00D07401">
        <w:rPr>
          <w:sz w:val="22"/>
          <w:szCs w:val="22"/>
        </w:rPr>
        <w:t>Beyond univariate analysis, correlation analysis was conducted across the core numerical features relevant to KPI computation. A correlation matrix was constructed to identify linear associations and potential redundancy among variables. The analysis revealed economically intuitive relationships, such as a moderate positive association between borrower income and loan amount, as well as between open and total credit accounts.</w:t>
      </w:r>
    </w:p>
    <w:p w14:paraId="746B8B28" w14:textId="462DF7EA" w:rsidR="00D07401" w:rsidRPr="00932875" w:rsidRDefault="00D07401" w:rsidP="00D07401">
      <w:pPr>
        <w:rPr>
          <w:sz w:val="22"/>
          <w:szCs w:val="22"/>
        </w:rPr>
      </w:pPr>
      <w:r w:rsidRPr="00D07401">
        <w:rPr>
          <w:sz w:val="22"/>
          <w:szCs w:val="22"/>
        </w:rPr>
        <w:t>Importantly, the correlation structure did not indicate problematic multicollinearity that would compromise interpretability or distort portfolio-level aggregation. No correlation pairs exceeded thresholds commonly associated with instability in aggregated metrics. This result supported the inclusion of multiple financial and credit-history variables in the analytical dataset without the need for aggressive dimensionality reduction.</w:t>
      </w:r>
    </w:p>
    <w:p w14:paraId="5CC680A8" w14:textId="77777777" w:rsidR="00D07401" w:rsidRPr="00D07401" w:rsidRDefault="00D07401" w:rsidP="00D07401">
      <w:pPr>
        <w:rPr>
          <w:b/>
          <w:bCs/>
          <w:sz w:val="22"/>
          <w:szCs w:val="22"/>
        </w:rPr>
      </w:pPr>
      <w:r w:rsidRPr="00D07401">
        <w:rPr>
          <w:b/>
          <w:bCs/>
          <w:sz w:val="22"/>
          <w:szCs w:val="22"/>
        </w:rPr>
        <w:t>Role of EDA in the Methodological Framework</w:t>
      </w:r>
    </w:p>
    <w:p w14:paraId="46428213" w14:textId="77777777" w:rsidR="00D07401" w:rsidRPr="00D07401" w:rsidRDefault="00D07401" w:rsidP="00D07401">
      <w:pPr>
        <w:rPr>
          <w:sz w:val="22"/>
          <w:szCs w:val="22"/>
        </w:rPr>
      </w:pPr>
      <w:r w:rsidRPr="00D07401">
        <w:rPr>
          <w:sz w:val="22"/>
          <w:szCs w:val="22"/>
        </w:rPr>
        <w:t>Overall, the EDA phase functioned as a validation and diagnostic stage rather than a transformation step. Its primary contribution was to inform and justify downstream methodological choices, including variable selection, transformation strategies, and the design of KPI-relevant features. Decisions related to log transformations, ratio construction, temporal aggregation, and categorical encoding were grounded directly in empirical observations derived from the exploratory analysis.</w:t>
      </w:r>
    </w:p>
    <w:p w14:paraId="0084F2F7" w14:textId="77777777" w:rsidR="00D07401" w:rsidRPr="00D07401" w:rsidRDefault="00D07401" w:rsidP="00D07401">
      <w:pPr>
        <w:rPr>
          <w:sz w:val="22"/>
          <w:szCs w:val="22"/>
        </w:rPr>
      </w:pPr>
      <w:r w:rsidRPr="00D07401">
        <w:rPr>
          <w:sz w:val="22"/>
          <w:szCs w:val="22"/>
        </w:rPr>
        <w:lastRenderedPageBreak/>
        <w:t xml:space="preserve">By systematically linking raw data properties to analytical design decisions, the EDA phase ensures that subsequent feature engineering and KPI computation are not </w:t>
      </w:r>
      <w:proofErr w:type="gramStart"/>
      <w:r w:rsidRPr="00D07401">
        <w:rPr>
          <w:sz w:val="22"/>
          <w:szCs w:val="22"/>
        </w:rPr>
        <w:t>ad hoc, but</w:t>
      </w:r>
      <w:proofErr w:type="gramEnd"/>
      <w:r w:rsidRPr="00D07401">
        <w:rPr>
          <w:sz w:val="22"/>
          <w:szCs w:val="22"/>
        </w:rPr>
        <w:t xml:space="preserve"> empirically justified and methodologically transparent. The insights obtained during this phase directly guided the feature engineering and data standardization process, which is described in the following section.</w:t>
      </w:r>
    </w:p>
    <w:p w14:paraId="59DE65D2" w14:textId="77777777" w:rsidR="009A292E" w:rsidRPr="009A292E" w:rsidRDefault="009A292E" w:rsidP="009A292E">
      <w:pPr>
        <w:rPr>
          <w:b/>
          <w:bCs/>
          <w:sz w:val="22"/>
          <w:szCs w:val="22"/>
        </w:rPr>
      </w:pPr>
      <w:r w:rsidRPr="009A292E">
        <w:rPr>
          <w:b/>
          <w:bCs/>
          <w:sz w:val="22"/>
          <w:szCs w:val="22"/>
        </w:rPr>
        <w:t>3.3.2 Feature Engineering and Data Standardization</w:t>
      </w:r>
    </w:p>
    <w:p w14:paraId="539832BE" w14:textId="77777777" w:rsidR="00480BBF" w:rsidRPr="00480BBF" w:rsidRDefault="00480BBF" w:rsidP="00480BBF">
      <w:pPr>
        <w:rPr>
          <w:sz w:val="22"/>
          <w:szCs w:val="22"/>
        </w:rPr>
      </w:pPr>
      <w:r w:rsidRPr="00480BBF">
        <w:rPr>
          <w:sz w:val="22"/>
          <w:szCs w:val="22"/>
        </w:rPr>
        <w:t xml:space="preserve">Building on the insights obtained during the exploratory data analysis phase, a structured feature engineering and data standardization process was applied </w:t>
      </w:r>
      <w:proofErr w:type="gramStart"/>
      <w:r w:rsidRPr="00480BBF">
        <w:rPr>
          <w:sz w:val="22"/>
          <w:szCs w:val="22"/>
        </w:rPr>
        <w:t>in order to</w:t>
      </w:r>
      <w:proofErr w:type="gramEnd"/>
      <w:r w:rsidRPr="00480BBF">
        <w:rPr>
          <w:sz w:val="22"/>
          <w:szCs w:val="22"/>
        </w:rPr>
        <w:t xml:space="preserve"> construct a curated dataset specifically designed for loan portfolio monitoring and KPI computation. The primary objective of this stage was not the development of predictive models, but the creation of a stable, interpretable, and aggregation-ready analytical dataset that could be reliably stored in a relational database and consumed by downstream analytical and reporting components.</w:t>
      </w:r>
    </w:p>
    <w:p w14:paraId="10DF76A6" w14:textId="77777777" w:rsidR="00480BBF" w:rsidRPr="00480BBF" w:rsidRDefault="00480BBF" w:rsidP="00480BBF">
      <w:pPr>
        <w:rPr>
          <w:sz w:val="22"/>
          <w:szCs w:val="22"/>
        </w:rPr>
      </w:pPr>
      <w:r w:rsidRPr="00480BBF">
        <w:rPr>
          <w:sz w:val="22"/>
          <w:szCs w:val="22"/>
        </w:rPr>
        <w:t>The feature engineering strategy was guided by two core principles: preservation of economic meaning and support for portfolio-level aggregation. As a result, transformations were selected not to maximize predictive power, but to ensure that each derived feature could be clearly interpreted, consistently aggregated, and aligned with standard credit-risk and portfolio-management concepts used in both academic literature and supervisory frameworks.</w:t>
      </w:r>
    </w:p>
    <w:p w14:paraId="67D766B0" w14:textId="77777777" w:rsidR="00480BBF" w:rsidRPr="00480BBF" w:rsidRDefault="00480BBF" w:rsidP="00480BBF">
      <w:pPr>
        <w:rPr>
          <w:b/>
          <w:bCs/>
          <w:sz w:val="22"/>
          <w:szCs w:val="22"/>
        </w:rPr>
      </w:pPr>
      <w:r w:rsidRPr="00480BBF">
        <w:rPr>
          <w:b/>
          <w:bCs/>
          <w:sz w:val="22"/>
          <w:szCs w:val="22"/>
        </w:rPr>
        <w:t>Ordinal Encoding of Credit and Loan Characteristics</w:t>
      </w:r>
    </w:p>
    <w:p w14:paraId="4D8B6A78" w14:textId="77777777" w:rsidR="00480BBF" w:rsidRPr="00480BBF" w:rsidRDefault="00480BBF" w:rsidP="00480BBF">
      <w:pPr>
        <w:rPr>
          <w:sz w:val="22"/>
          <w:szCs w:val="22"/>
        </w:rPr>
      </w:pPr>
      <w:r w:rsidRPr="00480BBF">
        <w:rPr>
          <w:sz w:val="22"/>
          <w:szCs w:val="22"/>
        </w:rPr>
        <w:t xml:space="preserve">Ordinal categorical variables with inherent ranking semantics were systematically transformed into numerical representations that preserve their underlying domain meaning. Loan term values were converted into numeric month representations, allowing direct comparison across different contractual maturities. Employment length, originally recorded as categorical ranges, was mapped into years of experience </w:t>
      </w:r>
      <w:proofErr w:type="gramStart"/>
      <w:r w:rsidRPr="00480BBF">
        <w:rPr>
          <w:sz w:val="22"/>
          <w:szCs w:val="22"/>
        </w:rPr>
        <w:t>in order to</w:t>
      </w:r>
      <w:proofErr w:type="gramEnd"/>
      <w:r w:rsidRPr="00480BBF">
        <w:rPr>
          <w:sz w:val="22"/>
          <w:szCs w:val="22"/>
        </w:rPr>
        <w:t xml:space="preserve"> reflect borrower stability in a continuous and interpretable form. Similarly, credit grades and sub-grades were encoded into ordinal risk scales that reflect increasing levels of credit risk.</w:t>
      </w:r>
    </w:p>
    <w:p w14:paraId="78805315" w14:textId="77777777" w:rsidR="00480BBF" w:rsidRPr="00480BBF" w:rsidRDefault="00480BBF" w:rsidP="00480BBF">
      <w:pPr>
        <w:rPr>
          <w:sz w:val="22"/>
          <w:szCs w:val="22"/>
        </w:rPr>
      </w:pPr>
      <w:r w:rsidRPr="00480BBF">
        <w:rPr>
          <w:sz w:val="22"/>
          <w:szCs w:val="22"/>
        </w:rPr>
        <w:t>These transformations allow credit quality and loan structure to be analyzed quantitatively while maintaining consistency with industry-standard credit-risk classifications. Importantly, ordinal encoding ensures that portfolio-level summaries, such as grade distributions or average credit quality indicators, retain their economic interpretation and are not distorted by arbitrary categorical representations.</w:t>
      </w:r>
    </w:p>
    <w:p w14:paraId="6E00567F" w14:textId="77777777" w:rsidR="00480BBF" w:rsidRPr="00480BBF" w:rsidRDefault="00480BBF" w:rsidP="00480BBF">
      <w:pPr>
        <w:rPr>
          <w:b/>
          <w:bCs/>
          <w:sz w:val="22"/>
          <w:szCs w:val="22"/>
        </w:rPr>
      </w:pPr>
      <w:r w:rsidRPr="00480BBF">
        <w:rPr>
          <w:b/>
          <w:bCs/>
          <w:sz w:val="22"/>
          <w:szCs w:val="22"/>
        </w:rPr>
        <w:t>Temporal Feature Engineering and Portfolio Time Structure</w:t>
      </w:r>
    </w:p>
    <w:p w14:paraId="1E03285F" w14:textId="77777777" w:rsidR="00480BBF" w:rsidRPr="00480BBF" w:rsidRDefault="00480BBF" w:rsidP="00480BBF">
      <w:pPr>
        <w:rPr>
          <w:sz w:val="22"/>
          <w:szCs w:val="22"/>
        </w:rPr>
      </w:pPr>
      <w:r w:rsidRPr="00480BBF">
        <w:rPr>
          <w:sz w:val="22"/>
          <w:szCs w:val="22"/>
        </w:rPr>
        <w:t>Temporal feature engineering played a central role in preparing the dataset for time-based portfolio analysis. Key date fields, including loan issue dates and earliest recorded credit line dates, were parsed and decomposed into structured year and month components. This decomposition enables flexible temporal aggregation and supports longitudinal analysis of portfolio evolution.</w:t>
      </w:r>
    </w:p>
    <w:p w14:paraId="7A307D14" w14:textId="77777777" w:rsidR="00480BBF" w:rsidRPr="00480BBF" w:rsidRDefault="00480BBF" w:rsidP="00480BBF">
      <w:pPr>
        <w:rPr>
          <w:sz w:val="22"/>
          <w:szCs w:val="22"/>
        </w:rPr>
      </w:pPr>
      <w:r w:rsidRPr="00480BBF">
        <w:rPr>
          <w:sz w:val="22"/>
          <w:szCs w:val="22"/>
        </w:rPr>
        <w:lastRenderedPageBreak/>
        <w:t>The extraction of issue year variables was essential for the operationalization of the Portfolio Growth KPI, as it allows loan amounts to be aggregated at an annual level and compared across successive periods. In addition, a derived feature capturing borrower credit history length in months was constructed as the difference between the loan origination date and the earliest recorded credit line. This feature provides a compact and interpretable measure of borrower credit maturity, which is commonly referenced in credit-risk literature and supervisory assessment practices.</w:t>
      </w:r>
    </w:p>
    <w:p w14:paraId="313B6DCA" w14:textId="77777777" w:rsidR="00480BBF" w:rsidRPr="00480BBF" w:rsidRDefault="00480BBF" w:rsidP="00480BBF">
      <w:pPr>
        <w:rPr>
          <w:b/>
          <w:bCs/>
          <w:sz w:val="22"/>
          <w:szCs w:val="22"/>
        </w:rPr>
      </w:pPr>
      <w:r w:rsidRPr="00480BBF">
        <w:rPr>
          <w:b/>
          <w:bCs/>
          <w:sz w:val="22"/>
          <w:szCs w:val="22"/>
        </w:rPr>
        <w:t>Numerical Transformations and Scale Stabilization</w:t>
      </w:r>
    </w:p>
    <w:p w14:paraId="4FEFAC3C" w14:textId="77777777" w:rsidR="00480BBF" w:rsidRPr="00480BBF" w:rsidRDefault="00480BBF" w:rsidP="00480BBF">
      <w:pPr>
        <w:rPr>
          <w:sz w:val="22"/>
          <w:szCs w:val="22"/>
        </w:rPr>
      </w:pPr>
      <w:r w:rsidRPr="00480BBF">
        <w:rPr>
          <w:sz w:val="22"/>
          <w:szCs w:val="22"/>
        </w:rPr>
        <w:t>Numerical feature transformations were applied to address scale heterogeneity and distributional skewness observed during the exploratory analysis. Several monetary variables, including loan amount, annual income, total payments, and investor-funded amounts, exhibited strong positive skewness, which could bias portfolio-level averages and distort aggregation results. To mitigate this effect, logarithmic transformations were applied to selected variables, stabilizing their distributions and reducing the influence of extreme outliers.</w:t>
      </w:r>
    </w:p>
    <w:p w14:paraId="38AF4912" w14:textId="77777777" w:rsidR="00480BBF" w:rsidRPr="00480BBF" w:rsidRDefault="00480BBF" w:rsidP="00480BBF">
      <w:pPr>
        <w:rPr>
          <w:sz w:val="22"/>
          <w:szCs w:val="22"/>
        </w:rPr>
      </w:pPr>
      <w:r w:rsidRPr="00480BBF">
        <w:rPr>
          <w:sz w:val="22"/>
          <w:szCs w:val="22"/>
        </w:rPr>
        <w:t>These transformations were explicitly motivated by the analytical requirements of KPI computation. For example, the Average Loan Amount KPI benefits from a distribution that is not dominated by a small number of very large exposures. In addition to log transformations, ratio-based features were constructed to capture borrower behavior in relative rather than absolute terms. Ratios such as payment-to-loan and income-to-loan provide normalized measures that enhance comparability across borrowers and loan sizes, improving the interpretability of portfolio-level summaries.</w:t>
      </w:r>
    </w:p>
    <w:p w14:paraId="3793181F" w14:textId="77777777" w:rsidR="00480BBF" w:rsidRPr="00480BBF" w:rsidRDefault="00480BBF" w:rsidP="00480BBF">
      <w:pPr>
        <w:rPr>
          <w:sz w:val="22"/>
          <w:szCs w:val="22"/>
        </w:rPr>
      </w:pPr>
      <w:r w:rsidRPr="00480BBF">
        <w:rPr>
          <w:sz w:val="22"/>
          <w:szCs w:val="22"/>
        </w:rPr>
        <w:t xml:space="preserve">Selected numerical variables were further standardized using z-score normalization </w:t>
      </w:r>
      <w:proofErr w:type="gramStart"/>
      <w:r w:rsidRPr="00480BBF">
        <w:rPr>
          <w:sz w:val="22"/>
          <w:szCs w:val="22"/>
        </w:rPr>
        <w:t>in order to</w:t>
      </w:r>
      <w:proofErr w:type="gramEnd"/>
      <w:r w:rsidRPr="00480BBF">
        <w:rPr>
          <w:sz w:val="22"/>
          <w:szCs w:val="22"/>
        </w:rPr>
        <w:t xml:space="preserve"> ensure comparability across features with different units and scales. This standardization step supports consistent aggregation and downstream analytical operations without altering the underlying economic interpretation of the variables.</w:t>
      </w:r>
    </w:p>
    <w:p w14:paraId="21113C46" w14:textId="77777777" w:rsidR="00480BBF" w:rsidRPr="00480BBF" w:rsidRDefault="00480BBF" w:rsidP="00480BBF">
      <w:pPr>
        <w:rPr>
          <w:b/>
          <w:bCs/>
          <w:sz w:val="22"/>
          <w:szCs w:val="22"/>
        </w:rPr>
      </w:pPr>
      <w:r w:rsidRPr="00480BBF">
        <w:rPr>
          <w:b/>
          <w:bCs/>
          <w:sz w:val="22"/>
          <w:szCs w:val="22"/>
        </w:rPr>
        <w:t>Categorical Feature Handling and Encoding Strategy</w:t>
      </w:r>
    </w:p>
    <w:p w14:paraId="2D420932" w14:textId="77777777" w:rsidR="00480BBF" w:rsidRPr="00480BBF" w:rsidRDefault="00480BBF" w:rsidP="00480BBF">
      <w:pPr>
        <w:rPr>
          <w:sz w:val="22"/>
          <w:szCs w:val="22"/>
        </w:rPr>
      </w:pPr>
      <w:r w:rsidRPr="00480BBF">
        <w:rPr>
          <w:sz w:val="22"/>
          <w:szCs w:val="22"/>
        </w:rPr>
        <w:t>Categorical feature encoding was applied selectively based on both cardinality and analytical purpose. Low-cardinality categorical variables were transformed using one-hot encoding, preserving interpretability while avoiding excessive dimensionality. This approach allows such variables to be included in analytical summaries and aggregations without introducing ambiguity.</w:t>
      </w:r>
    </w:p>
    <w:p w14:paraId="59678CBE" w14:textId="77777777" w:rsidR="00480BBF" w:rsidRPr="00480BBF" w:rsidRDefault="00480BBF" w:rsidP="00480BBF">
      <w:pPr>
        <w:rPr>
          <w:sz w:val="22"/>
          <w:szCs w:val="22"/>
        </w:rPr>
      </w:pPr>
      <w:r w:rsidRPr="00480BBF">
        <w:rPr>
          <w:sz w:val="22"/>
          <w:szCs w:val="22"/>
        </w:rPr>
        <w:t>High-cardinality categorical variables, such as borrower geographic identifiers, were intentionally retained in their original categorical form. Rather than encoding these variables into high-dimensional representations, they were preserved to support grouping, filtering, and aggregation in portfolio-level KPIs. This design choice reflects a deliberate trade-off between dimensional efficiency and analytical usability, prioritizing interpretability and aggregation flexibility over compact numerical representation.</w:t>
      </w:r>
    </w:p>
    <w:p w14:paraId="748F3D19" w14:textId="77777777" w:rsidR="00480BBF" w:rsidRPr="00480BBF" w:rsidRDefault="00480BBF" w:rsidP="00480BBF">
      <w:pPr>
        <w:rPr>
          <w:b/>
          <w:bCs/>
          <w:sz w:val="22"/>
          <w:szCs w:val="22"/>
        </w:rPr>
      </w:pPr>
      <w:r w:rsidRPr="00480BBF">
        <w:rPr>
          <w:b/>
          <w:bCs/>
          <w:sz w:val="22"/>
          <w:szCs w:val="22"/>
        </w:rPr>
        <w:lastRenderedPageBreak/>
        <w:t>Final Feature Selection and Data Quality Validation</w:t>
      </w:r>
    </w:p>
    <w:p w14:paraId="3627CD63" w14:textId="77777777" w:rsidR="00480BBF" w:rsidRPr="00480BBF" w:rsidRDefault="00480BBF" w:rsidP="00480BBF">
      <w:pPr>
        <w:rPr>
          <w:sz w:val="22"/>
          <w:szCs w:val="22"/>
        </w:rPr>
      </w:pPr>
      <w:r w:rsidRPr="00480BBF">
        <w:rPr>
          <w:sz w:val="22"/>
          <w:szCs w:val="22"/>
        </w:rPr>
        <w:t xml:space="preserve">Following the completion of all transformation steps, a final feature selection phase was applied to construct the definitive analytical dataset. The resulting feature set includes loan identifiers, borrower financial attributes, loan contractual characteristics, derived temporal variables, encoded categorical features, and loan performance indicators required for KPI computation. Redundant or analytically irrelevant variables were excluded </w:t>
      </w:r>
      <w:proofErr w:type="gramStart"/>
      <w:r w:rsidRPr="00480BBF">
        <w:rPr>
          <w:sz w:val="22"/>
          <w:szCs w:val="22"/>
        </w:rPr>
        <w:t>in order to</w:t>
      </w:r>
      <w:proofErr w:type="gramEnd"/>
      <w:r w:rsidRPr="00480BBF">
        <w:rPr>
          <w:sz w:val="22"/>
          <w:szCs w:val="22"/>
        </w:rPr>
        <w:t xml:space="preserve"> maintain a compact and coherent schema.</w:t>
      </w:r>
    </w:p>
    <w:p w14:paraId="2FFF189F" w14:textId="77777777" w:rsidR="00480BBF" w:rsidRPr="00480BBF" w:rsidRDefault="00480BBF" w:rsidP="00480BBF">
      <w:pPr>
        <w:rPr>
          <w:sz w:val="22"/>
          <w:szCs w:val="22"/>
        </w:rPr>
      </w:pPr>
      <w:r w:rsidRPr="00480BBF">
        <w:rPr>
          <w:sz w:val="22"/>
          <w:szCs w:val="22"/>
        </w:rPr>
        <w:t>Before exporting the finalized dataset, a final data-quality validation step was performed to ensure the absence of missing values and to verify that all transformed attributes conformed to their intended numerical or categorical formats. This validation step serves as a quality gate, ensuring that only consistent and fully standardized data is propagated to the database layer.</w:t>
      </w:r>
    </w:p>
    <w:p w14:paraId="68605471" w14:textId="77777777" w:rsidR="00480BBF" w:rsidRPr="00480BBF" w:rsidRDefault="00480BBF" w:rsidP="00480BBF">
      <w:pPr>
        <w:rPr>
          <w:sz w:val="22"/>
          <w:szCs w:val="22"/>
        </w:rPr>
      </w:pPr>
      <w:r w:rsidRPr="00480BBF">
        <w:rPr>
          <w:sz w:val="22"/>
          <w:szCs w:val="22"/>
        </w:rPr>
        <w:t>The finalized dataset was exported as a CSV file, representing the authoritative output of the exploratory analysis and feature engineering workflow. All transformations were deliberately executed in Python prior to database loading, enabling flexible development, validation, and refinement before committing the standardized data to relational storage. This processed dataset serves as the single input to the staging schema and forms the foundation for all subsequent aggregation, KPI computation, and API exposure steps in the pipeline.</w:t>
      </w:r>
    </w:p>
    <w:p w14:paraId="5D04AC4D" w14:textId="743A3197" w:rsidR="0087724C" w:rsidRPr="0087724C" w:rsidRDefault="0087724C" w:rsidP="0087724C">
      <w:pPr>
        <w:rPr>
          <w:b/>
          <w:bCs/>
          <w:sz w:val="22"/>
          <w:szCs w:val="22"/>
        </w:rPr>
      </w:pPr>
      <w:r w:rsidRPr="0087724C">
        <w:rPr>
          <w:b/>
          <w:bCs/>
          <w:sz w:val="22"/>
          <w:szCs w:val="22"/>
        </w:rPr>
        <w:t>3.</w:t>
      </w:r>
      <w:r w:rsidR="002E726A" w:rsidRPr="002E726A">
        <w:rPr>
          <w:b/>
          <w:bCs/>
          <w:sz w:val="22"/>
          <w:szCs w:val="22"/>
        </w:rPr>
        <w:t>3</w:t>
      </w:r>
      <w:r w:rsidRPr="0087724C">
        <w:rPr>
          <w:b/>
          <w:bCs/>
          <w:sz w:val="22"/>
          <w:szCs w:val="22"/>
        </w:rPr>
        <w:t>.3 Staging Schema Design and Data Loading Process</w:t>
      </w:r>
      <w:r w:rsidR="00305196">
        <w:rPr>
          <w:b/>
          <w:bCs/>
          <w:sz w:val="22"/>
          <w:szCs w:val="22"/>
        </w:rPr>
        <w:tab/>
      </w:r>
    </w:p>
    <w:p w14:paraId="264B39EF" w14:textId="77777777" w:rsidR="005B387B" w:rsidRDefault="005B387B" w:rsidP="005B387B">
      <w:pPr>
        <w:rPr>
          <w:sz w:val="22"/>
          <w:szCs w:val="22"/>
        </w:rPr>
      </w:pPr>
      <w:r w:rsidRPr="005B387B">
        <w:rPr>
          <w:sz w:val="22"/>
          <w:szCs w:val="22"/>
        </w:rPr>
        <w:t>Following the completion of the exploratory analysis and feature engineering stages, the standardized and KPI-ready dataset was integrated into the database through the staging schema. The staging layer represents the first structured, typed, and analytics-oriented representation of the data within the PostgreSQL environment and acts as a controlled and auditable interface between flexible Python-based transformations and relational analytics.</w:t>
      </w:r>
    </w:p>
    <w:p w14:paraId="50F94AB2" w14:textId="77777777" w:rsidR="005B387B" w:rsidRPr="005B387B" w:rsidRDefault="005B387B" w:rsidP="005B387B">
      <w:pPr>
        <w:rPr>
          <w:b/>
          <w:bCs/>
          <w:sz w:val="22"/>
          <w:szCs w:val="22"/>
        </w:rPr>
      </w:pPr>
      <w:r w:rsidRPr="005B387B">
        <w:rPr>
          <w:b/>
          <w:bCs/>
          <w:sz w:val="22"/>
          <w:szCs w:val="22"/>
        </w:rPr>
        <w:t>Staging Data Ingestion Strategy</w:t>
      </w:r>
    </w:p>
    <w:p w14:paraId="06B36A4E" w14:textId="4B1D8DF1" w:rsidR="005B387B" w:rsidRPr="005B387B" w:rsidRDefault="000103E9" w:rsidP="005B387B">
      <w:pPr>
        <w:rPr>
          <w:sz w:val="22"/>
          <w:szCs w:val="22"/>
        </w:rPr>
      </w:pPr>
      <w:r w:rsidRPr="000103E9">
        <w:rPr>
          <w:sz w:val="22"/>
          <w:szCs w:val="22"/>
        </w:rPr>
        <w:t xml:space="preserve">The ingestion of data into the staging schema was implemented in Python using a dedicated loading script which functions as a strict quality gate. To ensure the integrity of the data promotion, the script performs a comprehensive column sanity check, comparing the input CSV structure against a predefined schema definition, known as STAGING_DTYPES. Any missing mandatory columns trigger an immediate pipeline termination via </w:t>
      </w:r>
      <w:proofErr w:type="gramStart"/>
      <w:r w:rsidRPr="000103E9">
        <w:rPr>
          <w:sz w:val="22"/>
          <w:szCs w:val="22"/>
        </w:rPr>
        <w:t xml:space="preserve">a </w:t>
      </w:r>
      <w:proofErr w:type="spellStart"/>
      <w:r w:rsidRPr="000103E9">
        <w:rPr>
          <w:sz w:val="22"/>
          <w:szCs w:val="22"/>
        </w:rPr>
        <w:t>ValueError</w:t>
      </w:r>
      <w:proofErr w:type="spellEnd"/>
      <w:proofErr w:type="gramEnd"/>
      <w:r w:rsidRPr="000103E9">
        <w:rPr>
          <w:sz w:val="22"/>
          <w:szCs w:val="22"/>
        </w:rPr>
        <w:t>, preventing the propagation of incomplete or corrupted data to downstream analytical layers.</w:t>
      </w:r>
      <w:r w:rsidR="005B387B" w:rsidRPr="005B387B">
        <w:rPr>
          <w:sz w:val="22"/>
          <w:szCs w:val="22"/>
        </w:rPr>
        <w:t xml:space="preserve"> The script reads the processed dataset produced during the feature engineering phase</w:t>
      </w:r>
      <w:r w:rsidR="000F18E4">
        <w:rPr>
          <w:sz w:val="22"/>
          <w:szCs w:val="22"/>
        </w:rPr>
        <w:t xml:space="preserve"> </w:t>
      </w:r>
      <w:r w:rsidR="005B387B" w:rsidRPr="005B387B">
        <w:rPr>
          <w:sz w:val="22"/>
          <w:szCs w:val="22"/>
        </w:rPr>
        <w:t>(loan_portfolio_features.csv) and loads it directly into PostgreSQL as a relational table.</w:t>
      </w:r>
    </w:p>
    <w:p w14:paraId="2C01EB6F" w14:textId="77777777" w:rsidR="005B387B" w:rsidRPr="005B387B" w:rsidRDefault="005B387B" w:rsidP="005B387B">
      <w:pPr>
        <w:rPr>
          <w:sz w:val="22"/>
          <w:szCs w:val="22"/>
        </w:rPr>
      </w:pPr>
      <w:r w:rsidRPr="005B387B">
        <w:rPr>
          <w:sz w:val="22"/>
          <w:szCs w:val="22"/>
        </w:rPr>
        <w:t>The processed CSV file serves as the authoritative output of the EDA and feature engineering workflow and represents a stable, version-controlled snapshot of the dataset. By using this file as the single input to the staging layer, the pipeline ensures that all downstream analytics are based on a consistent and validated feature set.</w:t>
      </w:r>
    </w:p>
    <w:p w14:paraId="42CBB050" w14:textId="77777777" w:rsidR="00932875" w:rsidRDefault="00932875" w:rsidP="005B387B">
      <w:pPr>
        <w:rPr>
          <w:b/>
          <w:bCs/>
          <w:sz w:val="22"/>
          <w:szCs w:val="22"/>
          <w:lang w:val="el-GR"/>
        </w:rPr>
      </w:pPr>
    </w:p>
    <w:p w14:paraId="60B1C489" w14:textId="7BD2030B" w:rsidR="005B387B" w:rsidRPr="005B387B" w:rsidRDefault="005B387B" w:rsidP="005B387B">
      <w:pPr>
        <w:rPr>
          <w:b/>
          <w:bCs/>
          <w:sz w:val="22"/>
          <w:szCs w:val="22"/>
        </w:rPr>
      </w:pPr>
      <w:r w:rsidRPr="005B387B">
        <w:rPr>
          <w:b/>
          <w:bCs/>
          <w:sz w:val="22"/>
          <w:szCs w:val="22"/>
        </w:rPr>
        <w:lastRenderedPageBreak/>
        <w:t>Python-Based Loading Mechanism</w:t>
      </w:r>
    </w:p>
    <w:p w14:paraId="3938108D" w14:textId="30772E94" w:rsidR="005B387B" w:rsidRPr="005B387B" w:rsidRDefault="000055E4" w:rsidP="005B387B">
      <w:pPr>
        <w:rPr>
          <w:sz w:val="22"/>
          <w:szCs w:val="22"/>
        </w:rPr>
      </w:pPr>
      <w:r w:rsidRPr="000055E4">
        <w:rPr>
          <w:sz w:val="22"/>
          <w:szCs w:val="22"/>
        </w:rPr>
        <w:t xml:space="preserve">The staging ingestion process was implemented using the pandas and </w:t>
      </w:r>
      <w:proofErr w:type="spellStart"/>
      <w:r w:rsidRPr="000055E4">
        <w:rPr>
          <w:sz w:val="22"/>
          <w:szCs w:val="22"/>
        </w:rPr>
        <w:t>SQLAlchemy</w:t>
      </w:r>
      <w:proofErr w:type="spellEnd"/>
      <w:r w:rsidRPr="000055E4">
        <w:rPr>
          <w:sz w:val="22"/>
          <w:szCs w:val="22"/>
        </w:rPr>
        <w:t xml:space="preserve"> libraries. Database connectivity is established through the same reusable engine factory (</w:t>
      </w:r>
      <w:proofErr w:type="spellStart"/>
      <w:r w:rsidRPr="000055E4">
        <w:rPr>
          <w:sz w:val="22"/>
          <w:szCs w:val="22"/>
        </w:rPr>
        <w:t>get_engine</w:t>
      </w:r>
      <w:proofErr w:type="spellEnd"/>
      <w:r w:rsidRPr="000055E4">
        <w:rPr>
          <w:sz w:val="22"/>
          <w:szCs w:val="22"/>
        </w:rPr>
        <w:t xml:space="preserve">) used across the pipeline, ensuring consistent connection management and centralized configuration via environment variables. Once the processed CSV file is loaded into a </w:t>
      </w:r>
      <w:proofErr w:type="gramStart"/>
      <w:r w:rsidRPr="000055E4">
        <w:rPr>
          <w:sz w:val="22"/>
          <w:szCs w:val="22"/>
        </w:rPr>
        <w:t xml:space="preserve">pandas </w:t>
      </w:r>
      <w:proofErr w:type="spellStart"/>
      <w:r w:rsidRPr="000055E4">
        <w:rPr>
          <w:sz w:val="22"/>
          <w:szCs w:val="22"/>
        </w:rPr>
        <w:t>DataFrame</w:t>
      </w:r>
      <w:proofErr w:type="spellEnd"/>
      <w:proofErr w:type="gramEnd"/>
      <w:r w:rsidRPr="000055E4">
        <w:rPr>
          <w:sz w:val="22"/>
          <w:szCs w:val="22"/>
        </w:rPr>
        <w:t xml:space="preserve">, the dataset is written to PostgreSQL using the </w:t>
      </w:r>
      <w:proofErr w:type="spellStart"/>
      <w:r w:rsidRPr="000055E4">
        <w:rPr>
          <w:sz w:val="22"/>
          <w:szCs w:val="22"/>
        </w:rPr>
        <w:t>to_sql</w:t>
      </w:r>
      <w:proofErr w:type="spellEnd"/>
      <w:r w:rsidRPr="000055E4">
        <w:rPr>
          <w:sz w:val="22"/>
          <w:szCs w:val="22"/>
        </w:rPr>
        <w:t xml:space="preserve"> method with enforced SQL data types to maintain strict schema consistency.</w:t>
      </w:r>
      <w:r w:rsidR="00C5239A">
        <w:rPr>
          <w:sz w:val="22"/>
          <w:szCs w:val="22"/>
        </w:rPr>
        <w:t xml:space="preserve"> </w:t>
      </w:r>
      <w:r w:rsidR="00C5239A" w:rsidRPr="00C5239A">
        <w:rPr>
          <w:sz w:val="22"/>
          <w:szCs w:val="22"/>
        </w:rPr>
        <w:t>To guarantee determinism and eliminate the risk of schema drift or partial updates, the staging table is fully replaced on every execution of the loading script (</w:t>
      </w:r>
      <w:proofErr w:type="spellStart"/>
      <w:r w:rsidR="00C5239A" w:rsidRPr="00C5239A">
        <w:rPr>
          <w:sz w:val="22"/>
          <w:szCs w:val="22"/>
        </w:rPr>
        <w:t>if_exists</w:t>
      </w:r>
      <w:proofErr w:type="spellEnd"/>
      <w:r w:rsidR="00C5239A" w:rsidRPr="00C5239A">
        <w:rPr>
          <w:sz w:val="22"/>
          <w:szCs w:val="22"/>
        </w:rPr>
        <w:t>="replace"). Furthermore, to optimize performance for high-volume data, the loading process utilizes batch insertion (chunking), ensuring memory efficiency and stability within the containerized execution environment. Indexes are intentionally omitted at this stage, as the staging layer is optimized for controlled transformations and validation rather than high-performance querying.</w:t>
      </w:r>
      <w:r w:rsidR="007E284B">
        <w:rPr>
          <w:sz w:val="22"/>
          <w:szCs w:val="22"/>
        </w:rPr>
        <w:t xml:space="preserve"> </w:t>
      </w:r>
      <w:r w:rsidR="005B387B" w:rsidRPr="005B387B">
        <w:rPr>
          <w:sz w:val="22"/>
          <w:szCs w:val="22"/>
        </w:rPr>
        <w:t>Indexing and performance optimization are deferred to the analytics layer, where access patterns and consumption requirements are fully defined.</w:t>
      </w:r>
    </w:p>
    <w:p w14:paraId="36DFC525" w14:textId="77777777" w:rsidR="005B387B" w:rsidRPr="005B387B" w:rsidRDefault="005B387B" w:rsidP="005B387B">
      <w:pPr>
        <w:rPr>
          <w:b/>
          <w:bCs/>
          <w:sz w:val="22"/>
          <w:szCs w:val="22"/>
        </w:rPr>
      </w:pPr>
      <w:r w:rsidRPr="005B387B">
        <w:rPr>
          <w:b/>
          <w:bCs/>
          <w:sz w:val="22"/>
          <w:szCs w:val="22"/>
        </w:rPr>
        <w:t>Role of the Staging Layer in the Pipeline</w:t>
      </w:r>
    </w:p>
    <w:p w14:paraId="419AE0B4" w14:textId="77777777" w:rsidR="005B387B" w:rsidRPr="005B387B" w:rsidRDefault="005B387B" w:rsidP="005B387B">
      <w:pPr>
        <w:rPr>
          <w:sz w:val="22"/>
          <w:szCs w:val="22"/>
        </w:rPr>
      </w:pPr>
      <w:r w:rsidRPr="005B387B">
        <w:rPr>
          <w:sz w:val="22"/>
          <w:szCs w:val="22"/>
        </w:rPr>
        <w:t>The staging schema functions as a contractual boundary between Python-based data preparation and SQL-based analytical computation. All tables in the staging layer adhere to a well-defined structure, contain typed and semantically meaningful fields, and are suitable for direct use in KPI calculations.</w:t>
      </w:r>
    </w:p>
    <w:p w14:paraId="6DAB1F12" w14:textId="77777777" w:rsidR="005B387B" w:rsidRPr="00E724C3" w:rsidRDefault="005B387B" w:rsidP="005B387B">
      <w:pPr>
        <w:rPr>
          <w:sz w:val="22"/>
          <w:szCs w:val="22"/>
        </w:rPr>
      </w:pPr>
      <w:r w:rsidRPr="005B387B">
        <w:rPr>
          <w:sz w:val="22"/>
          <w:szCs w:val="22"/>
        </w:rPr>
        <w:t xml:space="preserve">By isolating feature engineering outside the database and loading only finalized datasets into staging, the pipeline achieves a clear separation of responsibilities. Python is used for exploratory analysis, complex transformations, and feature construction, while PostgreSQL is used for structured storage, aggregation, validation, and KPI exposure. The resulting </w:t>
      </w:r>
      <w:proofErr w:type="spellStart"/>
      <w:proofErr w:type="gramStart"/>
      <w:r w:rsidRPr="005B387B">
        <w:rPr>
          <w:sz w:val="22"/>
          <w:szCs w:val="22"/>
        </w:rPr>
        <w:t>staging.loan</w:t>
      </w:r>
      <w:proofErr w:type="gramEnd"/>
      <w:r w:rsidRPr="005B387B">
        <w:rPr>
          <w:sz w:val="22"/>
          <w:szCs w:val="22"/>
        </w:rPr>
        <w:t>_portfolio_features</w:t>
      </w:r>
      <w:proofErr w:type="spellEnd"/>
      <w:r w:rsidRPr="005B387B">
        <w:rPr>
          <w:sz w:val="22"/>
          <w:szCs w:val="22"/>
        </w:rPr>
        <w:t xml:space="preserve"> table serves as the single source of truth for downstream analytical operations. This design establishes the staging layer as a stable and contractually defined interface upon which the analytics schema and all subsequent KPI computations and API exposure are built, ensuring reproducibility, auditability, and analytical consistency.</w:t>
      </w:r>
    </w:p>
    <w:p w14:paraId="4070357B" w14:textId="149201B2" w:rsidR="000474BD" w:rsidRPr="009112FC" w:rsidRDefault="000474BD" w:rsidP="005B387B">
      <w:pPr>
        <w:rPr>
          <w:sz w:val="22"/>
          <w:szCs w:val="22"/>
        </w:rPr>
      </w:pPr>
      <w:r w:rsidRPr="000474BD">
        <w:rPr>
          <w:sz w:val="22"/>
          <w:szCs w:val="22"/>
        </w:rPr>
        <w:t>To bridge the gap between flat-file storage and relational database requirements, an intermediate data-typing stage was implemented via the make_typed_kpi_csv.py script. This process acts as a final pre-processing layer that enforces strict semantic types on the feature-engineered dataset. Specifically, it standardizes temporal fields into ISO-compliant timestamps and ensures that numerical attributes are cast into appropriate formats (e.g., nullable Int64 for discrete variables and float for continuous metrics). This explicit typing step ensures that the subsequent database ingestion is deterministic and that all analytical fields are correctly interpreted by the PostgreSQL engine during KPI computation</w:t>
      </w:r>
      <w:r w:rsidR="009112FC" w:rsidRPr="009112FC">
        <w:rPr>
          <w:sz w:val="22"/>
          <w:szCs w:val="22"/>
        </w:rPr>
        <w:t>.</w:t>
      </w:r>
    </w:p>
    <w:p w14:paraId="6599390A" w14:textId="7C070EAC" w:rsidR="00313FC2" w:rsidRPr="000474BD" w:rsidRDefault="00CE3980" w:rsidP="00CE3980">
      <w:pPr>
        <w:rPr>
          <w:b/>
          <w:bCs/>
          <w:sz w:val="22"/>
          <w:szCs w:val="22"/>
        </w:rPr>
      </w:pPr>
      <w:r w:rsidRPr="00CE3980">
        <w:rPr>
          <w:b/>
          <w:bCs/>
          <w:sz w:val="22"/>
          <w:szCs w:val="22"/>
        </w:rPr>
        <w:t>3.3.4 Analytics Schema Design, Data Promotion and KPI Computation</w:t>
      </w:r>
    </w:p>
    <w:p w14:paraId="00712914" w14:textId="03BF922F" w:rsidR="008068ED" w:rsidRPr="008068ED" w:rsidRDefault="008068ED" w:rsidP="008068ED">
      <w:pPr>
        <w:rPr>
          <w:sz w:val="22"/>
          <w:szCs w:val="22"/>
        </w:rPr>
      </w:pPr>
      <w:r w:rsidRPr="008068ED">
        <w:rPr>
          <w:sz w:val="22"/>
          <w:szCs w:val="22"/>
        </w:rPr>
        <w:t xml:space="preserve">Within the analytics schema, the </w:t>
      </w:r>
      <w:proofErr w:type="spellStart"/>
      <w:r w:rsidRPr="008068ED">
        <w:rPr>
          <w:sz w:val="22"/>
          <w:szCs w:val="22"/>
        </w:rPr>
        <w:t>loan_portfolio_features</w:t>
      </w:r>
      <w:proofErr w:type="spellEnd"/>
      <w:r w:rsidRPr="008068ED">
        <w:rPr>
          <w:sz w:val="22"/>
          <w:szCs w:val="22"/>
        </w:rPr>
        <w:t xml:space="preserve"> table constitutes the authoritative analytical dataset of the pipeline. This table represents the fully validated and semantically </w:t>
      </w:r>
      <w:r w:rsidRPr="008068ED">
        <w:rPr>
          <w:sz w:val="22"/>
          <w:szCs w:val="22"/>
        </w:rPr>
        <w:lastRenderedPageBreak/>
        <w:t>consistent loan-level representation upon which portfolio-level indicators are computed. Upstream data-quality control</w:t>
      </w:r>
      <w:r w:rsidR="00022A7F">
        <w:rPr>
          <w:sz w:val="22"/>
          <w:szCs w:val="22"/>
        </w:rPr>
        <w:t>s</w:t>
      </w:r>
      <w:r w:rsidRPr="008068ED">
        <w:rPr>
          <w:sz w:val="22"/>
          <w:szCs w:val="22"/>
        </w:rPr>
        <w:t>, feature transformations, and standardization steps converge at this stage, ensuring that all downstream analytics operate on a governed and reproducible foundation.</w:t>
      </w:r>
    </w:p>
    <w:p w14:paraId="10419C2A" w14:textId="77777777" w:rsidR="008068ED" w:rsidRPr="008068ED" w:rsidRDefault="008068ED" w:rsidP="008068ED">
      <w:pPr>
        <w:rPr>
          <w:sz w:val="22"/>
          <w:szCs w:val="22"/>
        </w:rPr>
      </w:pPr>
      <w:r w:rsidRPr="008068ED">
        <w:rPr>
          <w:sz w:val="22"/>
          <w:szCs w:val="22"/>
        </w:rPr>
        <w:t xml:space="preserve">In the current implementation, KPI computation is performed primarily through query-based aggregations executed directly on </w:t>
      </w:r>
      <w:proofErr w:type="spellStart"/>
      <w:proofErr w:type="gramStart"/>
      <w:r w:rsidRPr="008068ED">
        <w:rPr>
          <w:sz w:val="22"/>
          <w:szCs w:val="22"/>
        </w:rPr>
        <w:t>analytics.loan</w:t>
      </w:r>
      <w:proofErr w:type="gramEnd"/>
      <w:r w:rsidRPr="008068ED">
        <w:rPr>
          <w:sz w:val="22"/>
          <w:szCs w:val="22"/>
        </w:rPr>
        <w:t>_portfolio_features</w:t>
      </w:r>
      <w:proofErr w:type="spellEnd"/>
      <w:r w:rsidRPr="008068ED">
        <w:rPr>
          <w:sz w:val="22"/>
          <w:szCs w:val="22"/>
        </w:rPr>
        <w:t xml:space="preserve">. Rather than persisting KPI results as separate “summary” tables as part of the automated workflow, the methodology follows a single-source-of-truth approach: the analytics feature table </w:t>
      </w:r>
      <w:proofErr w:type="gramStart"/>
      <w:r w:rsidRPr="008068ED">
        <w:rPr>
          <w:sz w:val="22"/>
          <w:szCs w:val="22"/>
        </w:rPr>
        <w:t>is materialized</w:t>
      </w:r>
      <w:proofErr w:type="gramEnd"/>
      <w:r w:rsidRPr="008068ED">
        <w:rPr>
          <w:sz w:val="22"/>
          <w:szCs w:val="22"/>
        </w:rPr>
        <w:t>, and portfolio KPIs are derived dynamically using explicit aggregation logic. This design ensures that KPI results always reflect the latest validated analytical state produced by the pipeline execution.</w:t>
      </w:r>
    </w:p>
    <w:p w14:paraId="5D586A1A" w14:textId="4173DB38" w:rsidR="008068ED" w:rsidRPr="008068ED" w:rsidRDefault="008068ED" w:rsidP="008068ED">
      <w:pPr>
        <w:rPr>
          <w:sz w:val="22"/>
          <w:szCs w:val="22"/>
        </w:rPr>
      </w:pPr>
      <w:r w:rsidRPr="008068ED">
        <w:rPr>
          <w:sz w:val="22"/>
          <w:szCs w:val="22"/>
        </w:rPr>
        <w:t>The KPI definitions applied in this thesis are consistent across runs and are implemented transparently as SQL aggregation logic (e.g., default-rate calculation based on a supervisory-aligned default proxy, portfolio growth using time-based aggregation and window functions, and grade-based distribution using standardized credit-grade fields). Because the KPI logic is expressed explicitly and executed against a stable, contractually defined analytics table, the approach remains reproducible and audit-ready without requiring the additional persistence of intermediate KPI summary tables within the orchestration flow.</w:t>
      </w:r>
      <w:r w:rsidRPr="008068ED">
        <w:rPr>
          <w:sz w:val="22"/>
          <w:szCs w:val="22"/>
        </w:rPr>
        <w:t xml:space="preserve"> </w:t>
      </w:r>
      <w:r w:rsidRPr="008068ED">
        <w:rPr>
          <w:sz w:val="22"/>
          <w:szCs w:val="22"/>
        </w:rPr>
        <w:t>For reporting convenience, KPI outputs may additionally be exported or materialized ad hoc (e.g., during exploratory reporting) outside the orchestrated pipeline; however, such materialization is not part of the core automated execution path.</w:t>
      </w:r>
    </w:p>
    <w:p w14:paraId="3CF7482F" w14:textId="74952637" w:rsidR="00A36ADF" w:rsidRPr="00A36ADF" w:rsidRDefault="00A36ADF" w:rsidP="00A36ADF">
      <w:pPr>
        <w:rPr>
          <w:b/>
          <w:bCs/>
          <w:sz w:val="22"/>
          <w:szCs w:val="22"/>
        </w:rPr>
      </w:pPr>
      <w:r w:rsidRPr="00A36ADF">
        <w:rPr>
          <w:b/>
          <w:bCs/>
          <w:sz w:val="22"/>
          <w:szCs w:val="22"/>
        </w:rPr>
        <w:t>3.3.5 API Layer Design and KPI Exposure</w:t>
      </w:r>
    </w:p>
    <w:p w14:paraId="5D100ADF" w14:textId="77777777" w:rsidR="00B64B43" w:rsidRPr="00B64B43" w:rsidRDefault="00B64B43" w:rsidP="00B64B43">
      <w:pPr>
        <w:rPr>
          <w:sz w:val="22"/>
          <w:szCs w:val="22"/>
        </w:rPr>
      </w:pPr>
      <w:r w:rsidRPr="00B64B43">
        <w:rPr>
          <w:sz w:val="22"/>
          <w:szCs w:val="22"/>
        </w:rPr>
        <w:t>The final layer of the implemented pipeline concerns the exposure of portfolio-level KPIs through a dedicated application programming interface (API), transforming the analytics schema from a passive analytical repository into an active, service-oriented component. This layer operationalizes the analytical outputs of the pipeline and enables their direct consumption by downstream applications, reporting tools, and analytical users, thereby completing the transition from data storage to actionable insights.</w:t>
      </w:r>
    </w:p>
    <w:p w14:paraId="4B7DE919" w14:textId="77777777" w:rsidR="00B64B43" w:rsidRPr="00B64B43" w:rsidRDefault="00B64B43" w:rsidP="00B64B43">
      <w:pPr>
        <w:rPr>
          <w:sz w:val="22"/>
          <w:szCs w:val="22"/>
        </w:rPr>
      </w:pPr>
      <w:r w:rsidRPr="00B64B43">
        <w:rPr>
          <w:sz w:val="22"/>
          <w:szCs w:val="22"/>
        </w:rPr>
        <w:t xml:space="preserve">The design of the API layer follows a dynamic KPI computation architecture built upon a single authoritative analytical dataset. The </w:t>
      </w:r>
      <w:proofErr w:type="spellStart"/>
      <w:proofErr w:type="gramStart"/>
      <w:r w:rsidRPr="00B64B43">
        <w:rPr>
          <w:sz w:val="22"/>
          <w:szCs w:val="22"/>
        </w:rPr>
        <w:t>analytics.loan</w:t>
      </w:r>
      <w:proofErr w:type="gramEnd"/>
      <w:r w:rsidRPr="00B64B43">
        <w:rPr>
          <w:sz w:val="22"/>
          <w:szCs w:val="22"/>
        </w:rPr>
        <w:t>_portfolio_features</w:t>
      </w:r>
      <w:proofErr w:type="spellEnd"/>
      <w:r w:rsidRPr="00B64B43">
        <w:rPr>
          <w:sz w:val="22"/>
          <w:szCs w:val="22"/>
        </w:rPr>
        <w:t xml:space="preserve"> table constitutes the validated and contractually defined analytics layer of the pipeline and serves as the exclusive source for all portfolio-level KPI computations. Rather than persisting precomputed KPI summary tables as part of the automated workflow, the methodology adopts a single-source-of-truth approach, whereby KPIs are derived on demand through explicit aggregation logic executed directly against the analytics feature table.</w:t>
      </w:r>
    </w:p>
    <w:p w14:paraId="386446FD" w14:textId="77777777" w:rsidR="00B64B43" w:rsidRPr="00B64B43" w:rsidRDefault="00B64B43" w:rsidP="00B64B43">
      <w:pPr>
        <w:rPr>
          <w:sz w:val="22"/>
          <w:szCs w:val="22"/>
        </w:rPr>
      </w:pPr>
      <w:r w:rsidRPr="00B64B43">
        <w:rPr>
          <w:sz w:val="22"/>
          <w:szCs w:val="22"/>
        </w:rPr>
        <w:t xml:space="preserve">This design ensures that all exposed KPIs consistently reflect the most recent validated state of the analytics dataset produced by the pipeline execution. By avoiding redundant materialization of KPI tables within the orchestration layer, the approach minimizes data duplication, reduces </w:t>
      </w:r>
      <w:r w:rsidRPr="00B64B43">
        <w:rPr>
          <w:sz w:val="22"/>
          <w:szCs w:val="22"/>
        </w:rPr>
        <w:lastRenderedPageBreak/>
        <w:t>maintenance complexity, and preserves transparency between analytical definitions and their underlying data sources.</w:t>
      </w:r>
    </w:p>
    <w:p w14:paraId="7A0428C1" w14:textId="77777777" w:rsidR="00B64B43" w:rsidRPr="00B64B43" w:rsidRDefault="00B64B43" w:rsidP="00B64B43">
      <w:pPr>
        <w:rPr>
          <w:sz w:val="22"/>
          <w:szCs w:val="22"/>
        </w:rPr>
      </w:pPr>
      <w:r w:rsidRPr="00B64B43">
        <w:rPr>
          <w:sz w:val="22"/>
          <w:szCs w:val="22"/>
        </w:rPr>
        <w:t xml:space="preserve">In parallel, </w:t>
      </w:r>
      <w:proofErr w:type="gramStart"/>
      <w:r w:rsidRPr="00B64B43">
        <w:rPr>
          <w:sz w:val="22"/>
          <w:szCs w:val="22"/>
        </w:rPr>
        <w:t>the architecture</w:t>
      </w:r>
      <w:proofErr w:type="gramEnd"/>
      <w:r w:rsidRPr="00B64B43">
        <w:rPr>
          <w:sz w:val="22"/>
          <w:szCs w:val="22"/>
        </w:rPr>
        <w:t xml:space="preserve"> supports optional ad-hoc KPI materialization outside the orchestrated pipeline, for example during exploratory analysis or reporting workflows. Such materialization may be performed for presentation or documentation purposes but does not constitute part of the automated end-to-end pipeline execution. All operational KPI exposure remains query-based and governed through the analytics schema.</w:t>
      </w:r>
    </w:p>
    <w:p w14:paraId="0C9C73F2" w14:textId="77777777" w:rsidR="00B64B43" w:rsidRPr="00B64B43" w:rsidRDefault="00B64B43" w:rsidP="00B64B43">
      <w:pPr>
        <w:rPr>
          <w:sz w:val="22"/>
          <w:szCs w:val="22"/>
        </w:rPr>
      </w:pPr>
      <w:r w:rsidRPr="00B64B43">
        <w:rPr>
          <w:sz w:val="22"/>
          <w:szCs w:val="22"/>
        </w:rPr>
        <w:t xml:space="preserve">The API is implemented using </w:t>
      </w:r>
      <w:proofErr w:type="spellStart"/>
      <w:r w:rsidRPr="00B64B43">
        <w:rPr>
          <w:sz w:val="22"/>
          <w:szCs w:val="22"/>
        </w:rPr>
        <w:t>FastAPI</w:t>
      </w:r>
      <w:proofErr w:type="spellEnd"/>
      <w:r w:rsidRPr="00B64B43">
        <w:rPr>
          <w:sz w:val="22"/>
          <w:szCs w:val="22"/>
        </w:rPr>
        <w:t xml:space="preserve"> and follows a modular routing structure in which KPI-specific endpoints encapsulate the required aggregation logic and database interactions. This modular design enhances maintainability and extensibility, allowing new KPIs or analytical endpoints to be introduced without modifying existing services. Database connectivity is managed through </w:t>
      </w:r>
      <w:proofErr w:type="spellStart"/>
      <w:r w:rsidRPr="00B64B43">
        <w:rPr>
          <w:sz w:val="22"/>
          <w:szCs w:val="22"/>
        </w:rPr>
        <w:t>SQLAlchemy</w:t>
      </w:r>
      <w:proofErr w:type="spellEnd"/>
      <w:r w:rsidRPr="00B64B43">
        <w:rPr>
          <w:sz w:val="22"/>
          <w:szCs w:val="22"/>
        </w:rPr>
        <w:t xml:space="preserve"> sessions using a dependency-injection pattern, ensuring proper lifecycle management, controlled resource usage, and transaction safety across API requests.</w:t>
      </w:r>
    </w:p>
    <w:p w14:paraId="6918B9E4" w14:textId="77777777" w:rsidR="00B64B43" w:rsidRPr="00B64B43" w:rsidRDefault="00B64B43" w:rsidP="00B64B43">
      <w:pPr>
        <w:rPr>
          <w:sz w:val="22"/>
          <w:szCs w:val="22"/>
        </w:rPr>
      </w:pPr>
      <w:r w:rsidRPr="00B64B43">
        <w:rPr>
          <w:sz w:val="22"/>
          <w:szCs w:val="22"/>
        </w:rPr>
        <w:t>Analytical logic within the API layer is expressed explicitly through parameterized raw SQL queries. This design choice enables full utilization of PostgreSQL’s analytical capabilities, including aggregation functions and window functions for time-based metrics such as Portfolio Growth. By avoiding opaque abstraction layers, the API maintains transparency between analytical definitions and their implementation, facilitating validation, troubleshooting, and future extension of KPI logic.</w:t>
      </w:r>
    </w:p>
    <w:p w14:paraId="74A05BC2" w14:textId="77777777" w:rsidR="00B64B43" w:rsidRPr="00B64B43" w:rsidRDefault="00B64B43" w:rsidP="00B64B43">
      <w:pPr>
        <w:rPr>
          <w:sz w:val="22"/>
          <w:szCs w:val="22"/>
        </w:rPr>
      </w:pPr>
      <w:r w:rsidRPr="00B64B43">
        <w:rPr>
          <w:sz w:val="22"/>
          <w:szCs w:val="22"/>
        </w:rPr>
        <w:t xml:space="preserve">All API responses are returned in structured JSON format to ensure interoperability with downstream visualization, reporting, and integration tools. </w:t>
      </w:r>
      <w:proofErr w:type="spellStart"/>
      <w:r w:rsidRPr="00B64B43">
        <w:rPr>
          <w:sz w:val="22"/>
          <w:szCs w:val="22"/>
        </w:rPr>
        <w:t>FastAPI’s</w:t>
      </w:r>
      <w:proofErr w:type="spellEnd"/>
      <w:r w:rsidRPr="00B64B43">
        <w:rPr>
          <w:sz w:val="22"/>
          <w:szCs w:val="22"/>
        </w:rPr>
        <w:t xml:space="preserve"> automatic </w:t>
      </w:r>
      <w:proofErr w:type="spellStart"/>
      <w:r w:rsidRPr="00B64B43">
        <w:rPr>
          <w:sz w:val="22"/>
          <w:szCs w:val="22"/>
        </w:rPr>
        <w:t>OpenAPI</w:t>
      </w:r>
      <w:proofErr w:type="spellEnd"/>
      <w:r w:rsidRPr="00B64B43">
        <w:rPr>
          <w:sz w:val="22"/>
          <w:szCs w:val="22"/>
        </w:rPr>
        <w:t xml:space="preserve"> schema generation further enhances transparency by providing machine-readable documentation of available endpoints, parameters, and response structures. This feature supports both manual exploration and automated integration of the exposed services, reinforcing the role of the API as a formal analytical interface rather than an ad-hoc access mechanism.</w:t>
      </w:r>
    </w:p>
    <w:p w14:paraId="46ED0BF3" w14:textId="5E2F0F23" w:rsidR="00B64B43" w:rsidRPr="00B64B43" w:rsidRDefault="00B64B43" w:rsidP="00B64B43">
      <w:pPr>
        <w:rPr>
          <w:sz w:val="22"/>
          <w:szCs w:val="22"/>
        </w:rPr>
      </w:pPr>
      <w:r w:rsidRPr="00B64B43">
        <w:rPr>
          <w:sz w:val="22"/>
          <w:szCs w:val="22"/>
        </w:rPr>
        <w:t xml:space="preserve">Overall, the API layer operationalizes portfolio-level analytics through dynamic, governed KPI computation, ensuring that analytical consumption remains fully aligned with the validated analytics schema and the automated data pipeline. This approach balances analytical flexibility with governance and reproducibility </w:t>
      </w:r>
      <w:r w:rsidR="00BF107F" w:rsidRPr="00B64B43">
        <w:rPr>
          <w:sz w:val="22"/>
          <w:szCs w:val="22"/>
        </w:rPr>
        <w:t>requirements and</w:t>
      </w:r>
      <w:r w:rsidRPr="00B64B43">
        <w:rPr>
          <w:sz w:val="22"/>
          <w:szCs w:val="22"/>
        </w:rPr>
        <w:t xml:space="preserve"> represents the final step in delivering reliable portfolio insights to external consumers.</w:t>
      </w:r>
    </w:p>
    <w:p w14:paraId="24039610" w14:textId="77777777" w:rsidR="00D200BE" w:rsidRPr="00D200BE" w:rsidRDefault="00D200BE" w:rsidP="00D200BE">
      <w:pPr>
        <w:rPr>
          <w:b/>
          <w:bCs/>
          <w:sz w:val="22"/>
          <w:szCs w:val="22"/>
        </w:rPr>
      </w:pPr>
      <w:r w:rsidRPr="00D200BE">
        <w:rPr>
          <w:b/>
          <w:bCs/>
          <w:sz w:val="22"/>
          <w:szCs w:val="22"/>
        </w:rPr>
        <w:t>3.3.6 Workflow Orchestration with Apache Airflow</w:t>
      </w:r>
    </w:p>
    <w:p w14:paraId="4934D0F6" w14:textId="77777777" w:rsidR="00C8605D" w:rsidRPr="00C8605D" w:rsidRDefault="00C8605D" w:rsidP="00C8605D">
      <w:pPr>
        <w:rPr>
          <w:sz w:val="22"/>
          <w:szCs w:val="22"/>
        </w:rPr>
      </w:pPr>
      <w:r w:rsidRPr="00C8605D">
        <w:rPr>
          <w:sz w:val="22"/>
          <w:szCs w:val="22"/>
        </w:rPr>
        <w:t>The transition from manual execution to an automated, resilient data pipeline is achieved through the integration of Apache Airflow, which functions as the central orchestration layer of the proposed architecture. Airflow enables the formalization of the end-to-end data workflow as a Directed Acyclic Graph (DAG), ensuring that all pipeline stages are executed in a controlled, observable, and repeatable manner. This orchestration layer is critical for transforming a sequence of independent data-processing scripts into a cohesive and production-oriented analytical system.</w:t>
      </w:r>
    </w:p>
    <w:p w14:paraId="0A413E4B" w14:textId="77777777" w:rsidR="00C8605D" w:rsidRPr="00C8605D" w:rsidRDefault="00C8605D" w:rsidP="00C8605D">
      <w:pPr>
        <w:rPr>
          <w:sz w:val="22"/>
          <w:szCs w:val="22"/>
        </w:rPr>
      </w:pPr>
      <w:r w:rsidRPr="00C8605D">
        <w:rPr>
          <w:sz w:val="22"/>
          <w:szCs w:val="22"/>
        </w:rPr>
        <w:lastRenderedPageBreak/>
        <w:t xml:space="preserve">The pipeline is operationalized through a DAG named </w:t>
      </w:r>
      <w:proofErr w:type="spellStart"/>
      <w:r w:rsidRPr="00C8605D">
        <w:rPr>
          <w:i/>
          <w:iCs/>
          <w:sz w:val="22"/>
          <w:szCs w:val="22"/>
        </w:rPr>
        <w:t>loan_portfolio_pipeline</w:t>
      </w:r>
      <w:proofErr w:type="spellEnd"/>
      <w:r w:rsidRPr="00C8605D">
        <w:rPr>
          <w:sz w:val="22"/>
          <w:szCs w:val="22"/>
        </w:rPr>
        <w:t>, which defines strict execution dependencies across the full data lifecycle. The workflow follows a deterministic sequence that begins with raw data ingestion, continues through feature engineering and semantic data typing, and concludes with the loading of the staging and analytics layers. By explicitly encoding task dependencies, the DAG ensures that data promotion occurs only after all upstream transformations, validations, and quality checks have been successfully completed. This design prevents partial or inconsistent pipeline execution and enforces a clear separation between data preparation, analytical computation, and exposure.</w:t>
      </w:r>
    </w:p>
    <w:p w14:paraId="03FF7D52" w14:textId="77777777" w:rsidR="00C8605D" w:rsidRPr="00C8605D" w:rsidRDefault="00C8605D" w:rsidP="00C8605D">
      <w:pPr>
        <w:rPr>
          <w:sz w:val="22"/>
          <w:szCs w:val="22"/>
        </w:rPr>
      </w:pPr>
      <w:r w:rsidRPr="00C8605D">
        <w:rPr>
          <w:sz w:val="22"/>
          <w:szCs w:val="22"/>
        </w:rPr>
        <w:t>A defining characteristic of the orchestration framework is its emphasis on determinism and reproducibility. Each task within the DAG is designed to be idempotent, meaning that repeated executions under identical inputs produce consistent outputs. This property is essential for analytical reliability, as it allows pipeline results to be reproduced across executions and environments. Furthermore, Airflow provides built-in observability mechanisms, including task-level logging, execution timestamps, and status tracking, which collectively enable full transparency over pipeline behavior and facilitate debugging and audit processes.</w:t>
      </w:r>
    </w:p>
    <w:p w14:paraId="7B775D7F" w14:textId="77777777" w:rsidR="00C8605D" w:rsidRPr="00C8605D" w:rsidRDefault="00C8605D" w:rsidP="00C8605D">
      <w:pPr>
        <w:rPr>
          <w:sz w:val="22"/>
          <w:szCs w:val="22"/>
        </w:rPr>
      </w:pPr>
      <w:r w:rsidRPr="00C8605D">
        <w:rPr>
          <w:sz w:val="22"/>
          <w:szCs w:val="22"/>
        </w:rPr>
        <w:t>In addition to execution control, the orchestration layer enhances pipeline resilience through automated retry mechanisms and failure handling. Transient errors, such as temporary database connectivity issues or resource contention, can be retried without manual intervention, reducing operational fragility. This capability is particularly important in data-engineering pipelines where large-scale ingestion and transformation processes may be sensitive to infrastructure variability.</w:t>
      </w:r>
    </w:p>
    <w:p w14:paraId="2D4ABF82" w14:textId="77777777" w:rsidR="00C8605D" w:rsidRPr="00C8605D" w:rsidRDefault="00C8605D" w:rsidP="00C8605D">
      <w:pPr>
        <w:rPr>
          <w:sz w:val="22"/>
          <w:szCs w:val="22"/>
        </w:rPr>
      </w:pPr>
      <w:r w:rsidRPr="00C8605D">
        <w:rPr>
          <w:sz w:val="22"/>
          <w:szCs w:val="22"/>
        </w:rPr>
        <w:t xml:space="preserve">To ensure environment consistency and dependency isolation, the entire orchestration framework is deployed within a containerized infrastructure using Docker. The docker-compose configuration defines a multi-service architecture that includes a dedicated PostgreSQL instance for loan data storage, a separate metadata database for Airflow, the Airflow engine itself, and the </w:t>
      </w:r>
      <w:proofErr w:type="spellStart"/>
      <w:r w:rsidRPr="00C8605D">
        <w:rPr>
          <w:sz w:val="22"/>
          <w:szCs w:val="22"/>
        </w:rPr>
        <w:t>FastAPI</w:t>
      </w:r>
      <w:proofErr w:type="spellEnd"/>
      <w:r w:rsidRPr="00C8605D">
        <w:rPr>
          <w:sz w:val="22"/>
          <w:szCs w:val="22"/>
        </w:rPr>
        <w:t xml:space="preserve"> application responsible for KPI exposure. This separation of concerns prevents dependency conflicts and ensures that each component operates within a well-defined and isolated runtime context.</w:t>
      </w:r>
    </w:p>
    <w:p w14:paraId="27A1A722" w14:textId="77777777" w:rsidR="00C8605D" w:rsidRPr="00C8605D" w:rsidRDefault="00C8605D" w:rsidP="00C8605D">
      <w:pPr>
        <w:rPr>
          <w:sz w:val="22"/>
          <w:szCs w:val="22"/>
        </w:rPr>
      </w:pPr>
      <w:r w:rsidRPr="00C8605D">
        <w:rPr>
          <w:sz w:val="22"/>
          <w:szCs w:val="22"/>
        </w:rPr>
        <w:t>Container-to-container communication is managed through a dedicated bridge network, enabling services to interact via stable service names rather than environment-specific host configurations. Sensitive configuration details, including database credentials and connection strings, are managed centrally through environment variables. This approach enhances security, simplifies configuration management, and guarantees parity between development and execution environments.</w:t>
      </w:r>
    </w:p>
    <w:p w14:paraId="7F959312" w14:textId="77777777" w:rsidR="00C8605D" w:rsidRPr="00C8605D" w:rsidRDefault="00C8605D" w:rsidP="00C8605D">
      <w:pPr>
        <w:rPr>
          <w:sz w:val="22"/>
          <w:szCs w:val="22"/>
        </w:rPr>
      </w:pPr>
      <w:r w:rsidRPr="00C8605D">
        <w:rPr>
          <w:sz w:val="22"/>
          <w:szCs w:val="22"/>
        </w:rPr>
        <w:t xml:space="preserve">Overall, the integration of Apache Airflow elevates the proposed pipeline from a sequence of analytical scripts to a fully orchestrated data-engineering workflow. By enforcing execution order, enabling observability, and supporting fault tolerance, the orchestration layer ensures that KPI computation and exposure are not only analytically correct but also operationally reliable. This orchestration framework therefore plays a central role in supporting the </w:t>
      </w:r>
      <w:r w:rsidRPr="00C8605D">
        <w:rPr>
          <w:sz w:val="22"/>
          <w:szCs w:val="22"/>
        </w:rPr>
        <w:lastRenderedPageBreak/>
        <w:t>methodological objectives of reproducibility, auditability, and robustness that underpin the thesis.</w:t>
      </w:r>
    </w:p>
    <w:p w14:paraId="121A791F" w14:textId="22C66225" w:rsidR="00D200BE" w:rsidRPr="00D200BE" w:rsidRDefault="00D200BE" w:rsidP="00D65B07">
      <w:pPr>
        <w:rPr>
          <w:b/>
          <w:bCs/>
          <w:sz w:val="22"/>
          <w:szCs w:val="22"/>
        </w:rPr>
      </w:pPr>
      <w:r w:rsidRPr="00D200BE">
        <w:rPr>
          <w:b/>
          <w:bCs/>
          <w:sz w:val="22"/>
          <w:szCs w:val="22"/>
        </w:rPr>
        <w:t>3.3.7 Pipeline Validation and Quality Assurance</w:t>
      </w:r>
    </w:p>
    <w:p w14:paraId="3130C385" w14:textId="77777777" w:rsidR="00337C38" w:rsidRPr="00337C38" w:rsidRDefault="00337C38" w:rsidP="00337C38">
      <w:pPr>
        <w:rPr>
          <w:sz w:val="22"/>
          <w:szCs w:val="22"/>
        </w:rPr>
      </w:pPr>
      <w:r w:rsidRPr="00337C38">
        <w:rPr>
          <w:sz w:val="22"/>
          <w:szCs w:val="22"/>
        </w:rPr>
        <w:t xml:space="preserve">To ensure that the computed KPIs are reliable, reproducible, and not artifacts of processing errors or schema inconsistencies, a multi-tiered validation and quality assurance framework is integrated directly into the data pipeline. Rather than treating validation as an external or ad-hoc activity, the proposed methodology embeds quality checks within the orchestration flow itself, positioning data validation as a first-class component of </w:t>
      </w:r>
      <w:proofErr w:type="gramStart"/>
      <w:r w:rsidRPr="00337C38">
        <w:rPr>
          <w:sz w:val="22"/>
          <w:szCs w:val="22"/>
        </w:rPr>
        <w:t>the analytical</w:t>
      </w:r>
      <w:proofErr w:type="gramEnd"/>
      <w:r w:rsidRPr="00337C38">
        <w:rPr>
          <w:sz w:val="22"/>
          <w:szCs w:val="22"/>
        </w:rPr>
        <w:t xml:space="preserve"> architecture.</w:t>
      </w:r>
    </w:p>
    <w:p w14:paraId="36C9A3BA" w14:textId="77777777" w:rsidR="00337C38" w:rsidRPr="00337C38" w:rsidRDefault="00337C38" w:rsidP="00337C38">
      <w:pPr>
        <w:rPr>
          <w:sz w:val="22"/>
          <w:szCs w:val="22"/>
        </w:rPr>
      </w:pPr>
      <w:r w:rsidRPr="00337C38">
        <w:rPr>
          <w:sz w:val="22"/>
          <w:szCs w:val="22"/>
        </w:rPr>
        <w:t xml:space="preserve">The final stage of the Airflow DAG, denoted as </w:t>
      </w:r>
      <w:proofErr w:type="spellStart"/>
      <w:r w:rsidRPr="00337C38">
        <w:rPr>
          <w:i/>
          <w:iCs/>
          <w:sz w:val="22"/>
          <w:szCs w:val="22"/>
        </w:rPr>
        <w:t>run_tests</w:t>
      </w:r>
      <w:proofErr w:type="spellEnd"/>
      <w:r w:rsidRPr="00337C38">
        <w:rPr>
          <w:sz w:val="22"/>
          <w:szCs w:val="22"/>
        </w:rPr>
        <w:t xml:space="preserve">, executes an automated test suite implemented using the </w:t>
      </w:r>
      <w:proofErr w:type="spellStart"/>
      <w:r w:rsidRPr="00337C38">
        <w:rPr>
          <w:sz w:val="22"/>
          <w:szCs w:val="22"/>
        </w:rPr>
        <w:t>pytest</w:t>
      </w:r>
      <w:proofErr w:type="spellEnd"/>
      <w:r w:rsidRPr="00337C38">
        <w:rPr>
          <w:sz w:val="22"/>
          <w:szCs w:val="22"/>
        </w:rPr>
        <w:t xml:space="preserve"> framework. This stage is triggered only after the successful completion of all upstream ingestion, transformation, and loading tasks, ensuring that validation is performed on the fully materialized analytical state of the pipeline. By integrating testing directly into the DAG, the pipeline enforces a strict quality gate that prevents unreliable or malformed data from being exposed through the analytics schema or the API layer.</w:t>
      </w:r>
    </w:p>
    <w:p w14:paraId="709AEB50" w14:textId="77777777" w:rsidR="00337C38" w:rsidRPr="00337C38" w:rsidRDefault="00337C38" w:rsidP="00337C38">
      <w:pPr>
        <w:rPr>
          <w:sz w:val="22"/>
          <w:szCs w:val="22"/>
        </w:rPr>
      </w:pPr>
      <w:r w:rsidRPr="00337C38">
        <w:rPr>
          <w:sz w:val="22"/>
          <w:szCs w:val="22"/>
        </w:rPr>
        <w:t xml:space="preserve">The automated test suite comprises two primary categories of tests. Smoke tests are used to verify core system functionality, including database connectivity and basic query execution. These tests serve as an early warning mechanism, detecting infrastructure-level issues such as unavailable database services or misconfigured connections before analytical results are consumed. In parallel, contract tests are employed to enforce the structural integrity of the analytical dataset. These tests validate the existence of the </w:t>
      </w:r>
      <w:proofErr w:type="spellStart"/>
      <w:proofErr w:type="gramStart"/>
      <w:r w:rsidRPr="00337C38">
        <w:rPr>
          <w:sz w:val="22"/>
          <w:szCs w:val="22"/>
        </w:rPr>
        <w:t>analytics.loan</w:t>
      </w:r>
      <w:proofErr w:type="gramEnd"/>
      <w:r w:rsidRPr="00337C38">
        <w:rPr>
          <w:sz w:val="22"/>
          <w:szCs w:val="22"/>
        </w:rPr>
        <w:t>_portfolio_features</w:t>
      </w:r>
      <w:proofErr w:type="spellEnd"/>
      <w:r w:rsidRPr="00337C38">
        <w:rPr>
          <w:sz w:val="22"/>
          <w:szCs w:val="22"/>
        </w:rPr>
        <w:t xml:space="preserve"> table and confirm the presence and correct naming of all mandatory fields required for KPI computation, including </w:t>
      </w:r>
      <w:proofErr w:type="spellStart"/>
      <w:r w:rsidRPr="00337C38">
        <w:rPr>
          <w:sz w:val="22"/>
          <w:szCs w:val="22"/>
        </w:rPr>
        <w:t>loan_status_binary</w:t>
      </w:r>
      <w:proofErr w:type="spellEnd"/>
      <w:r w:rsidRPr="00337C38">
        <w:rPr>
          <w:sz w:val="22"/>
          <w:szCs w:val="22"/>
        </w:rPr>
        <w:t xml:space="preserve">, </w:t>
      </w:r>
      <w:proofErr w:type="spellStart"/>
      <w:r w:rsidRPr="00337C38">
        <w:rPr>
          <w:sz w:val="22"/>
          <w:szCs w:val="22"/>
        </w:rPr>
        <w:t>int_rate</w:t>
      </w:r>
      <w:proofErr w:type="spellEnd"/>
      <w:r w:rsidRPr="00337C38">
        <w:rPr>
          <w:sz w:val="22"/>
          <w:szCs w:val="22"/>
        </w:rPr>
        <w:t xml:space="preserve">, and </w:t>
      </w:r>
      <w:proofErr w:type="spellStart"/>
      <w:r w:rsidRPr="00337C38">
        <w:rPr>
          <w:sz w:val="22"/>
          <w:szCs w:val="22"/>
        </w:rPr>
        <w:t>grade_ord</w:t>
      </w:r>
      <w:proofErr w:type="spellEnd"/>
      <w:r w:rsidRPr="00337C38">
        <w:rPr>
          <w:sz w:val="22"/>
          <w:szCs w:val="22"/>
        </w:rPr>
        <w:t>.</w:t>
      </w:r>
    </w:p>
    <w:p w14:paraId="0242469D" w14:textId="77777777" w:rsidR="00337C38" w:rsidRPr="00337C38" w:rsidRDefault="00337C38" w:rsidP="00337C38">
      <w:pPr>
        <w:rPr>
          <w:sz w:val="22"/>
          <w:szCs w:val="22"/>
        </w:rPr>
      </w:pPr>
      <w:r w:rsidRPr="00337C38">
        <w:rPr>
          <w:sz w:val="22"/>
          <w:szCs w:val="22"/>
        </w:rPr>
        <w:t>The use of contract tests reflects a data-contract–driven approach to analytical reliability. By explicitly codifying expectations regarding schema structure and required attributes, the pipeline ensures that downstream KPI computations operate on a stable and well-defined data interface. Any deviation from this contract—such as missing columns, unintended renaming, or incomplete feature promotion—results in immediate pipeline failure, preventing silent data quality degradation.</w:t>
      </w:r>
    </w:p>
    <w:p w14:paraId="439BB3E6" w14:textId="77777777" w:rsidR="00337C38" w:rsidRPr="00337C38" w:rsidRDefault="00337C38" w:rsidP="00337C38">
      <w:pPr>
        <w:rPr>
          <w:sz w:val="22"/>
          <w:szCs w:val="22"/>
        </w:rPr>
      </w:pPr>
      <w:r w:rsidRPr="00337C38">
        <w:rPr>
          <w:sz w:val="22"/>
          <w:szCs w:val="22"/>
        </w:rPr>
        <w:t>Beyond code-level testing, the pipeline incorporates architectural safeguards that enforce data quality at the schema and type level. During the semantic typing and staging ingestion phases, strict data typing rules are applied to all analytical fields. Temporal variables are standardized into consistent timestamp formats, numerical variables are cast into appropriate integer or floating-point representations, and categorical encodings are validated against predefined domains. These checks act as structural quality gates, ensuring that only semantically valid and analytically meaningful data reaches the analytics layer.</w:t>
      </w:r>
    </w:p>
    <w:p w14:paraId="4751679B" w14:textId="77777777" w:rsidR="00337C38" w:rsidRPr="00337C38" w:rsidRDefault="00337C38" w:rsidP="00337C38">
      <w:pPr>
        <w:rPr>
          <w:sz w:val="22"/>
          <w:szCs w:val="22"/>
        </w:rPr>
      </w:pPr>
      <w:r w:rsidRPr="00337C38">
        <w:rPr>
          <w:sz w:val="22"/>
          <w:szCs w:val="22"/>
        </w:rPr>
        <w:t xml:space="preserve">This layered validation strategy aligns with established data quality frameworks, which emphasize accuracy, completeness, consistency, and traceability as prerequisites for reliable analytical outputs. By combining automated tests, schema enforcement, and controlled data </w:t>
      </w:r>
      <w:r w:rsidRPr="00337C38">
        <w:rPr>
          <w:sz w:val="22"/>
          <w:szCs w:val="22"/>
        </w:rPr>
        <w:lastRenderedPageBreak/>
        <w:t>promotion, the pipeline ensures that KPI values are not merely computationally correct, but analytically trustworthy. As a result, the produced indicators are suitable for professional portfolio monitoring, regulatory-style reporting, and decision-support applications, reinforcing the methodological objective of producing audit-ready and governance-aligned portfolio analytics.</w:t>
      </w:r>
    </w:p>
    <w:p w14:paraId="636F0963" w14:textId="77777777" w:rsidR="00EF6417" w:rsidRPr="00EF6417" w:rsidRDefault="00EF6417" w:rsidP="00EF6417">
      <w:pPr>
        <w:rPr>
          <w:b/>
          <w:bCs/>
          <w:sz w:val="22"/>
          <w:szCs w:val="22"/>
        </w:rPr>
      </w:pPr>
      <w:r w:rsidRPr="00EF6417">
        <w:rPr>
          <w:b/>
          <w:bCs/>
          <w:sz w:val="22"/>
          <w:szCs w:val="22"/>
        </w:rPr>
        <w:t>3.4 End-to-End Pipeline Execution Flow</w:t>
      </w:r>
    </w:p>
    <w:p w14:paraId="32546864" w14:textId="77777777" w:rsidR="00E72082" w:rsidRPr="00E72082" w:rsidRDefault="00E72082" w:rsidP="00E72082">
      <w:pPr>
        <w:rPr>
          <w:sz w:val="22"/>
          <w:szCs w:val="22"/>
        </w:rPr>
      </w:pPr>
      <w:r w:rsidRPr="00E72082">
        <w:rPr>
          <w:sz w:val="22"/>
          <w:szCs w:val="22"/>
        </w:rPr>
        <w:t>The complete execution flow of the proposed pipeline follows a deterministic, sequential, and fully orchestrated process designed to ensure analytical reliability, reproducibility, and auditability. The entire lifecycle is managed by Apache Airflow, which executes a Directed Acyclic Graph (DAG) to enforce strict task dependencies and eliminate ambiguity regarding execution order and data promotion. Each stage of the pipeline is executed only after the successful completion and validation of all upstream tasks, ensuring that analytical outputs are derived exclusively from verified and consistent inputs.</w:t>
      </w:r>
    </w:p>
    <w:p w14:paraId="6B359986" w14:textId="77777777" w:rsidR="00E72082" w:rsidRPr="00E72082" w:rsidRDefault="00E72082" w:rsidP="00E72082">
      <w:pPr>
        <w:rPr>
          <w:sz w:val="22"/>
          <w:szCs w:val="22"/>
        </w:rPr>
      </w:pPr>
      <w:r w:rsidRPr="00E72082">
        <w:rPr>
          <w:sz w:val="22"/>
          <w:szCs w:val="22"/>
        </w:rPr>
        <w:t xml:space="preserve">The execution flow begins with the ingestion of raw loan-level data into the PostgreSQL environment, where the dataset is preserved without any modification in the raw schema. This design choice ensures full data lineage and traceability, allowing any analytical result to be reconstructed from the original source data. Although exploratory analysis and the conceptual design of feature engineering are performed interactively using </w:t>
      </w:r>
      <w:proofErr w:type="spellStart"/>
      <w:r w:rsidRPr="00E72082">
        <w:rPr>
          <w:sz w:val="22"/>
          <w:szCs w:val="22"/>
        </w:rPr>
        <w:t>Jupyter</w:t>
      </w:r>
      <w:proofErr w:type="spellEnd"/>
      <w:r w:rsidRPr="00E72082">
        <w:rPr>
          <w:sz w:val="22"/>
          <w:szCs w:val="22"/>
        </w:rPr>
        <w:t xml:space="preserve"> Notebooks, the operational pipeline executes all transformations through dedicated and version-controlled Python scripts. This separation ensures that exploratory reasoning does not contaminate the reproducible execution path of the production-like pipeline.</w:t>
      </w:r>
    </w:p>
    <w:p w14:paraId="024F8851" w14:textId="77777777" w:rsidR="00E72082" w:rsidRPr="00E72082" w:rsidRDefault="00E72082" w:rsidP="00E72082">
      <w:pPr>
        <w:rPr>
          <w:sz w:val="22"/>
          <w:szCs w:val="22"/>
        </w:rPr>
      </w:pPr>
      <w:r w:rsidRPr="00E72082">
        <w:rPr>
          <w:sz w:val="22"/>
          <w:szCs w:val="22"/>
        </w:rPr>
        <w:t>Before integration into the database, the pipeline applies an intermediate semantic typing stage through the make_typed_kpi_csv.py process. This stage standardizes temporal attributes and enforces strict data types across all analytical variables, acting as a semantic quality gate between flexible Python-based processing and relational storage. The resulting dataset is subsequently loaded into the staging schema using full replacement semantics, establishing a controlled and reproducible analytical baseline. This approach guarantees that each pipeline execution produces a self-consistent snapshot of the analytical dataset, free from partial updates or schema drift.</w:t>
      </w:r>
    </w:p>
    <w:p w14:paraId="402D4EC9" w14:textId="77777777" w:rsidR="00E72082" w:rsidRPr="00E72082" w:rsidRDefault="00E72082" w:rsidP="00E72082">
      <w:pPr>
        <w:rPr>
          <w:sz w:val="22"/>
          <w:szCs w:val="22"/>
        </w:rPr>
      </w:pPr>
      <w:r w:rsidRPr="00E72082">
        <w:rPr>
          <w:sz w:val="22"/>
          <w:szCs w:val="22"/>
        </w:rPr>
        <w:t xml:space="preserve">Following successful staging, the data is promoted to the analytics schema, which serves as the authoritative source for KPI computation and downstream consumption. A defining feature of the execution flow is the integration of automated validation immediately prior to exposure. At this stage, the pipeline executes a suite of smoke and contract tests using the </w:t>
      </w:r>
      <w:proofErr w:type="spellStart"/>
      <w:r w:rsidRPr="00E72082">
        <w:rPr>
          <w:sz w:val="22"/>
          <w:szCs w:val="22"/>
        </w:rPr>
        <w:t>pytest</w:t>
      </w:r>
      <w:proofErr w:type="spellEnd"/>
      <w:r w:rsidRPr="00E72082">
        <w:rPr>
          <w:sz w:val="22"/>
          <w:szCs w:val="22"/>
        </w:rPr>
        <w:t xml:space="preserve"> framework to verify database connectivity, schema integrity, and the availability of all mandatory analytical fields. KPI computation and exposure are permitted only if these validations are successfully completed, reinforcing the principle that analytical availability is conditional upon data quality compliance.</w:t>
      </w:r>
    </w:p>
    <w:p w14:paraId="247E73EA" w14:textId="77777777" w:rsidR="000676C7" w:rsidRDefault="000676C7" w:rsidP="00E72082">
      <w:pPr>
        <w:rPr>
          <w:sz w:val="22"/>
          <w:szCs w:val="22"/>
        </w:rPr>
      </w:pPr>
      <w:r w:rsidRPr="000676C7">
        <w:rPr>
          <w:sz w:val="22"/>
          <w:szCs w:val="22"/>
        </w:rPr>
        <w:lastRenderedPageBreak/>
        <w:t>In the final stage of execution, portfolio-level KPIs are exposed through a dynamic, query-based access strategy. The analytics schema contains the materialized analytical feature table (</w:t>
      </w:r>
      <w:proofErr w:type="spellStart"/>
      <w:proofErr w:type="gramStart"/>
      <w:r w:rsidRPr="000676C7">
        <w:rPr>
          <w:sz w:val="22"/>
          <w:szCs w:val="22"/>
        </w:rPr>
        <w:t>analytics.loan</w:t>
      </w:r>
      <w:proofErr w:type="gramEnd"/>
      <w:r w:rsidRPr="000676C7">
        <w:rPr>
          <w:sz w:val="22"/>
          <w:szCs w:val="22"/>
        </w:rPr>
        <w:t>_portfolio_features</w:t>
      </w:r>
      <w:proofErr w:type="spellEnd"/>
      <w:r w:rsidRPr="000676C7">
        <w:rPr>
          <w:sz w:val="22"/>
          <w:szCs w:val="22"/>
        </w:rPr>
        <w:t xml:space="preserve">), which serves as the single authoritative source for all KPI computation and downstream consumption. KPI values are derived on demand through explicit SQL aggregation logic executed either directly on the analytics table or through the </w:t>
      </w:r>
      <w:proofErr w:type="spellStart"/>
      <w:r w:rsidRPr="000676C7">
        <w:rPr>
          <w:sz w:val="22"/>
          <w:szCs w:val="22"/>
        </w:rPr>
        <w:t>FastAPI</w:t>
      </w:r>
      <w:proofErr w:type="spellEnd"/>
      <w:r w:rsidRPr="000676C7">
        <w:rPr>
          <w:sz w:val="22"/>
          <w:szCs w:val="22"/>
        </w:rPr>
        <w:t xml:space="preserve"> layer, ensuring that results consistently reflect the latest validated analytical state produced by each pipeline run. For reporting convenience, KPI outputs may additionally be exported or materialized ad hoc (e.g., during exploratory reporting workflows) outside the orchestrated execution path; however, such materialization is not part of the automated pipeline.</w:t>
      </w:r>
    </w:p>
    <w:p w14:paraId="64744311" w14:textId="5F6E45F3" w:rsidR="00E72082" w:rsidRPr="00E72082" w:rsidRDefault="00E72082" w:rsidP="00E72082">
      <w:pPr>
        <w:rPr>
          <w:sz w:val="22"/>
          <w:szCs w:val="22"/>
        </w:rPr>
      </w:pPr>
      <w:r w:rsidRPr="00E72082">
        <w:rPr>
          <w:sz w:val="22"/>
          <w:szCs w:val="22"/>
        </w:rPr>
        <w:t>Overall, the end-to-end execution flow enforces a strict separation between data ingestion, transformation, validation, KPI computation, and exposure. This design ensures complete traceability from raw input data to final analytical outputs, aligns the pipeline with supervisory and governance-oriented best practices, and operationalizes the methodological objectives of the thesis. The resulting architecture demonstrates how reliable portfolio-level KPIs can be produced not merely through correct calculations, but through a controlled, auditable, and reproducible data-engineering process.</w:t>
      </w:r>
    </w:p>
    <w:p w14:paraId="2AF268D8" w14:textId="77777777" w:rsidR="00E325B1" w:rsidRPr="00601D1F" w:rsidRDefault="00E325B1" w:rsidP="002121DD">
      <w:pPr>
        <w:rPr>
          <w:sz w:val="22"/>
          <w:szCs w:val="22"/>
        </w:rPr>
      </w:pPr>
    </w:p>
    <w:p w14:paraId="21D6778C" w14:textId="77777777" w:rsidR="002121DD" w:rsidRPr="00601D1F" w:rsidRDefault="002121DD">
      <w:pPr>
        <w:rPr>
          <w:sz w:val="22"/>
          <w:szCs w:val="22"/>
        </w:rPr>
      </w:pPr>
    </w:p>
    <w:sectPr w:rsidR="002121DD" w:rsidRPr="00601D1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15563"/>
    <w:multiLevelType w:val="multilevel"/>
    <w:tmpl w:val="DF7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67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4B3"/>
    <w:rsid w:val="00001A58"/>
    <w:rsid w:val="000055E4"/>
    <w:rsid w:val="000103E9"/>
    <w:rsid w:val="00022A7F"/>
    <w:rsid w:val="000474BD"/>
    <w:rsid w:val="00053AA7"/>
    <w:rsid w:val="00061EC3"/>
    <w:rsid w:val="00066047"/>
    <w:rsid w:val="000676C7"/>
    <w:rsid w:val="00070EAD"/>
    <w:rsid w:val="0007629A"/>
    <w:rsid w:val="000819FC"/>
    <w:rsid w:val="000B493D"/>
    <w:rsid w:val="000F00C4"/>
    <w:rsid w:val="000F18E4"/>
    <w:rsid w:val="00111D4D"/>
    <w:rsid w:val="0015199C"/>
    <w:rsid w:val="001601E1"/>
    <w:rsid w:val="00162823"/>
    <w:rsid w:val="001675C7"/>
    <w:rsid w:val="001A348A"/>
    <w:rsid w:val="001D428E"/>
    <w:rsid w:val="002121DD"/>
    <w:rsid w:val="00235A3C"/>
    <w:rsid w:val="00262A7D"/>
    <w:rsid w:val="002B2E75"/>
    <w:rsid w:val="002B2EDC"/>
    <w:rsid w:val="002D2CCA"/>
    <w:rsid w:val="002E726A"/>
    <w:rsid w:val="00305196"/>
    <w:rsid w:val="003108C5"/>
    <w:rsid w:val="00313FC2"/>
    <w:rsid w:val="00315062"/>
    <w:rsid w:val="0031524B"/>
    <w:rsid w:val="00317A31"/>
    <w:rsid w:val="0033531F"/>
    <w:rsid w:val="00337C38"/>
    <w:rsid w:val="0039099D"/>
    <w:rsid w:val="003D6F94"/>
    <w:rsid w:val="003E4B8E"/>
    <w:rsid w:val="003F1258"/>
    <w:rsid w:val="00407034"/>
    <w:rsid w:val="00415BE0"/>
    <w:rsid w:val="00430947"/>
    <w:rsid w:val="00431E46"/>
    <w:rsid w:val="00480BBF"/>
    <w:rsid w:val="0048643C"/>
    <w:rsid w:val="004C6B3C"/>
    <w:rsid w:val="004D45B1"/>
    <w:rsid w:val="004F79BC"/>
    <w:rsid w:val="00523E1A"/>
    <w:rsid w:val="005708A0"/>
    <w:rsid w:val="005724BE"/>
    <w:rsid w:val="00577D4A"/>
    <w:rsid w:val="00590123"/>
    <w:rsid w:val="00597F19"/>
    <w:rsid w:val="005B387B"/>
    <w:rsid w:val="005D725C"/>
    <w:rsid w:val="006019F0"/>
    <w:rsid w:val="00601D1F"/>
    <w:rsid w:val="00623EC2"/>
    <w:rsid w:val="006312BF"/>
    <w:rsid w:val="00634ED8"/>
    <w:rsid w:val="006369B4"/>
    <w:rsid w:val="006506DB"/>
    <w:rsid w:val="00656F27"/>
    <w:rsid w:val="00682234"/>
    <w:rsid w:val="0068232A"/>
    <w:rsid w:val="006B7D42"/>
    <w:rsid w:val="006C56C0"/>
    <w:rsid w:val="006F2B6F"/>
    <w:rsid w:val="0070022A"/>
    <w:rsid w:val="0071373A"/>
    <w:rsid w:val="007161E1"/>
    <w:rsid w:val="00721135"/>
    <w:rsid w:val="007704B3"/>
    <w:rsid w:val="007866CB"/>
    <w:rsid w:val="007E284B"/>
    <w:rsid w:val="008068ED"/>
    <w:rsid w:val="00813F5D"/>
    <w:rsid w:val="00815E0B"/>
    <w:rsid w:val="0081692D"/>
    <w:rsid w:val="00822944"/>
    <w:rsid w:val="00831A85"/>
    <w:rsid w:val="00864BF4"/>
    <w:rsid w:val="0087724C"/>
    <w:rsid w:val="00884864"/>
    <w:rsid w:val="008A1C54"/>
    <w:rsid w:val="008A4A0F"/>
    <w:rsid w:val="008E7F0F"/>
    <w:rsid w:val="009112FC"/>
    <w:rsid w:val="00932875"/>
    <w:rsid w:val="00946B97"/>
    <w:rsid w:val="0095424F"/>
    <w:rsid w:val="00997DF3"/>
    <w:rsid w:val="009A292E"/>
    <w:rsid w:val="009D3A08"/>
    <w:rsid w:val="009E4974"/>
    <w:rsid w:val="009F16E0"/>
    <w:rsid w:val="00A36ADF"/>
    <w:rsid w:val="00A4489F"/>
    <w:rsid w:val="00A82667"/>
    <w:rsid w:val="00A93B9A"/>
    <w:rsid w:val="00B14E3E"/>
    <w:rsid w:val="00B23EEC"/>
    <w:rsid w:val="00B277F2"/>
    <w:rsid w:val="00B64B43"/>
    <w:rsid w:val="00B91520"/>
    <w:rsid w:val="00BA7EDE"/>
    <w:rsid w:val="00BD12DE"/>
    <w:rsid w:val="00BE3FC4"/>
    <w:rsid w:val="00BF107F"/>
    <w:rsid w:val="00C0118B"/>
    <w:rsid w:val="00C03794"/>
    <w:rsid w:val="00C5239A"/>
    <w:rsid w:val="00C65C9A"/>
    <w:rsid w:val="00C74684"/>
    <w:rsid w:val="00C82792"/>
    <w:rsid w:val="00C8605D"/>
    <w:rsid w:val="00C91A09"/>
    <w:rsid w:val="00CC07FA"/>
    <w:rsid w:val="00CD3D53"/>
    <w:rsid w:val="00CE05A5"/>
    <w:rsid w:val="00CE3980"/>
    <w:rsid w:val="00CF1EC8"/>
    <w:rsid w:val="00D07401"/>
    <w:rsid w:val="00D077E7"/>
    <w:rsid w:val="00D171EB"/>
    <w:rsid w:val="00D200BE"/>
    <w:rsid w:val="00D54BD5"/>
    <w:rsid w:val="00D65B07"/>
    <w:rsid w:val="00D8052F"/>
    <w:rsid w:val="00D8376F"/>
    <w:rsid w:val="00DA17C2"/>
    <w:rsid w:val="00E325B1"/>
    <w:rsid w:val="00E54102"/>
    <w:rsid w:val="00E5748C"/>
    <w:rsid w:val="00E72082"/>
    <w:rsid w:val="00E724C3"/>
    <w:rsid w:val="00E87197"/>
    <w:rsid w:val="00EC5D2C"/>
    <w:rsid w:val="00ED43FB"/>
    <w:rsid w:val="00EF6417"/>
    <w:rsid w:val="00F53462"/>
    <w:rsid w:val="00F72AF0"/>
    <w:rsid w:val="00F95E85"/>
    <w:rsid w:val="00FA0FD7"/>
    <w:rsid w:val="00FA7875"/>
    <w:rsid w:val="00FE2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C836E"/>
  <w15:chartTrackingRefBased/>
  <w15:docId w15:val="{40915126-27A6-4885-A1E7-A5448E71D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4B3"/>
  </w:style>
  <w:style w:type="paragraph" w:styleId="Heading1">
    <w:name w:val="heading 1"/>
    <w:basedOn w:val="Normal"/>
    <w:next w:val="Normal"/>
    <w:link w:val="Heading1Char"/>
    <w:uiPriority w:val="9"/>
    <w:qFormat/>
    <w:rsid w:val="000F0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C4"/>
    <w:rPr>
      <w:rFonts w:eastAsiaTheme="majorEastAsia" w:cstheme="majorBidi"/>
      <w:color w:val="272727" w:themeColor="text1" w:themeTint="D8"/>
    </w:rPr>
  </w:style>
  <w:style w:type="paragraph" w:styleId="Title">
    <w:name w:val="Title"/>
    <w:basedOn w:val="Normal"/>
    <w:next w:val="Normal"/>
    <w:link w:val="TitleChar"/>
    <w:uiPriority w:val="10"/>
    <w:qFormat/>
    <w:rsid w:val="000F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C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F00C4"/>
    <w:pPr>
      <w:ind w:left="720"/>
      <w:contextualSpacing/>
    </w:pPr>
  </w:style>
  <w:style w:type="paragraph" w:styleId="Quote">
    <w:name w:val="Quote"/>
    <w:basedOn w:val="Normal"/>
    <w:next w:val="Normal"/>
    <w:link w:val="QuoteChar"/>
    <w:uiPriority w:val="29"/>
    <w:qFormat/>
    <w:rsid w:val="000F00C4"/>
    <w:pPr>
      <w:spacing w:before="160"/>
      <w:jc w:val="center"/>
    </w:pPr>
    <w:rPr>
      <w:i/>
      <w:iCs/>
      <w:color w:val="404040" w:themeColor="text1" w:themeTint="BF"/>
    </w:rPr>
  </w:style>
  <w:style w:type="character" w:customStyle="1" w:styleId="QuoteChar">
    <w:name w:val="Quote Char"/>
    <w:basedOn w:val="DefaultParagraphFont"/>
    <w:link w:val="Quote"/>
    <w:uiPriority w:val="29"/>
    <w:rsid w:val="000F00C4"/>
    <w:rPr>
      <w:i/>
      <w:iCs/>
      <w:color w:val="404040" w:themeColor="text1" w:themeTint="BF"/>
    </w:rPr>
  </w:style>
  <w:style w:type="paragraph" w:styleId="IntenseQuote">
    <w:name w:val="Intense Quote"/>
    <w:basedOn w:val="Normal"/>
    <w:next w:val="Normal"/>
    <w:link w:val="IntenseQuoteChar"/>
    <w:uiPriority w:val="30"/>
    <w:qFormat/>
    <w:rsid w:val="000F0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C4"/>
    <w:rPr>
      <w:i/>
      <w:iCs/>
      <w:color w:val="0F4761" w:themeColor="accent1" w:themeShade="BF"/>
    </w:rPr>
  </w:style>
  <w:style w:type="character" w:styleId="IntenseEmphasis">
    <w:name w:val="Intense Emphasis"/>
    <w:basedOn w:val="DefaultParagraphFont"/>
    <w:uiPriority w:val="21"/>
    <w:qFormat/>
    <w:rsid w:val="000F00C4"/>
    <w:rPr>
      <w:i/>
      <w:iCs/>
      <w:color w:val="0F4761" w:themeColor="accent1" w:themeShade="BF"/>
    </w:rPr>
  </w:style>
  <w:style w:type="character" w:styleId="IntenseReference">
    <w:name w:val="Intense Reference"/>
    <w:basedOn w:val="DefaultParagraphFont"/>
    <w:uiPriority w:val="32"/>
    <w:qFormat/>
    <w:rsid w:val="000F0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D026D-1E10-42B3-BC2A-7B09D7308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20</Pages>
  <Words>9142</Words>
  <Characters>52111</Characters>
  <Application>Microsoft Office Word</Application>
  <DocSecurity>0</DocSecurity>
  <Lines>434</Lines>
  <Paragraphs>122</Paragraphs>
  <ScaleCrop>false</ScaleCrop>
  <Company/>
  <LinksUpToDate>false</LinksUpToDate>
  <CharactersWithSpaces>61131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Eleftheria Pardali</dc:creator>
  <cp:keywords/>
  <dc:description/>
  <cp:lastModifiedBy>Eleftheria Pardali</cp:lastModifiedBy>
  <cp:revision>141</cp:revision>
  <dcterms:created xsi:type="dcterms:W3CDTF">2025-12-14T21:54:00Z</dcterms:created>
  <dcterms:modified xsi:type="dcterms:W3CDTF">2026-01-21T23:05:00Z</dcterms:modified>
</cp:coreProperties>
</file>