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56046" w14:textId="236DE414" w:rsidR="000F00C4" w:rsidRPr="00142FB1" w:rsidRDefault="00760958">
      <w:pPr>
        <w:rPr>
          <w:i/>
          <w:iCs/>
        </w:rPr>
      </w:pPr>
      <w:r w:rsidRPr="00142FB1">
        <w:rPr>
          <w:i/>
          <w:iCs/>
        </w:rPr>
        <w:t>TITLE: Data-Quality-Driven Engineering Pipeline for Reliable Loan Portfolio KPI Computation and API Exposure</w:t>
      </w:r>
    </w:p>
    <w:p w14:paraId="230D660A" w14:textId="78EE482C" w:rsidR="00C90215" w:rsidRPr="002C5327" w:rsidRDefault="00C90215">
      <w:pPr>
        <w:rPr>
          <w:b/>
          <w:bCs/>
          <w:sz w:val="28"/>
          <w:szCs w:val="28"/>
        </w:rPr>
      </w:pPr>
      <w:r w:rsidRPr="002C5327">
        <w:rPr>
          <w:b/>
          <w:bCs/>
          <w:sz w:val="28"/>
          <w:szCs w:val="28"/>
        </w:rPr>
        <w:t>2. Operational Efficiency</w:t>
      </w:r>
    </w:p>
    <w:p w14:paraId="632DAFB1" w14:textId="39DAF82E" w:rsidR="00C90215" w:rsidRPr="002C5327" w:rsidRDefault="00C90215">
      <w:pPr>
        <w:rPr>
          <w:sz w:val="22"/>
          <w:szCs w:val="22"/>
        </w:rPr>
      </w:pPr>
      <w:r w:rsidRPr="002C5327">
        <w:rPr>
          <w:sz w:val="22"/>
          <w:szCs w:val="22"/>
        </w:rPr>
        <w:t>Poor data quality is one of the main contributors to operational inef</w:t>
      </w:r>
      <w:r w:rsidR="00D418A6" w:rsidRPr="002C5327">
        <w:rPr>
          <w:sz w:val="22"/>
          <w:szCs w:val="22"/>
        </w:rPr>
        <w:t xml:space="preserve">ficiency in the financial industry. It </w:t>
      </w:r>
      <w:r w:rsidR="00EA0B61" w:rsidRPr="002C5327">
        <w:rPr>
          <w:sz w:val="22"/>
          <w:szCs w:val="22"/>
        </w:rPr>
        <w:t>impacts on</w:t>
      </w:r>
      <w:r w:rsidR="00D418A6" w:rsidRPr="002C5327">
        <w:rPr>
          <w:sz w:val="22"/>
          <w:szCs w:val="22"/>
        </w:rPr>
        <w:t xml:space="preserve"> </w:t>
      </w:r>
      <w:r w:rsidR="00796F0C" w:rsidRPr="002C5327">
        <w:rPr>
          <w:sz w:val="22"/>
          <w:szCs w:val="22"/>
        </w:rPr>
        <w:t xml:space="preserve">a financial firm’s ability to efficiently conduct </w:t>
      </w:r>
      <w:r w:rsidR="007E2318" w:rsidRPr="002C5327">
        <w:rPr>
          <w:sz w:val="22"/>
          <w:szCs w:val="22"/>
        </w:rPr>
        <w:t>business,</w:t>
      </w:r>
      <w:r w:rsidR="00796F0C" w:rsidRPr="002C5327">
        <w:rPr>
          <w:sz w:val="22"/>
          <w:szCs w:val="22"/>
        </w:rPr>
        <w:t xml:space="preserve"> and it can lead to inaccurate business insights, incorrect financial analyses, and erroneous investment decisions.</w:t>
      </w:r>
      <w:r w:rsidR="007E2318" w:rsidRPr="002C5327">
        <w:rPr>
          <w:sz w:val="22"/>
          <w:szCs w:val="22"/>
        </w:rPr>
        <w:t xml:space="preserve"> Further, incorrect or misaligned data negatively impacts operational efficiency </w:t>
      </w:r>
      <w:r w:rsidR="00482B90" w:rsidRPr="002C5327">
        <w:rPr>
          <w:sz w:val="22"/>
          <w:szCs w:val="22"/>
        </w:rPr>
        <w:t>whereby employees are constantly spending their time checking and rechecking data quality. Misrepresentation of financials</w:t>
      </w:r>
      <w:r w:rsidR="00175FA1" w:rsidRPr="002C5327">
        <w:rPr>
          <w:sz w:val="22"/>
          <w:szCs w:val="22"/>
        </w:rPr>
        <w:t xml:space="preserve"> to clients, regulators, and auditors can have severe impacts on operational effectiveness.</w:t>
      </w:r>
      <w:r w:rsidR="00692C14" w:rsidRPr="002C5327">
        <w:rPr>
          <w:sz w:val="22"/>
          <w:szCs w:val="22"/>
        </w:rPr>
        <w:t xml:space="preserve"> A firm should </w:t>
      </w:r>
      <w:r w:rsidR="008F7274">
        <w:rPr>
          <w:sz w:val="22"/>
          <w:szCs w:val="22"/>
        </w:rPr>
        <w:t xml:space="preserve">ensure </w:t>
      </w:r>
      <w:r w:rsidR="00692C14" w:rsidRPr="002C5327">
        <w:rPr>
          <w:sz w:val="22"/>
          <w:szCs w:val="22"/>
        </w:rPr>
        <w:t xml:space="preserve">only </w:t>
      </w:r>
      <w:r w:rsidR="00276EF3" w:rsidRPr="002C5327">
        <w:rPr>
          <w:sz w:val="22"/>
          <w:szCs w:val="22"/>
        </w:rPr>
        <w:t>high-quality</w:t>
      </w:r>
      <w:r w:rsidR="00692C14" w:rsidRPr="002C5327">
        <w:rPr>
          <w:sz w:val="22"/>
          <w:szCs w:val="22"/>
        </w:rPr>
        <w:t xml:space="preserve"> data and information are used </w:t>
      </w:r>
      <w:r w:rsidR="00323B86" w:rsidRPr="002C5327">
        <w:rPr>
          <w:sz w:val="22"/>
          <w:szCs w:val="22"/>
        </w:rPr>
        <w:t>in production data processes</w:t>
      </w:r>
      <w:r w:rsidR="008F7274">
        <w:rPr>
          <w:sz w:val="22"/>
          <w:szCs w:val="22"/>
        </w:rPr>
        <w:t xml:space="preserve"> and a</w:t>
      </w:r>
      <w:r w:rsidR="00323B86" w:rsidRPr="002C5327">
        <w:rPr>
          <w:sz w:val="22"/>
          <w:szCs w:val="22"/>
        </w:rPr>
        <w:t>pplying a manufacturing approach to</w:t>
      </w:r>
      <w:r w:rsidR="00964348" w:rsidRPr="002C5327">
        <w:rPr>
          <w:sz w:val="22"/>
          <w:szCs w:val="22"/>
        </w:rPr>
        <w:t xml:space="preserve"> data management </w:t>
      </w:r>
      <w:r w:rsidR="00BE4866" w:rsidRPr="002C5327">
        <w:rPr>
          <w:sz w:val="22"/>
          <w:szCs w:val="22"/>
        </w:rPr>
        <w:t>– with precise, pre-used data quality validations- contribute to</w:t>
      </w:r>
      <w:r w:rsidR="00323B86" w:rsidRPr="002C5327">
        <w:rPr>
          <w:sz w:val="22"/>
          <w:szCs w:val="22"/>
        </w:rPr>
        <w:t xml:space="preserve"> operational efficiency </w:t>
      </w:r>
      <w:r w:rsidR="00602A5F" w:rsidRPr="002C5327">
        <w:rPr>
          <w:sz w:val="22"/>
          <w:szCs w:val="22"/>
        </w:rPr>
        <w:t xml:space="preserve">and effectiveness. With pre-used data quality validations, the quality of the data is confirmed, verified, and validated relative to </w:t>
      </w:r>
      <w:r w:rsidR="00F679D8">
        <w:rPr>
          <w:sz w:val="22"/>
          <w:szCs w:val="22"/>
        </w:rPr>
        <w:t>D</w:t>
      </w:r>
      <w:r w:rsidR="00BF42B0" w:rsidRPr="002C5327">
        <w:rPr>
          <w:sz w:val="22"/>
          <w:szCs w:val="22"/>
        </w:rPr>
        <w:t xml:space="preserve">ata </w:t>
      </w:r>
      <w:r w:rsidR="00F679D8">
        <w:rPr>
          <w:sz w:val="22"/>
          <w:szCs w:val="22"/>
        </w:rPr>
        <w:t>Q</w:t>
      </w:r>
      <w:r w:rsidR="00BF42B0" w:rsidRPr="002C5327">
        <w:rPr>
          <w:sz w:val="22"/>
          <w:szCs w:val="22"/>
        </w:rPr>
        <w:t xml:space="preserve">uality </w:t>
      </w:r>
      <w:r w:rsidR="00F679D8">
        <w:rPr>
          <w:sz w:val="22"/>
          <w:szCs w:val="22"/>
        </w:rPr>
        <w:t>S</w:t>
      </w:r>
      <w:r w:rsidR="00BF42B0" w:rsidRPr="002C5327">
        <w:rPr>
          <w:sz w:val="22"/>
          <w:szCs w:val="22"/>
        </w:rPr>
        <w:t>pecifications (</w:t>
      </w:r>
      <w:r w:rsidR="00602A5F" w:rsidRPr="002C5327">
        <w:rPr>
          <w:sz w:val="22"/>
          <w:szCs w:val="22"/>
        </w:rPr>
        <w:t>DQS</w:t>
      </w:r>
      <w:r w:rsidR="00BF42B0" w:rsidRPr="002C5327">
        <w:rPr>
          <w:sz w:val="22"/>
          <w:szCs w:val="22"/>
        </w:rPr>
        <w:t>)</w:t>
      </w:r>
      <w:r w:rsidR="00602A5F" w:rsidRPr="002C5327">
        <w:rPr>
          <w:sz w:val="22"/>
          <w:szCs w:val="22"/>
        </w:rPr>
        <w:t xml:space="preserve"> before the data is used by the consumer.</w:t>
      </w:r>
    </w:p>
    <w:p w14:paraId="16262E9E" w14:textId="6853CA60" w:rsidR="00742507" w:rsidRPr="002C5327" w:rsidRDefault="00742507" w:rsidP="00742507">
      <w:pPr>
        <w:rPr>
          <w:b/>
          <w:bCs/>
          <w:sz w:val="22"/>
          <w:szCs w:val="22"/>
        </w:rPr>
      </w:pPr>
      <w:r w:rsidRPr="002C5327">
        <w:rPr>
          <w:b/>
          <w:bCs/>
          <w:sz w:val="22"/>
          <w:szCs w:val="22"/>
        </w:rPr>
        <w:t>2.1. Data Quality as a Prerequisite for Reliable KPI Computation</w:t>
      </w:r>
    </w:p>
    <w:p w14:paraId="193BE2B3" w14:textId="4EAB3C01" w:rsidR="00742507" w:rsidRPr="002C5327" w:rsidRDefault="00742507" w:rsidP="00742507">
      <w:pPr>
        <w:rPr>
          <w:sz w:val="22"/>
          <w:szCs w:val="22"/>
        </w:rPr>
      </w:pPr>
      <w:r w:rsidRPr="002C5327">
        <w:rPr>
          <w:sz w:val="22"/>
          <w:szCs w:val="22"/>
        </w:rPr>
        <w:t>Modern data quality engineering in financial services closely resembles manufacturing quality processes. As described by O’Reilly (2021), manufacturing relies on strict control specifications, tolerance limits and repeated quality checks to ensure that the final product meets predefined standards. In the same way, financial data pipelines must apply Data Quality Specifications (DQS) to ensure that the data feeding analytical processes is complete, accurate, consistent, and conforms to expected structures.</w:t>
      </w:r>
      <w:r w:rsidR="0023590B" w:rsidRPr="002C5327">
        <w:rPr>
          <w:sz w:val="22"/>
          <w:szCs w:val="22"/>
        </w:rPr>
        <w:t xml:space="preserve"> </w:t>
      </w:r>
      <w:r w:rsidRPr="002C5327">
        <w:rPr>
          <w:sz w:val="22"/>
          <w:szCs w:val="22"/>
        </w:rPr>
        <w:t>In manufacturing, quality is assessed before the product is released to downstream consumers. Data engineering follows the same principle:</w:t>
      </w:r>
    </w:p>
    <w:p w14:paraId="5CD5E53B" w14:textId="5C0B72D5" w:rsidR="00EB6780" w:rsidRPr="002C5327" w:rsidRDefault="00742507">
      <w:pPr>
        <w:rPr>
          <w:sz w:val="22"/>
          <w:szCs w:val="22"/>
        </w:rPr>
      </w:pPr>
      <w:r w:rsidRPr="002C5327">
        <w:rPr>
          <w:sz w:val="22"/>
          <w:szCs w:val="22"/>
        </w:rPr>
        <w:t>“Data quality is assessed before the data is provisioned to downstream processes” (O’Reilly, 2021).</w:t>
      </w:r>
    </w:p>
    <w:p w14:paraId="1C9EB529" w14:textId="7A4C5012" w:rsidR="00ED0C0E" w:rsidRPr="002C5327" w:rsidRDefault="00ED0C0E" w:rsidP="00ED0C0E">
      <w:pPr>
        <w:rPr>
          <w:b/>
          <w:bCs/>
          <w:sz w:val="22"/>
          <w:szCs w:val="22"/>
        </w:rPr>
      </w:pPr>
      <w:r w:rsidRPr="002C5327">
        <w:rPr>
          <w:b/>
          <w:bCs/>
          <w:sz w:val="22"/>
          <w:szCs w:val="22"/>
        </w:rPr>
        <w:t>2.</w:t>
      </w:r>
      <w:r w:rsidR="003A6157">
        <w:rPr>
          <w:b/>
          <w:bCs/>
          <w:sz w:val="22"/>
          <w:szCs w:val="22"/>
        </w:rPr>
        <w:t>2</w:t>
      </w:r>
      <w:r w:rsidRPr="002C5327">
        <w:rPr>
          <w:b/>
          <w:bCs/>
          <w:sz w:val="22"/>
          <w:szCs w:val="22"/>
        </w:rPr>
        <w:t xml:space="preserve"> Loan Portfolio Performance Indicators in </w:t>
      </w:r>
      <w:r w:rsidR="00EA0B61" w:rsidRPr="002C5327">
        <w:rPr>
          <w:b/>
          <w:bCs/>
          <w:sz w:val="22"/>
          <w:szCs w:val="22"/>
        </w:rPr>
        <w:t>Literature</w:t>
      </w:r>
    </w:p>
    <w:p w14:paraId="0F98A091" w14:textId="77777777" w:rsidR="00ED0C0E" w:rsidRPr="002C5327" w:rsidRDefault="00ED0C0E" w:rsidP="00ED0C0E">
      <w:pPr>
        <w:rPr>
          <w:sz w:val="22"/>
          <w:szCs w:val="22"/>
        </w:rPr>
      </w:pPr>
      <w:r w:rsidRPr="002C5327">
        <w:rPr>
          <w:sz w:val="22"/>
          <w:szCs w:val="22"/>
        </w:rPr>
        <w:t>Loan-portfolio performance has been examined across a wide spectrum of empirical settings, including marketplace lending platforms, commercial banks and development-finance institutions. Despite differences in geography, regulatory environment and borrower characteristics, the literature consistently converges on a small set of indicators that capture the fundamental dimensions of portfolio quality. Recent studies continue to rely on the same indicators, confirming their enduring relevance in contemporary credit-risk analytics and their suitability for cross-contextual comparison.</w:t>
      </w:r>
    </w:p>
    <w:p w14:paraId="31B9785A" w14:textId="77777777" w:rsidR="006D78E4" w:rsidRDefault="00ED0C0E" w:rsidP="00ED0C0E">
      <w:pPr>
        <w:rPr>
          <w:sz w:val="22"/>
          <w:szCs w:val="22"/>
        </w:rPr>
      </w:pPr>
      <w:r w:rsidRPr="002C5327">
        <w:rPr>
          <w:sz w:val="22"/>
          <w:szCs w:val="22"/>
        </w:rPr>
        <w:t xml:space="preserve">A well-established line of research focuses on peer-to-peer lending platforms, where large publicly available datasets enable detailed analyses of borrower </w:t>
      </w:r>
      <w:r w:rsidR="00EA0B61" w:rsidRPr="002C5327">
        <w:rPr>
          <w:sz w:val="22"/>
          <w:szCs w:val="22"/>
        </w:rPr>
        <w:t>behavior</w:t>
      </w:r>
      <w:r w:rsidRPr="002C5327">
        <w:rPr>
          <w:sz w:val="22"/>
          <w:szCs w:val="22"/>
        </w:rPr>
        <w:t xml:space="preserve"> and loan performance. Using a comprehensive dataset from the Lending Club platform, Xia et al. (2019) </w:t>
      </w:r>
      <w:r w:rsidR="00EA0B61" w:rsidRPr="002C5327">
        <w:rPr>
          <w:sz w:val="22"/>
          <w:szCs w:val="22"/>
        </w:rPr>
        <w:t>examines</w:t>
      </w:r>
      <w:r w:rsidRPr="002C5327">
        <w:rPr>
          <w:sz w:val="22"/>
          <w:szCs w:val="22"/>
        </w:rPr>
        <w:t xml:space="preserve"> repayment outcomes across more than one million consumer loans. </w:t>
      </w:r>
    </w:p>
    <w:p w14:paraId="6D5496C4" w14:textId="28251593" w:rsidR="00ED0C0E" w:rsidRPr="002C5327" w:rsidRDefault="00ED0C0E" w:rsidP="00ED0C0E">
      <w:pPr>
        <w:rPr>
          <w:sz w:val="22"/>
          <w:szCs w:val="22"/>
        </w:rPr>
      </w:pPr>
      <w:r w:rsidRPr="002C5327">
        <w:rPr>
          <w:sz w:val="22"/>
          <w:szCs w:val="22"/>
        </w:rPr>
        <w:lastRenderedPageBreak/>
        <w:t xml:space="preserve">Their study relies primarily on the Default Rate, the Average Interest Rate and the distribution of loans across credit grades to assess portfolio dynamics. The authors find that higher contractual interest rates are consistently associated with elevated </w:t>
      </w:r>
      <w:r w:rsidR="00EA0B61" w:rsidRPr="002C5327">
        <w:rPr>
          <w:sz w:val="22"/>
          <w:szCs w:val="22"/>
        </w:rPr>
        <w:t>realized</w:t>
      </w:r>
      <w:r w:rsidRPr="002C5327">
        <w:rPr>
          <w:sz w:val="22"/>
          <w:szCs w:val="22"/>
        </w:rPr>
        <w:t xml:space="preserve"> default rates, and that shifts in the grade distribution toward lower-quality segments precede observable portfolio deterioration. Their results suggest that these KPIs jointly provide a coherent picture of portfolio risk and can serve as early indicators of worsening credit quality.</w:t>
      </w:r>
    </w:p>
    <w:p w14:paraId="6128D0F7" w14:textId="5157E4C9" w:rsidR="00ED0C0E" w:rsidRPr="002C5327" w:rsidRDefault="00ED0C0E" w:rsidP="00ED0C0E">
      <w:pPr>
        <w:rPr>
          <w:sz w:val="22"/>
          <w:szCs w:val="22"/>
        </w:rPr>
      </w:pPr>
      <w:r w:rsidRPr="002C5327">
        <w:rPr>
          <w:sz w:val="22"/>
          <w:szCs w:val="22"/>
        </w:rPr>
        <w:t xml:space="preserve">Different but complementary evidence is provided by research based on internal bank datasets. Altintaş and Küçükkocaoğlu (2016) </w:t>
      </w:r>
      <w:r w:rsidR="00EA0B61" w:rsidRPr="002C5327">
        <w:rPr>
          <w:sz w:val="22"/>
          <w:szCs w:val="22"/>
        </w:rPr>
        <w:t>analyze</w:t>
      </w:r>
      <w:r w:rsidRPr="002C5327">
        <w:rPr>
          <w:sz w:val="22"/>
          <w:szCs w:val="22"/>
        </w:rPr>
        <w:t xml:space="preserve"> a retail-loan portfolio from a Turkish commercial bank, incorporating borrower demographics, instalment </w:t>
      </w:r>
      <w:r w:rsidR="00EA0B61" w:rsidRPr="002C5327">
        <w:rPr>
          <w:sz w:val="22"/>
          <w:szCs w:val="22"/>
        </w:rPr>
        <w:t>behavior</w:t>
      </w:r>
      <w:r w:rsidRPr="002C5327">
        <w:rPr>
          <w:sz w:val="22"/>
          <w:szCs w:val="22"/>
        </w:rPr>
        <w:t xml:space="preserve">, exposure sizes and internal risk grades. Their analysis </w:t>
      </w:r>
      <w:r w:rsidR="00EA0B61" w:rsidRPr="002C5327">
        <w:rPr>
          <w:sz w:val="22"/>
          <w:szCs w:val="22"/>
        </w:rPr>
        <w:t>centers</w:t>
      </w:r>
      <w:r w:rsidRPr="002C5327">
        <w:rPr>
          <w:sz w:val="22"/>
          <w:szCs w:val="22"/>
        </w:rPr>
        <w:t xml:space="preserve"> on Default Rate, Average Loan Amount and Portfolio Growth. They document that periods of accelerated credit expansion are followed by substantial increases in default rates, even when interest rates remain stable. Unlike studies of marketplace lending, which </w:t>
      </w:r>
      <w:r w:rsidR="00EA0B61" w:rsidRPr="002C5327">
        <w:rPr>
          <w:sz w:val="22"/>
          <w:szCs w:val="22"/>
        </w:rPr>
        <w:t>emphasize</w:t>
      </w:r>
      <w:r w:rsidRPr="002C5327">
        <w:rPr>
          <w:sz w:val="22"/>
          <w:szCs w:val="22"/>
        </w:rPr>
        <w:t xml:space="preserve"> the pricing–risk relationship, this bank-based analysis highlights the predictive value of loan-size metrics and portfolio growth as indicators of future deterioration. Despite these contextual differences, the findings reinforce the central role of Default Rate and exposure-related indicators.</w:t>
      </w:r>
    </w:p>
    <w:p w14:paraId="75E585FE" w14:textId="77777777" w:rsidR="00ED0C0E" w:rsidRPr="002C5327" w:rsidRDefault="00ED0C0E" w:rsidP="00ED0C0E">
      <w:pPr>
        <w:rPr>
          <w:sz w:val="22"/>
          <w:szCs w:val="22"/>
        </w:rPr>
      </w:pPr>
      <w:r w:rsidRPr="002C5327">
        <w:rPr>
          <w:sz w:val="22"/>
          <w:szCs w:val="22"/>
        </w:rPr>
        <w:t>A third perspective emerges from institutional and development-finance environments. Drawing on multi-country datasets from microfinance institutions, the International Finance Corporation (2024) evaluates portfolio performance using Default Rate, the distribution of loans across internal credit grades and the Average Loan Amount. The report shows that portfolios concentrated in lower-grade exposures exhibit significantly higher default rates, largely independent of average pricing structures. These results, obtained in emerging-market contexts with distinct regulatory and borrower characteristics, demonstrate that the same KPIs used in marketplace and commercial-bank studies are equally effective in capturing credit-risk dynamics in development finance.</w:t>
      </w:r>
    </w:p>
    <w:p w14:paraId="5CC6FF92" w14:textId="326D358D" w:rsidR="0072483E" w:rsidRPr="002C5327" w:rsidRDefault="00ED0C0E" w:rsidP="00EB6780">
      <w:pPr>
        <w:rPr>
          <w:sz w:val="22"/>
          <w:szCs w:val="22"/>
        </w:rPr>
      </w:pPr>
      <w:r w:rsidRPr="002C5327">
        <w:rPr>
          <w:sz w:val="22"/>
          <w:szCs w:val="22"/>
        </w:rPr>
        <w:t xml:space="preserve">Taken together, these studies illustrate a consistent pattern in the literature: regardless of the data source—peer-to-peer platforms, retail banks or microfinance institutions—empirical analyses rely on a common set of indicators that </w:t>
      </w:r>
      <w:r w:rsidR="00EA0B61" w:rsidRPr="002C5327">
        <w:rPr>
          <w:sz w:val="22"/>
          <w:szCs w:val="22"/>
        </w:rPr>
        <w:t>summarize</w:t>
      </w:r>
      <w:r w:rsidRPr="002C5327">
        <w:rPr>
          <w:sz w:val="22"/>
          <w:szCs w:val="22"/>
        </w:rPr>
        <w:t xml:space="preserve"> the pricing, exposure and risk characteristics of loan portfolios. The repeated use of Default Rate, Average Interest Rate, Average Loan Amount, Portfolio Growth and credit-grade distributions across heterogeneous datasets strengthens the case for adopting these KPIs as the core analytical framework for the present thesis.</w:t>
      </w:r>
    </w:p>
    <w:p w14:paraId="17779840" w14:textId="51BC7F56" w:rsidR="007B2DE3" w:rsidRPr="002C5327" w:rsidRDefault="007B2DE3" w:rsidP="007B2DE3">
      <w:pPr>
        <w:rPr>
          <w:b/>
          <w:bCs/>
          <w:sz w:val="22"/>
          <w:szCs w:val="22"/>
        </w:rPr>
      </w:pPr>
      <w:r w:rsidRPr="002C5327">
        <w:rPr>
          <w:b/>
          <w:bCs/>
          <w:sz w:val="22"/>
          <w:szCs w:val="22"/>
        </w:rPr>
        <w:t>2.</w:t>
      </w:r>
      <w:r w:rsidR="003A6157">
        <w:rPr>
          <w:b/>
          <w:bCs/>
          <w:sz w:val="22"/>
          <w:szCs w:val="22"/>
        </w:rPr>
        <w:t>3</w:t>
      </w:r>
      <w:r w:rsidRPr="002C5327">
        <w:rPr>
          <w:b/>
          <w:bCs/>
          <w:sz w:val="22"/>
          <w:szCs w:val="22"/>
        </w:rPr>
        <w:t xml:space="preserve"> Required Loan Data Fields for KPI Computation</w:t>
      </w:r>
    </w:p>
    <w:p w14:paraId="62187B02" w14:textId="437E5E84" w:rsidR="007B2DE3" w:rsidRPr="002C5327" w:rsidRDefault="007B2DE3" w:rsidP="007B2DE3">
      <w:pPr>
        <w:rPr>
          <w:sz w:val="22"/>
          <w:szCs w:val="22"/>
        </w:rPr>
      </w:pPr>
      <w:r w:rsidRPr="002C5327">
        <w:rPr>
          <w:sz w:val="22"/>
          <w:szCs w:val="22"/>
        </w:rPr>
        <w:t xml:space="preserve">The computation of loan-portfolio performance indicators relies on the availability of a minimum, well-defined set of loan-level data attributes. Although the structure of loan datasets varies across empirical studies and institutional environments, both academic literature and supervisory frameworks converge on a consistent set of contractual and performance-related variables that are essential for capturing portfolio </w:t>
      </w:r>
      <w:r w:rsidR="00EA0B61" w:rsidRPr="002C5327">
        <w:rPr>
          <w:sz w:val="22"/>
          <w:szCs w:val="22"/>
        </w:rPr>
        <w:t>behavior</w:t>
      </w:r>
      <w:r w:rsidRPr="002C5327">
        <w:rPr>
          <w:sz w:val="22"/>
          <w:szCs w:val="22"/>
        </w:rPr>
        <w:t xml:space="preserve">. Regulatory sources provide particularly clear definitions of the attributes required for risk measurement, thereby offering a </w:t>
      </w:r>
      <w:r w:rsidRPr="002C5327">
        <w:rPr>
          <w:sz w:val="22"/>
          <w:szCs w:val="22"/>
        </w:rPr>
        <w:lastRenderedPageBreak/>
        <w:t>formal foundation for identifying the data fields necessary for calculating the five KPIs adopted in this thesis.</w:t>
      </w:r>
    </w:p>
    <w:p w14:paraId="6033D890" w14:textId="77777777" w:rsidR="007B2DE3" w:rsidRPr="002C5327" w:rsidRDefault="007B2DE3" w:rsidP="007B2DE3">
      <w:pPr>
        <w:rPr>
          <w:sz w:val="22"/>
          <w:szCs w:val="22"/>
        </w:rPr>
      </w:pPr>
      <w:r w:rsidRPr="002C5327">
        <w:rPr>
          <w:sz w:val="22"/>
          <w:szCs w:val="22"/>
        </w:rPr>
        <w:t>A central reference point is the European Banking Authority’s Guidelines on loan origination and monitoring, which explicitly require institutions to maintain comprehensive information on each loan’s contractual characteristics—such as the origination amount, maturity, applicable interest rate, collateral terms and borrower attributes—as well as detailed performance indicators, including arrears levels, days past due and the classification of loans into performing and non-performing categories (EBA, 2020). These requirements directly align with the data elements used in empirical credit-risk studies, where exposure amounts and contractual interest rates enable the computation of Average Loan Amount and Average Interest Rate, while performance information forms the basis for Default Rate and credit-grade distributions.</w:t>
      </w:r>
    </w:p>
    <w:p w14:paraId="4007E82D" w14:textId="3DED8AF0" w:rsidR="007B2DE3" w:rsidRPr="002C5327" w:rsidRDefault="007B2DE3" w:rsidP="007B2DE3">
      <w:pPr>
        <w:rPr>
          <w:sz w:val="22"/>
          <w:szCs w:val="22"/>
        </w:rPr>
      </w:pPr>
      <w:r w:rsidRPr="002C5327">
        <w:rPr>
          <w:sz w:val="22"/>
          <w:szCs w:val="22"/>
        </w:rPr>
        <w:t xml:space="preserve">The same level of granularity appears in the European Central Bank’s analytical credit datasets. The AnaCredit Regulation establishes a </w:t>
      </w:r>
      <w:r w:rsidR="00EA0B61" w:rsidRPr="002C5327">
        <w:rPr>
          <w:sz w:val="22"/>
          <w:szCs w:val="22"/>
        </w:rPr>
        <w:t>harmonized</w:t>
      </w:r>
      <w:r w:rsidRPr="002C5327">
        <w:rPr>
          <w:sz w:val="22"/>
          <w:szCs w:val="22"/>
        </w:rPr>
        <w:t xml:space="preserve"> loan-by-loan reporting framework for euro-area institutions, specifying more than ninety mandatory data attributes (European Central Bank, 2016). The accompanying methodological documentation provides detailed definitions for each attribute, including the origination amount, outstanding nominal value, contractual interest rate, maturity date, borrower sector and residency, credit rating information and performance indicators such as past-due status and default events (European Central Bank, 2019). These elements collectively form a data structure that is directly suitable for computing Default Rate, Portfolio Growth and credit-grade distributions, and they parallel the variables commonly used in research on marketplace and bank-based lending.</w:t>
      </w:r>
    </w:p>
    <w:p w14:paraId="0A62D45A" w14:textId="3F7C2780" w:rsidR="007B2DE3" w:rsidRPr="002C5327" w:rsidRDefault="007B2DE3" w:rsidP="007B2DE3">
      <w:pPr>
        <w:rPr>
          <w:sz w:val="22"/>
          <w:szCs w:val="22"/>
        </w:rPr>
      </w:pPr>
      <w:r w:rsidRPr="002C5327">
        <w:rPr>
          <w:sz w:val="22"/>
          <w:szCs w:val="22"/>
        </w:rPr>
        <w:t xml:space="preserve">Further reinforcement comes from supervisory expectations for internal models. The ECB’s guide on the Targeted Review of Internal Models </w:t>
      </w:r>
      <w:r w:rsidR="00EA0B61" w:rsidRPr="002C5327">
        <w:rPr>
          <w:sz w:val="22"/>
          <w:szCs w:val="22"/>
        </w:rPr>
        <w:t>emphasizes</w:t>
      </w:r>
      <w:r w:rsidRPr="002C5327">
        <w:rPr>
          <w:sz w:val="22"/>
          <w:szCs w:val="22"/>
        </w:rPr>
        <w:t xml:space="preserve"> that institutions must maintain granular historical data on loan-status transitions, delinquency patterns and repayment </w:t>
      </w:r>
      <w:r w:rsidR="00EA0B61" w:rsidRPr="002C5327">
        <w:rPr>
          <w:sz w:val="22"/>
          <w:szCs w:val="22"/>
        </w:rPr>
        <w:t>behavior</w:t>
      </w:r>
      <w:r w:rsidRPr="002C5327">
        <w:rPr>
          <w:sz w:val="22"/>
          <w:szCs w:val="22"/>
        </w:rPr>
        <w:t xml:space="preserve"> </w:t>
      </w:r>
      <w:r w:rsidR="00EA0B61" w:rsidRPr="002C5327">
        <w:rPr>
          <w:sz w:val="22"/>
          <w:szCs w:val="22"/>
        </w:rPr>
        <w:t>to</w:t>
      </w:r>
      <w:r w:rsidRPr="002C5327">
        <w:rPr>
          <w:sz w:val="22"/>
          <w:szCs w:val="22"/>
        </w:rPr>
        <w:t xml:space="preserve"> support the estimation of risk parameters such as probability of default (PD) and loss given default (LGD) (European Central Bank, 2017). </w:t>
      </w:r>
      <w:r w:rsidR="00C76EC9" w:rsidRPr="00C76EC9">
        <w:rPr>
          <w:sz w:val="22"/>
          <w:szCs w:val="22"/>
        </w:rPr>
        <w:t>While the ECB’s guidance is formulated in the context of internal risk models, the data foundations it prescribes are equally applicable to portfolio-level KPI computation. Loan portfolio KPIs represent realized performance outcomes of credit exposures and therefore rely on the same loan-level historical information—status transitions, delinquency measures and repayment behavior—that underpins PD and LGD estimation. As a result, supervisory data requirements for risk modelling provide a rigorous and directly relevant benchmark for defining the input data necessary for reliable KPI computation</w:t>
      </w:r>
      <w:r w:rsidRPr="002C5327">
        <w:rPr>
          <w:sz w:val="22"/>
          <w:szCs w:val="22"/>
        </w:rPr>
        <w:t>.</w:t>
      </w:r>
    </w:p>
    <w:p w14:paraId="47047186" w14:textId="650C3631" w:rsidR="007B2DE3" w:rsidRPr="002C5327" w:rsidRDefault="007B2DE3" w:rsidP="00EB6780">
      <w:pPr>
        <w:rPr>
          <w:sz w:val="22"/>
          <w:szCs w:val="22"/>
        </w:rPr>
      </w:pPr>
      <w:r w:rsidRPr="002C5327">
        <w:rPr>
          <w:sz w:val="22"/>
          <w:szCs w:val="22"/>
        </w:rPr>
        <w:t xml:space="preserve">The convergence of these regulatory definitions with empirical practice demonstrates that a clear and widely accepted data structure underpins the computation of loan-portfolio KPIs. Contractual attributes such as loan amount, interest rate, term and origination date determine the calculation of exposure- and pricing-related indicators, while performance attributes—loan status, arrears measures and default classifications—are indispensable for quantifying </w:t>
      </w:r>
      <w:r w:rsidR="00EA0B61" w:rsidRPr="002C5327">
        <w:rPr>
          <w:sz w:val="22"/>
          <w:szCs w:val="22"/>
        </w:rPr>
        <w:t>realized</w:t>
      </w:r>
      <w:r w:rsidRPr="002C5327">
        <w:rPr>
          <w:sz w:val="22"/>
          <w:szCs w:val="22"/>
        </w:rPr>
        <w:t xml:space="preserve"> risk. Credit-grade information, whether internal or externally mapped, enables the construction of grade distributions, and origination-volume data supply the basis for measuring portfolio </w:t>
      </w:r>
      <w:r w:rsidRPr="002C5327">
        <w:rPr>
          <w:sz w:val="22"/>
          <w:szCs w:val="22"/>
        </w:rPr>
        <w:lastRenderedPageBreak/>
        <w:t xml:space="preserve">growth. Together, these sources confirm that these fields form the essential input layer for any rigorous analysis of loan-portfolio </w:t>
      </w:r>
      <w:r w:rsidR="00EA0B61" w:rsidRPr="002C5327">
        <w:rPr>
          <w:sz w:val="22"/>
          <w:szCs w:val="22"/>
        </w:rPr>
        <w:t>behavior</w:t>
      </w:r>
      <w:r w:rsidRPr="002C5327">
        <w:rPr>
          <w:sz w:val="22"/>
          <w:szCs w:val="22"/>
        </w:rPr>
        <w:t>.</w:t>
      </w:r>
    </w:p>
    <w:p w14:paraId="206C5A10" w14:textId="61030BB7" w:rsidR="008B52A1" w:rsidRPr="002C5327" w:rsidRDefault="008B52A1" w:rsidP="008B52A1">
      <w:pPr>
        <w:rPr>
          <w:b/>
          <w:bCs/>
          <w:sz w:val="22"/>
          <w:szCs w:val="22"/>
        </w:rPr>
      </w:pPr>
      <w:r w:rsidRPr="002C5327">
        <w:rPr>
          <w:b/>
          <w:bCs/>
          <w:sz w:val="22"/>
          <w:szCs w:val="22"/>
        </w:rPr>
        <w:t>2.</w:t>
      </w:r>
      <w:r w:rsidR="003A6157">
        <w:rPr>
          <w:b/>
          <w:bCs/>
          <w:sz w:val="22"/>
          <w:szCs w:val="22"/>
        </w:rPr>
        <w:t>4</w:t>
      </w:r>
      <w:r w:rsidRPr="002C5327">
        <w:rPr>
          <w:b/>
          <w:bCs/>
          <w:sz w:val="22"/>
          <w:szCs w:val="22"/>
        </w:rPr>
        <w:t xml:space="preserve"> Data Quality Requirements for Reliable KPI Computation</w:t>
      </w:r>
    </w:p>
    <w:p w14:paraId="77C7D314" w14:textId="0F2E1352" w:rsidR="008B52A1" w:rsidRPr="002C5327" w:rsidRDefault="008B52A1" w:rsidP="008B52A1">
      <w:pPr>
        <w:rPr>
          <w:sz w:val="22"/>
          <w:szCs w:val="22"/>
        </w:rPr>
      </w:pPr>
      <w:r w:rsidRPr="002C5327">
        <w:rPr>
          <w:sz w:val="22"/>
          <w:szCs w:val="22"/>
        </w:rPr>
        <w:t xml:space="preserve">The reliability of loan-portfolio performance indicators depends critically on the quality of the underlying data. Even when the necessary contractual and performance attributes are available, the validity of KPIs such as Default Rate, Average Interest Rate or Portfolio Growth is entirely contingent on whether these attributes are accurate, complete, timely and consistently defined. Both academic work and supervisory standards explicitly </w:t>
      </w:r>
      <w:r w:rsidR="00EA0B61" w:rsidRPr="002C5327">
        <w:rPr>
          <w:sz w:val="22"/>
          <w:szCs w:val="22"/>
        </w:rPr>
        <w:t>recognize</w:t>
      </w:r>
      <w:r w:rsidRPr="002C5327">
        <w:rPr>
          <w:sz w:val="22"/>
          <w:szCs w:val="22"/>
        </w:rPr>
        <w:t xml:space="preserve"> that analytical outputs derived from poor-quality data are not only imprecise but potentially misleading, particularly in credit-risk contexts where portfolio dynamics evolve rapidly.</w:t>
      </w:r>
    </w:p>
    <w:p w14:paraId="47F99A1B" w14:textId="77777777" w:rsidR="008B52A1" w:rsidRPr="002C5327" w:rsidRDefault="008B52A1" w:rsidP="008B52A1">
      <w:pPr>
        <w:rPr>
          <w:sz w:val="22"/>
          <w:szCs w:val="22"/>
        </w:rPr>
      </w:pPr>
      <w:r w:rsidRPr="002C5327">
        <w:rPr>
          <w:sz w:val="22"/>
          <w:szCs w:val="22"/>
        </w:rPr>
        <w:t>Empirical research in credit-risk analytics demonstrates that even minor inconsistencies in loan-status recording can distort measured default rates. Studies of marketplace lending platforms report that delays in updating borrower performance or missing delinquency timestamps can lead to underestimation of default levels and weaken the predictive value of the indicators derived from them. Similar issues arise in bank-level datasets, where incomplete contractual information—such as missing exposure amounts, misreported interest rates or inconsistent origination dates—can materially affect pricing and exposure-related KPIs. These findings highlight that KPIs are sensitive to the presence of missing, inconsistent or inaccurate values, and that their reliability therefore depends directly on the robustness of the data pipeline supporting them.</w:t>
      </w:r>
    </w:p>
    <w:p w14:paraId="4D99D0C1" w14:textId="22652235" w:rsidR="008B52A1" w:rsidRPr="002C5327" w:rsidRDefault="008B52A1" w:rsidP="008B52A1">
      <w:pPr>
        <w:rPr>
          <w:sz w:val="22"/>
          <w:szCs w:val="22"/>
        </w:rPr>
      </w:pPr>
      <w:r w:rsidRPr="002C5327">
        <w:rPr>
          <w:sz w:val="22"/>
          <w:szCs w:val="22"/>
        </w:rPr>
        <w:t xml:space="preserve">Supervisory authorities articulate this dependency with </w:t>
      </w:r>
      <w:r w:rsidR="00EA0B61" w:rsidRPr="002C5327">
        <w:rPr>
          <w:sz w:val="22"/>
          <w:szCs w:val="22"/>
        </w:rPr>
        <w:t>clarity</w:t>
      </w:r>
      <w:r w:rsidRPr="002C5327">
        <w:rPr>
          <w:sz w:val="22"/>
          <w:szCs w:val="22"/>
        </w:rPr>
        <w:t xml:space="preserve">. The Basel Committee’s framework on risk-data aggregation establishes that data used for risk measurement must satisfy explicit standards of accuracy, completeness and timeliness, and must be governed by processes ensuring consistency and traceability throughout the data lifecycle (Basel Committee on Banking Supervision, 2013). These principles apply directly to the computation of loan-portfolio KPIs, which </w:t>
      </w:r>
      <w:r w:rsidR="00EA0B61" w:rsidRPr="002C5327">
        <w:rPr>
          <w:sz w:val="22"/>
          <w:szCs w:val="22"/>
        </w:rPr>
        <w:t>relies</w:t>
      </w:r>
      <w:r w:rsidRPr="002C5327">
        <w:rPr>
          <w:sz w:val="22"/>
          <w:szCs w:val="22"/>
        </w:rPr>
        <w:t xml:space="preserve"> on the same underlying data elements used for risk aggregation. If exposure amounts, arrears measures or default events are not recorded precisely and consistently, the indicators extracted from them cannot be considered reliable.</w:t>
      </w:r>
    </w:p>
    <w:p w14:paraId="20EA58E0" w14:textId="1CF046A7" w:rsidR="008B52A1" w:rsidRPr="002C5327" w:rsidRDefault="008B52A1" w:rsidP="008B52A1">
      <w:pPr>
        <w:rPr>
          <w:sz w:val="22"/>
          <w:szCs w:val="22"/>
        </w:rPr>
      </w:pPr>
      <w:r w:rsidRPr="002C5327">
        <w:rPr>
          <w:sz w:val="22"/>
          <w:szCs w:val="22"/>
        </w:rPr>
        <w:t xml:space="preserve">European supervisory expectations reinforce this view. The European Central Bank’s Targeted Review of Internal Models (TRIM) </w:t>
      </w:r>
      <w:r w:rsidR="00EA0B61" w:rsidRPr="002C5327">
        <w:rPr>
          <w:sz w:val="22"/>
          <w:szCs w:val="22"/>
        </w:rPr>
        <w:t>emphasizes</w:t>
      </w:r>
      <w:r w:rsidRPr="002C5327">
        <w:rPr>
          <w:sz w:val="22"/>
          <w:szCs w:val="22"/>
        </w:rPr>
        <w:t xml:space="preserve"> that institutions must maintain granular historical data on repayment </w:t>
      </w:r>
      <w:r w:rsidR="00EA0B61" w:rsidRPr="002C5327">
        <w:rPr>
          <w:sz w:val="22"/>
          <w:szCs w:val="22"/>
        </w:rPr>
        <w:t>behavior</w:t>
      </w:r>
      <w:r w:rsidRPr="002C5327">
        <w:rPr>
          <w:sz w:val="22"/>
          <w:szCs w:val="22"/>
        </w:rPr>
        <w:t xml:space="preserve">, delinquency patterns and status transitions </w:t>
      </w:r>
      <w:r w:rsidR="001003DF" w:rsidRPr="002C5327">
        <w:rPr>
          <w:sz w:val="22"/>
          <w:szCs w:val="22"/>
        </w:rPr>
        <w:t>to</w:t>
      </w:r>
      <w:r w:rsidRPr="002C5327">
        <w:rPr>
          <w:sz w:val="22"/>
          <w:szCs w:val="22"/>
        </w:rPr>
        <w:t xml:space="preserve"> ensure the accuracy of probability-of-default and loss-given-default estimates (European Central Bank, 2017). Although designed for internal-model validation rather than KPI production, these requirements point to the broader principle that reliable credit analytics require consistently defined and historically traceable performance data. The more recent supervisory guide issued under the Single Supervisory Mechanism similarly stresses the importance of timely updates and consistent application of definitions when recording loan-status changes, arguing that stale or inconsistent information undermines the credibility of any downstream indicators (European Central Bank, 2025).</w:t>
      </w:r>
    </w:p>
    <w:p w14:paraId="6B88979E" w14:textId="77777777" w:rsidR="00350E04" w:rsidRDefault="008B52A1" w:rsidP="008B52A1">
      <w:pPr>
        <w:rPr>
          <w:sz w:val="22"/>
          <w:szCs w:val="22"/>
          <w:lang w:val="el-GR"/>
        </w:rPr>
      </w:pPr>
      <w:r w:rsidRPr="002C5327">
        <w:rPr>
          <w:sz w:val="22"/>
          <w:szCs w:val="22"/>
        </w:rPr>
        <w:lastRenderedPageBreak/>
        <w:t xml:space="preserve">Regulatory guidance on loan origination and monitoring further underlines the importance of documenting data transformations and ensuring the integrity of processing stages. </w:t>
      </w:r>
    </w:p>
    <w:p w14:paraId="59605E44" w14:textId="4FD9A480" w:rsidR="008B52A1" w:rsidRPr="002C5327" w:rsidRDefault="008B52A1" w:rsidP="008B52A1">
      <w:pPr>
        <w:rPr>
          <w:sz w:val="22"/>
          <w:szCs w:val="22"/>
        </w:rPr>
      </w:pPr>
      <w:r w:rsidRPr="002C5327">
        <w:rPr>
          <w:sz w:val="22"/>
          <w:szCs w:val="22"/>
        </w:rPr>
        <w:t>According to the EBA’s framework, institutions must maintain clear data lineage, validate the completeness of loan records and ensure that any cleansing or transformation steps are applied in a controlled, well-governed environment (EBA, 2020). In analytical terms, this requirement ensures that the values used to compute KPIs reflect the true underlying portfolio rather than artefacts of undocumented manual interventions or inconsistent transformation logic.</w:t>
      </w:r>
    </w:p>
    <w:p w14:paraId="610D4F30" w14:textId="14E51D88" w:rsidR="008B52A1" w:rsidRPr="002C5327" w:rsidRDefault="008B52A1" w:rsidP="008B52A1">
      <w:pPr>
        <w:rPr>
          <w:sz w:val="22"/>
          <w:szCs w:val="22"/>
        </w:rPr>
      </w:pPr>
      <w:r w:rsidRPr="002C5327">
        <w:rPr>
          <w:sz w:val="22"/>
          <w:szCs w:val="22"/>
        </w:rPr>
        <w:t xml:space="preserve">Industry-level perspectives provide a complementary dimension. Data-quality frameworks </w:t>
      </w:r>
      <w:r w:rsidR="00EA0B61" w:rsidRPr="002C5327">
        <w:rPr>
          <w:sz w:val="22"/>
          <w:szCs w:val="22"/>
        </w:rPr>
        <w:t>emphasize</w:t>
      </w:r>
      <w:r w:rsidRPr="002C5327">
        <w:rPr>
          <w:sz w:val="22"/>
          <w:szCs w:val="22"/>
        </w:rPr>
        <w:t xml:space="preserve"> that accuracy, completeness, timeliness, consistency and data lineage form the core dimensions necessary for reliable analytical outputs. These frameworks also demonstrate that reproducibility and auditability—ensuring that the same input data under the same processing logic always produce identical KPI values—are central to the credibility of data-driven decision-making (Dehghani &amp; Schütt, 2021). The relevance of these principles to loan-portfolio KPIs is immediate: indicators of credit performance are only as trustworthy as the data environment that generates them.</w:t>
      </w:r>
    </w:p>
    <w:p w14:paraId="56A3C146" w14:textId="293888B9" w:rsidR="008B52A1" w:rsidRPr="00C76EC9" w:rsidRDefault="008B52A1" w:rsidP="008B52A1">
      <w:pPr>
        <w:rPr>
          <w:sz w:val="22"/>
          <w:szCs w:val="22"/>
          <w:lang w:val="el-GR"/>
        </w:rPr>
      </w:pPr>
      <w:r w:rsidRPr="002C5327">
        <w:rPr>
          <w:sz w:val="22"/>
          <w:szCs w:val="22"/>
        </w:rPr>
        <w:t xml:space="preserve">Taken together, these sources show that the reliability of loan-portfolio KPIs requires far more than the mere presence of contractual and performance attributes. Accurate measurement depends on whether these attributes are captured with precision, updated promptly, defined consistently across reporting periods and processed within a transparent, governed pipeline. These conditions—well established in both supervisory frameworks and the wider data-quality literature—provide the basis for the data-engineering architecture implemented in this thesis, ensuring that the computed KPIs reflect the genuine </w:t>
      </w:r>
      <w:r w:rsidR="00F66613" w:rsidRPr="002C5327">
        <w:rPr>
          <w:sz w:val="22"/>
          <w:szCs w:val="22"/>
        </w:rPr>
        <w:t>behavior</w:t>
      </w:r>
      <w:r w:rsidRPr="002C5327">
        <w:rPr>
          <w:sz w:val="22"/>
          <w:szCs w:val="22"/>
        </w:rPr>
        <w:t xml:space="preserve"> of the portfolio.</w:t>
      </w:r>
    </w:p>
    <w:p w14:paraId="0DC6DE1B" w14:textId="77777777" w:rsidR="008B52A1" w:rsidRPr="002C5327" w:rsidRDefault="008B52A1" w:rsidP="00EB6780">
      <w:pPr>
        <w:rPr>
          <w:sz w:val="22"/>
          <w:szCs w:val="22"/>
        </w:rPr>
      </w:pPr>
    </w:p>
    <w:p w14:paraId="1179E007" w14:textId="4D217A7C" w:rsidR="000A47ED" w:rsidRPr="002C5327" w:rsidRDefault="00742507" w:rsidP="00F235D9">
      <w:pPr>
        <w:rPr>
          <w:sz w:val="22"/>
          <w:szCs w:val="22"/>
        </w:rPr>
      </w:pPr>
      <w:r w:rsidRPr="002C5327">
        <w:rPr>
          <w:sz w:val="22"/>
          <w:szCs w:val="22"/>
        </w:rPr>
        <w:br/>
      </w:r>
    </w:p>
    <w:p w14:paraId="2F0A17F9" w14:textId="77777777" w:rsidR="00F235D9" w:rsidRPr="002C5327" w:rsidRDefault="00F235D9">
      <w:pPr>
        <w:rPr>
          <w:sz w:val="22"/>
          <w:szCs w:val="22"/>
        </w:rPr>
      </w:pPr>
    </w:p>
    <w:p w14:paraId="655E6399" w14:textId="77777777" w:rsidR="00175FA1" w:rsidRPr="002C5327" w:rsidRDefault="00175FA1"/>
    <w:sectPr w:rsidR="00175FA1" w:rsidRPr="002C532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473F1"/>
    <w:multiLevelType w:val="multilevel"/>
    <w:tmpl w:val="6D7E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971953"/>
    <w:multiLevelType w:val="multilevel"/>
    <w:tmpl w:val="8650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637A85"/>
    <w:multiLevelType w:val="multilevel"/>
    <w:tmpl w:val="48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47609D"/>
    <w:multiLevelType w:val="multilevel"/>
    <w:tmpl w:val="585A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BD158B"/>
    <w:multiLevelType w:val="multilevel"/>
    <w:tmpl w:val="5B34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3F1317"/>
    <w:multiLevelType w:val="multilevel"/>
    <w:tmpl w:val="10C2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8593276">
    <w:abstractNumId w:val="3"/>
  </w:num>
  <w:num w:numId="2" w16cid:durableId="563299721">
    <w:abstractNumId w:val="0"/>
  </w:num>
  <w:num w:numId="3" w16cid:durableId="729887964">
    <w:abstractNumId w:val="4"/>
  </w:num>
  <w:num w:numId="4" w16cid:durableId="135533554">
    <w:abstractNumId w:val="1"/>
  </w:num>
  <w:num w:numId="5" w16cid:durableId="1784380265">
    <w:abstractNumId w:val="5"/>
  </w:num>
  <w:num w:numId="6" w16cid:durableId="9613767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958"/>
    <w:rsid w:val="00010AF5"/>
    <w:rsid w:val="000421C9"/>
    <w:rsid w:val="0008603E"/>
    <w:rsid w:val="000A47ED"/>
    <w:rsid w:val="000F00C4"/>
    <w:rsid w:val="000F5BBF"/>
    <w:rsid w:val="001003DF"/>
    <w:rsid w:val="001022ED"/>
    <w:rsid w:val="00135CA4"/>
    <w:rsid w:val="00142FB1"/>
    <w:rsid w:val="0014788D"/>
    <w:rsid w:val="00156A88"/>
    <w:rsid w:val="00175FA1"/>
    <w:rsid w:val="001916FE"/>
    <w:rsid w:val="001C6026"/>
    <w:rsid w:val="0023590B"/>
    <w:rsid w:val="00276EF3"/>
    <w:rsid w:val="002B5B63"/>
    <w:rsid w:val="002C5327"/>
    <w:rsid w:val="00323B86"/>
    <w:rsid w:val="00350E04"/>
    <w:rsid w:val="00384FB1"/>
    <w:rsid w:val="003A31E4"/>
    <w:rsid w:val="003A6157"/>
    <w:rsid w:val="003F4AE6"/>
    <w:rsid w:val="003F68FF"/>
    <w:rsid w:val="00433DAA"/>
    <w:rsid w:val="004674D7"/>
    <w:rsid w:val="00482B90"/>
    <w:rsid w:val="004A6630"/>
    <w:rsid w:val="004C0CED"/>
    <w:rsid w:val="004F79BC"/>
    <w:rsid w:val="005477D6"/>
    <w:rsid w:val="005B1200"/>
    <w:rsid w:val="00602A5F"/>
    <w:rsid w:val="00620D01"/>
    <w:rsid w:val="00622BBB"/>
    <w:rsid w:val="00650534"/>
    <w:rsid w:val="006653AC"/>
    <w:rsid w:val="00692C14"/>
    <w:rsid w:val="006D78E4"/>
    <w:rsid w:val="0072483E"/>
    <w:rsid w:val="00742507"/>
    <w:rsid w:val="00760958"/>
    <w:rsid w:val="00796F0C"/>
    <w:rsid w:val="007B2DE3"/>
    <w:rsid w:val="007B71F2"/>
    <w:rsid w:val="007E2318"/>
    <w:rsid w:val="00822944"/>
    <w:rsid w:val="008311F2"/>
    <w:rsid w:val="00831A85"/>
    <w:rsid w:val="0088162E"/>
    <w:rsid w:val="00882838"/>
    <w:rsid w:val="008A482A"/>
    <w:rsid w:val="008B52A1"/>
    <w:rsid w:val="008E7F0F"/>
    <w:rsid w:val="008F7274"/>
    <w:rsid w:val="00923053"/>
    <w:rsid w:val="00927EC1"/>
    <w:rsid w:val="00951834"/>
    <w:rsid w:val="00964348"/>
    <w:rsid w:val="00A2283B"/>
    <w:rsid w:val="00A52455"/>
    <w:rsid w:val="00A96688"/>
    <w:rsid w:val="00B17421"/>
    <w:rsid w:val="00BE4866"/>
    <w:rsid w:val="00BF42B0"/>
    <w:rsid w:val="00C641BF"/>
    <w:rsid w:val="00C76EC9"/>
    <w:rsid w:val="00C90215"/>
    <w:rsid w:val="00CC59C2"/>
    <w:rsid w:val="00CD7951"/>
    <w:rsid w:val="00D1621E"/>
    <w:rsid w:val="00D418A6"/>
    <w:rsid w:val="00D821E2"/>
    <w:rsid w:val="00DB1E26"/>
    <w:rsid w:val="00DB79D8"/>
    <w:rsid w:val="00E317F5"/>
    <w:rsid w:val="00E72F77"/>
    <w:rsid w:val="00EA0B61"/>
    <w:rsid w:val="00EB6780"/>
    <w:rsid w:val="00ED0C0E"/>
    <w:rsid w:val="00F12CB3"/>
    <w:rsid w:val="00F235D9"/>
    <w:rsid w:val="00F66613"/>
    <w:rsid w:val="00F679D8"/>
    <w:rsid w:val="00FA2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C88FB"/>
  <w15:chartTrackingRefBased/>
  <w15:docId w15:val="{E7B099FC-9091-46D6-A265-4D64D09BF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00C4"/>
  </w:style>
  <w:style w:type="paragraph" w:styleId="Heading1">
    <w:name w:val="heading 1"/>
    <w:basedOn w:val="Normal"/>
    <w:next w:val="Normal"/>
    <w:link w:val="Heading1Char"/>
    <w:uiPriority w:val="9"/>
    <w:qFormat/>
    <w:rsid w:val="000F00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0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0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0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0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0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0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0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0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0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0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0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0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0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0C4"/>
    <w:rPr>
      <w:rFonts w:eastAsiaTheme="majorEastAsia" w:cstheme="majorBidi"/>
      <w:color w:val="272727" w:themeColor="text1" w:themeTint="D8"/>
    </w:rPr>
  </w:style>
  <w:style w:type="paragraph" w:styleId="Title">
    <w:name w:val="Title"/>
    <w:basedOn w:val="Normal"/>
    <w:next w:val="Normal"/>
    <w:link w:val="TitleChar"/>
    <w:uiPriority w:val="10"/>
    <w:qFormat/>
    <w:rsid w:val="000F0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0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0C4"/>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F00C4"/>
    <w:pPr>
      <w:ind w:left="720"/>
      <w:contextualSpacing/>
    </w:pPr>
  </w:style>
  <w:style w:type="paragraph" w:styleId="Quote">
    <w:name w:val="Quote"/>
    <w:basedOn w:val="Normal"/>
    <w:next w:val="Normal"/>
    <w:link w:val="QuoteChar"/>
    <w:uiPriority w:val="29"/>
    <w:qFormat/>
    <w:rsid w:val="000F00C4"/>
    <w:pPr>
      <w:spacing w:before="160"/>
      <w:jc w:val="center"/>
    </w:pPr>
    <w:rPr>
      <w:i/>
      <w:iCs/>
      <w:color w:val="404040" w:themeColor="text1" w:themeTint="BF"/>
    </w:rPr>
  </w:style>
  <w:style w:type="character" w:customStyle="1" w:styleId="QuoteChar">
    <w:name w:val="Quote Char"/>
    <w:basedOn w:val="DefaultParagraphFont"/>
    <w:link w:val="Quote"/>
    <w:uiPriority w:val="29"/>
    <w:rsid w:val="000F00C4"/>
    <w:rPr>
      <w:i/>
      <w:iCs/>
      <w:color w:val="404040" w:themeColor="text1" w:themeTint="BF"/>
    </w:rPr>
  </w:style>
  <w:style w:type="paragraph" w:styleId="IntenseQuote">
    <w:name w:val="Intense Quote"/>
    <w:basedOn w:val="Normal"/>
    <w:next w:val="Normal"/>
    <w:link w:val="IntenseQuoteChar"/>
    <w:uiPriority w:val="30"/>
    <w:qFormat/>
    <w:rsid w:val="000F00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0C4"/>
    <w:rPr>
      <w:i/>
      <w:iCs/>
      <w:color w:val="0F4761" w:themeColor="accent1" w:themeShade="BF"/>
    </w:rPr>
  </w:style>
  <w:style w:type="character" w:styleId="IntenseEmphasis">
    <w:name w:val="Intense Emphasis"/>
    <w:basedOn w:val="DefaultParagraphFont"/>
    <w:uiPriority w:val="21"/>
    <w:qFormat/>
    <w:rsid w:val="000F00C4"/>
    <w:rPr>
      <w:i/>
      <w:iCs/>
      <w:color w:val="0F4761" w:themeColor="accent1" w:themeShade="BF"/>
    </w:rPr>
  </w:style>
  <w:style w:type="character" w:styleId="IntenseReference">
    <w:name w:val="Intense Reference"/>
    <w:basedOn w:val="DefaultParagraphFont"/>
    <w:uiPriority w:val="32"/>
    <w:qFormat/>
    <w:rsid w:val="000F00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5</Pages>
  <Words>2263</Words>
  <Characters>12904</Characters>
  <Application>Microsoft Office Word</Application>
  <DocSecurity>0</DocSecurity>
  <Lines>107</Lines>
  <Paragraphs>30</Paragraphs>
  <ScaleCrop>false</ScaleCrop>
  <Company/>
  <LinksUpToDate>false</LinksUpToDate>
  <CharactersWithSpaces>15137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Eleftheria Pardali</dc:creator>
  <cp:keywords/>
  <dc:description/>
  <cp:lastModifiedBy>Eleftheria Pardali</cp:lastModifiedBy>
  <cp:revision>76</cp:revision>
  <dcterms:created xsi:type="dcterms:W3CDTF">2025-12-04T07:47:00Z</dcterms:created>
  <dcterms:modified xsi:type="dcterms:W3CDTF">2025-12-21T11:31:00Z</dcterms:modified>
</cp:coreProperties>
</file>