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A59A" w14:textId="471F7607" w:rsidR="00E1068C" w:rsidRPr="00EE57DC" w:rsidRDefault="00E1068C" w:rsidP="0010527A">
      <w:pPr>
        <w:rPr>
          <w:b/>
          <w:bCs/>
          <w:sz w:val="32"/>
          <w:szCs w:val="32"/>
        </w:rPr>
      </w:pPr>
      <w:r w:rsidRPr="00E1068C">
        <w:rPr>
          <w:b/>
          <w:bCs/>
          <w:sz w:val="32"/>
          <w:szCs w:val="32"/>
        </w:rPr>
        <w:t>Chapter 5 – Discussion and Research Contribution</w:t>
      </w:r>
    </w:p>
    <w:p w14:paraId="6D94CF8B" w14:textId="0D3E5C2A" w:rsidR="00EE57DC" w:rsidRPr="0026149F" w:rsidRDefault="0026149F">
      <w:pPr>
        <w:rPr>
          <w:b/>
          <w:bCs/>
        </w:rPr>
      </w:pPr>
      <w:r w:rsidRPr="0026149F">
        <w:rPr>
          <w:b/>
          <w:bCs/>
        </w:rPr>
        <w:t>5.1 Discussion of Empirical Results in Relation to the Literature</w:t>
      </w:r>
    </w:p>
    <w:p w14:paraId="0042BBD2" w14:textId="1E7E47CA" w:rsidR="000F00C4" w:rsidRDefault="00EE57DC">
      <w:pPr>
        <w:rPr>
          <w:lang w:val="el-GR"/>
        </w:rPr>
      </w:pPr>
      <w:r w:rsidRPr="00EE57DC">
        <w:t>This section discusses the empirical results presented in Chapter 4 in relation to the theoretical, regulatory and methodological foundations outlined in Chapter 2. Rather than evaluating the numerical magnitude of individual KPIs in isolation, the discussion focuses on whether the observed results are economically interpretable, methodologically consistent and aligned with the expectations established in the literature. In this sense, the discussion adopts a portfolio-level and process-oriented perspective, emphasizing the role of data quality, aggregation logic and pipeline design in shaping reliable analytical outcomes.</w:t>
      </w:r>
    </w:p>
    <w:p w14:paraId="43C09D08" w14:textId="314BFCBA" w:rsidR="0026149F" w:rsidRDefault="00C9100B">
      <w:pPr>
        <w:rPr>
          <w:lang w:val="el-GR"/>
        </w:rPr>
      </w:pPr>
      <w:r w:rsidRPr="00C9100B">
        <w:t>The observed portfolio-level Default Rate of approximately 1.15% falls within a range that is qualitatively consistent with findings reported in the literature on unsecured consumer lending and marketplace loan portfolios. Prior studies emphasize that default rates should be interpreted in conjunction with portfolio composition, credit grade distribution and observation horizon, rather than as standalone indicators. In this context, the relatively low realized default rate does not, by itself, imply superior credit performance, but reflects the combined effect of portfolio structure, underwriting practices and data filtering applied prior to KPI computation.</w:t>
      </w:r>
    </w:p>
    <w:p w14:paraId="4C510A36" w14:textId="1175027F" w:rsidR="00C9100B" w:rsidRDefault="00053CA2">
      <w:pPr>
        <w:rPr>
          <w:lang w:val="el-GR"/>
        </w:rPr>
      </w:pPr>
      <w:r w:rsidRPr="00053CA2">
        <w:t>Importantly, the interpretability of the Default Rate is contingent upon the clarity and consistency of the default definition applied. As highlighted in the literature review, regulatory and academic sources converge on the need for explicit and stable default criteria. The alignment between the implemented default logic and established definitions ensures that the reported Default Rate reflects genuine credit deterioration rather than artefacts arising from inconsistent loan status encoding or missing observations. This finding reinforces the literature’s emphasis on data quality as a prerequisite for meaningful portfolio-level default analysis.</w:t>
      </w:r>
    </w:p>
    <w:p w14:paraId="6E4BFEF5" w14:textId="334AFBF5" w:rsidR="002B0816" w:rsidRDefault="002B0816">
      <w:pPr>
        <w:rPr>
          <w:lang w:val="el-GR"/>
        </w:rPr>
      </w:pPr>
      <w:r w:rsidRPr="002B0816">
        <w:t>The Average Loan Amount further complements the risk assessment by providing insight into exposure sizing and portfolio diversification. The observed average value suggests a portfolio dominated by mid-sized loans, which is consistent with diversification principles discussed in credit portfolio management literature. Rather than indicating concentration risk, this exposure profile implies that portfolio-level outcomes are shaped by a broad base of contracts. This interpretation aligns with theoretical expectations that diversified exposure distributions mitigate the impact of individual default events on aggregate portfolio performance.</w:t>
      </w:r>
    </w:p>
    <w:p w14:paraId="72A97B0F" w14:textId="7C9DC1C2" w:rsidR="004D4718" w:rsidRDefault="004D4718">
      <w:pPr>
        <w:rPr>
          <w:lang w:val="el-GR"/>
        </w:rPr>
      </w:pPr>
      <w:r w:rsidRPr="004D4718">
        <w:lastRenderedPageBreak/>
        <w:t>The Average Interest Rate reflects pricing behavior consistent with heterogeneous borrower risk and risk-based lending practices documented in the literature. When interpreted jointly with the Default Rate, the pricing level supports the notion that contractual interest rates were broadly aligned with realized credit risk during the observation period. While this analysis does not extend to profitability or loss-given-default considerations, it confirms that pricing indicators, when computed on validated data, provide meaningful descriptive signals regarding the portfolio’s risk–return positioning.</w:t>
      </w:r>
    </w:p>
    <w:p w14:paraId="4421EA65" w14:textId="3D3CDF27" w:rsidR="00EE1502" w:rsidRDefault="00EE1502">
      <w:pPr>
        <w:rPr>
          <w:lang w:val="el-GR"/>
        </w:rPr>
      </w:pPr>
      <w:r w:rsidRPr="00EE1502">
        <w:t xml:space="preserve">The Portfolio Growth analysis introduces a temporal dimension that is frequently emphasized in </w:t>
      </w:r>
      <w:r w:rsidRPr="00EE1502">
        <w:t>the literature</w:t>
      </w:r>
      <w:r w:rsidRPr="00EE1502">
        <w:t xml:space="preserve"> but often underexplored in static portfolio summaries. The presence of distinct expansion and stabilization phases highlights that portfolio-level risk indicators must be interpreted dynamically and in relation to origination patterns. These findings align with prior studies that caution against interpreting growth metrics independently of risk and exposure characteristics. The results underscore the importance of consistent time-based aggregation and validated date handling in longitudinal portfolio analysis.</w:t>
      </w:r>
    </w:p>
    <w:p w14:paraId="3B28A6E4" w14:textId="6F4D5C2E" w:rsidR="00250E87" w:rsidRDefault="000C2F92">
      <w:pPr>
        <w:rPr>
          <w:lang w:val="el-GR"/>
        </w:rPr>
      </w:pPr>
      <w:r w:rsidRPr="000C2F92">
        <w:t>The distribution of loans across credit grades provides a structural lens through which portfolio risk can be contextualized. The observed concentration in intermediate grades is consistent with portfolio allocation strategies described in the literature, which emphasize balancing yield potential against excessive credit risk. Rather than serving as a performance metric, this indicator functions as a structural anchor that explains the behavior of other KPIs, particularly default incidence and pricing levels. Its analytical value lies in providing context rather than signaling outcomes.</w:t>
      </w:r>
    </w:p>
    <w:p w14:paraId="4629FD4C" w14:textId="0079F3EE" w:rsidR="00D25FFC" w:rsidRDefault="006C54A8">
      <w:pPr>
        <w:rPr>
          <w:lang w:val="el-GR"/>
        </w:rPr>
      </w:pPr>
      <w:r w:rsidRPr="006C54A8">
        <w:t>Taken together, the consistency between empirical findings and theoretical expectations supports the conclusion that the implemented analytical framework produces economically interpretable results. Crucially, this consistency does not arise from model sophistication or advanced statistical techniques, but from disciplined data engineering practices that ensure clean inputs, stable definitions and reproducible aggregation logic. In this sense, the discussion confirms the literature’s assertion that reliable portfolio-level analytics are primarily a function of data quality and process robustness, rather than analytical complexity.</w:t>
      </w:r>
    </w:p>
    <w:p w14:paraId="56DD1531" w14:textId="77777777" w:rsidR="006C54A8" w:rsidRDefault="006C54A8">
      <w:pPr>
        <w:rPr>
          <w:lang w:val="el-GR"/>
        </w:rPr>
      </w:pPr>
    </w:p>
    <w:p w14:paraId="09EE5733" w14:textId="6CCF526C" w:rsidR="006C54A8" w:rsidRDefault="004D2B45">
      <w:pPr>
        <w:rPr>
          <w:b/>
          <w:bCs/>
          <w:sz w:val="32"/>
          <w:szCs w:val="32"/>
          <w:lang w:val="el-GR"/>
        </w:rPr>
      </w:pPr>
      <w:r w:rsidRPr="004D2B45">
        <w:rPr>
          <w:b/>
          <w:bCs/>
          <w:sz w:val="32"/>
          <w:szCs w:val="32"/>
        </w:rPr>
        <w:t>5.2 Research Contribution</w:t>
      </w:r>
    </w:p>
    <w:p w14:paraId="057A8084" w14:textId="41496BA8" w:rsidR="004D2B45" w:rsidRDefault="004D2B45">
      <w:pPr>
        <w:rPr>
          <w:lang w:val="el-GR"/>
        </w:rPr>
      </w:pPr>
      <w:r w:rsidRPr="004D2B45">
        <w:t xml:space="preserve">The primary contribution of this thesis does not lie in the introduction of new credit risk indicators or novel financial metrics. Instead, it lies in the systematic operationalization </w:t>
      </w:r>
      <w:r w:rsidRPr="004D2B45">
        <w:lastRenderedPageBreak/>
        <w:t>of well-established theoretical and regulatory principles into a coherent, end-to-end data engineering framework for loan portfolio monitoring. By translating abstract requirements related to data quality, aggregation, governance and KPI reliability into a concrete and reproducible pipeline, the thesis addresses a critical gap between conceptual frameworks and real-world analytical implementation.</w:t>
      </w:r>
    </w:p>
    <w:p w14:paraId="77EC442A" w14:textId="4A9021FB" w:rsidR="0059273E" w:rsidRDefault="0059273E">
      <w:pPr>
        <w:rPr>
          <w:lang w:val="el-GR"/>
        </w:rPr>
      </w:pPr>
      <w:r w:rsidRPr="0059273E">
        <w:t>While the literature extensively discusses which portfolio-level KPIs are relevant for credit risk monitoring and under what conditions they should be interpreted, relatively limited attention is given to how these indicators are produced in practice within governed data environments. In particular, existing studies rarely demonstrate how regulatory expectations on data quality, traceability and consistency can be embedded into automated analytical workflows. This thesis contributes by filling this gap, providing an applied demonstration of how credit risk KPIs can be computed reliably through a structured, quality-aware data pipeline.</w:t>
      </w:r>
    </w:p>
    <w:p w14:paraId="277EB4E6" w14:textId="5AA064E3" w:rsidR="00F648FC" w:rsidRDefault="00F648FC">
      <w:pPr>
        <w:rPr>
          <w:lang w:val="el-GR"/>
        </w:rPr>
      </w:pPr>
      <w:r w:rsidRPr="00F648FC">
        <w:t>A key contribution of the proposed framework is the explicit integration of data quality considerations as a structural component of the analytical process rather than as a post-hoc validation step. Data quality dimensions such as completeness, consistency and semantic correctness are addressed upstream, prior to KPI computation, in alignment with regulatory principles such as BCBS 239. This design ensures that portfolio-level indicators are derived from validated and well-typed data, reducing the risk of distorted analytical outcomes caused by data deficiencies.</w:t>
      </w:r>
    </w:p>
    <w:p w14:paraId="7601EA41" w14:textId="0F4EC627" w:rsidR="003D6BA5" w:rsidRDefault="003D6BA5">
      <w:pPr>
        <w:rPr>
          <w:lang w:val="el-GR"/>
        </w:rPr>
      </w:pPr>
      <w:r w:rsidRPr="003D6BA5">
        <w:t xml:space="preserve">Beyond data quality, the thesis contributes to the literature by emphasizing reproducibility and governance as core properties of reliable KPI frameworks. By separating data ingestion, transformation, aggregation and exposure layers, the implemented pipeline enables deterministic </w:t>
      </w:r>
      <w:proofErr w:type="spellStart"/>
      <w:r w:rsidRPr="003D6BA5">
        <w:t>recomputation</w:t>
      </w:r>
      <w:proofErr w:type="spellEnd"/>
      <w:r w:rsidRPr="003D6BA5">
        <w:t xml:space="preserve"> of indicators across time. This structure supports auditability, methodological stability and controlled evolution of KPI logic, which are frequently cited as supervisory expectations but rarely operationalized in academic case studies.</w:t>
      </w:r>
    </w:p>
    <w:p w14:paraId="573C48F5" w14:textId="59B95A33" w:rsidR="00114CE1" w:rsidRDefault="00114CE1">
      <w:pPr>
        <w:rPr>
          <w:lang w:val="el-GR"/>
        </w:rPr>
      </w:pPr>
      <w:r w:rsidRPr="00114CE1">
        <w:t>An important conceptual contribution of the thesis lies in reframing portfolio-level KPIs as outputs of governed processes rather than isolated numerical summaries. The analysis demonstrates that indicators such as Default Rate, Average Interest Rate or Portfolio Growth derive their analytical value not only from their definitions, but from the stability and transparency of the processes that generate them. This perspective aligns with regulatory thinking and extends existing academic discussions by highlighting the process-dependence of KPI reliability.</w:t>
      </w:r>
    </w:p>
    <w:p w14:paraId="627B85EB" w14:textId="56D9BEEC" w:rsidR="003D3BBB" w:rsidRDefault="00A10C8E">
      <w:pPr>
        <w:rPr>
          <w:lang w:val="el-GR"/>
        </w:rPr>
      </w:pPr>
      <w:r w:rsidRPr="00A10C8E">
        <w:lastRenderedPageBreak/>
        <w:t>The thesis further contributes by explicitly bridging financial risk analytics with data engineering practices. While these domains are often treated separately in the literature, the proposed framework demonstrates their interdependence in practical portfolio monitoring settings. Credit risk indicators are shown to be meaningful only when supported by robust data architectures, quality controls and automated pipelines. In this sense, the thesis positions data engineering not as a technical auxiliary, but as an essential enabler of reliable financial analytics.</w:t>
      </w:r>
    </w:p>
    <w:p w14:paraId="0B886C86" w14:textId="378306D0" w:rsidR="00F72A38" w:rsidRDefault="00F72A38">
      <w:pPr>
        <w:rPr>
          <w:lang w:val="el-GR"/>
        </w:rPr>
      </w:pPr>
      <w:r w:rsidRPr="00F72A38">
        <w:t>It is important to clarify that the contribution of this thesis does not extend to predictive modeling, credit scoring optimization or performance benchmarking against external institutions. The focus remains deliberately on descriptive and monitoring-oriented KPIs and on the infrastructure that supports their reliable computation. By constraining the analytical scope, the thesis ensures depth and methodological rigor within its chosen domain, while leaving predictive and optimization extensions as directions for future research.</w:t>
      </w:r>
    </w:p>
    <w:p w14:paraId="72DA3827" w14:textId="5BA3CA3E" w:rsidR="003737FF" w:rsidRDefault="0000211E">
      <w:pPr>
        <w:rPr>
          <w:lang w:val="el-GR"/>
        </w:rPr>
      </w:pPr>
      <w:r w:rsidRPr="0000211E">
        <w:t>In summary, the contribution of this thesis lies in demonstrating how established credit risk KPIs can be transformed from theoretical constructs into reliable, reproducible and governed analytical outputs through an end-to-end data engineering pipeline. By embedding regulatory principles, data quality controls and reproducibility mechanisms into the analytical workflow, the proposed framework offers a practical blueprint for portfolio-level credit risk monitoring that is directly applicable to real-world financial environments.</w:t>
      </w:r>
    </w:p>
    <w:p w14:paraId="7850C6C7" w14:textId="7A71D955" w:rsidR="0000211E" w:rsidRDefault="00B138B7">
      <w:pPr>
        <w:rPr>
          <w:b/>
          <w:bCs/>
          <w:sz w:val="32"/>
          <w:szCs w:val="32"/>
          <w:lang w:val="el-GR"/>
        </w:rPr>
      </w:pPr>
      <w:r w:rsidRPr="00B138B7">
        <w:rPr>
          <w:b/>
          <w:bCs/>
          <w:sz w:val="32"/>
          <w:szCs w:val="32"/>
        </w:rPr>
        <w:t>5.3 Limitations</w:t>
      </w:r>
    </w:p>
    <w:p w14:paraId="44A18D96" w14:textId="60DD63D1" w:rsidR="00B138B7" w:rsidRDefault="00A67961">
      <w:pPr>
        <w:rPr>
          <w:lang w:val="el-GR"/>
        </w:rPr>
      </w:pPr>
      <w:r w:rsidRPr="00A67961">
        <w:t>While the proposed framework demonstrates the feasibility and analytical value of a data-quality-driven pipeline for loan portfolio monitoring, several limitations should be acknowledged. These limitations do not undermine the validity of the empirical results</w:t>
      </w:r>
      <w:r w:rsidRPr="00A67961">
        <w:t xml:space="preserve"> </w:t>
      </w:r>
      <w:r w:rsidRPr="00A67961">
        <w:t>but rather define the scope within which the findings should be interpreted. By explicitly stating these boundaries, the analysis maintains methodological transparency and provides a clear foundation for future extensions.</w:t>
      </w:r>
    </w:p>
    <w:p w14:paraId="7D3A6EE9" w14:textId="4AFB98B7" w:rsidR="005514F0" w:rsidRPr="005514F0" w:rsidRDefault="005514F0">
      <w:r w:rsidRPr="005514F0">
        <w:t>A first limitation concerns the descriptive nature of the analytical framework. The implemented pipeline focuses on portfolio-level monitoring KPIs, such as default rates, exposure characteristics and growth dynamics, rather than on predictive modeling or credit risk forecasting. As a result, the analysis does not aim to estimate future default probabilities or optimize lending decisions but instead provides a structured and reliable view of realized portfolio behavior.</w:t>
      </w:r>
    </w:p>
    <w:p w14:paraId="2A564757" w14:textId="41E9A0B5" w:rsidR="005514F0" w:rsidRDefault="00762B55">
      <w:pPr>
        <w:rPr>
          <w:lang w:val="el-GR"/>
        </w:rPr>
      </w:pPr>
      <w:r w:rsidRPr="00762B55">
        <w:lastRenderedPageBreak/>
        <w:t>The computation of the Default Rate relies on a fixed definition of default, aligned with widely accepted regulatory and academic standards. However, alternative definitions—such as time-varying delinquency thresholds, cure dynamics or exposure-weighted default measures—are not explored. Different default definitions may yield variations in observed default levels and could influence the interpretation of portfolio risk. The framework is designed to accommodate such changes, but the current analysis remains confined to a single, clearly specified definition.</w:t>
      </w:r>
    </w:p>
    <w:p w14:paraId="516EF3B1" w14:textId="2AE66649" w:rsidR="00AD2035" w:rsidRDefault="00AD2035">
      <w:pPr>
        <w:rPr>
          <w:lang w:val="el-GR"/>
        </w:rPr>
      </w:pPr>
      <w:r w:rsidRPr="00AD2035">
        <w:t>Portfolio growth is measured using origination volumes rather than outstanding balances. While this approach is consistent with common practices in lending analytics, it does not capture portfolio runoff effects such as early repayments, prepayments or amortization. Consequently, growth dynamics reflect lending activity at origination rather than changes in the stock of outstanding exposure. This distinction should be considered when interpreting growth patterns.</w:t>
      </w:r>
    </w:p>
    <w:p w14:paraId="68CF4AB9" w14:textId="5353F51C" w:rsidR="00E977E6" w:rsidRDefault="00E977E6">
      <w:pPr>
        <w:rPr>
          <w:lang w:val="el-GR"/>
        </w:rPr>
      </w:pPr>
      <w:r w:rsidRPr="00E977E6">
        <w:t>Another limitation relates to the use of a single loan-level dataset to demonstrate the framework. Although the dataset is widely used in the literature and suitable for illustrating portfolio monitoring concepts, the empirical results are not intended to be generalized across institutions or jurisdictions. Portfolio characteristics, risk profiles and growth dynamics may differ substantially across lending platforms, regulatory environments or market conditions.</w:t>
      </w:r>
    </w:p>
    <w:p w14:paraId="0BA3585C" w14:textId="531EC648" w:rsidR="009C75DE" w:rsidRDefault="009C75DE">
      <w:pPr>
        <w:rPr>
          <w:lang w:val="el-GR"/>
        </w:rPr>
      </w:pPr>
      <w:r w:rsidRPr="009C75DE">
        <w:t>The analysis does not include systematic numerical benchmarking against external institutions or peer portfolios. While qualitative alignment with existing literature is discussed, direct quantitative comparisons are avoided in order to preserve methodological consistency and avoid misleading conclusions driven by dataset-specific characteristics. Benchmarking is therefore treated as an extension rather than a core component of the present study.</w:t>
      </w:r>
    </w:p>
    <w:p w14:paraId="73A6CC79" w14:textId="647709D4" w:rsidR="00F748C1" w:rsidRDefault="002512E4">
      <w:pPr>
        <w:rPr>
          <w:lang w:val="el-GR"/>
        </w:rPr>
      </w:pPr>
      <w:r w:rsidRPr="002512E4">
        <w:t>Although the pipeline is designed to support automation and repeatability, the current implementation reflects a research-oriented deployment rather than a production-scale system. Elements such as real-time ingestion, event-driven updates or enterprise-grade monitoring are not fully implemented. Nevertheless, the architectural design remains compatible with such extensions.</w:t>
      </w:r>
    </w:p>
    <w:p w14:paraId="4D66201A" w14:textId="777FE9EA" w:rsidR="00E4254E" w:rsidRDefault="00E4254E">
      <w:pPr>
        <w:rPr>
          <w:lang w:val="el-GR"/>
        </w:rPr>
      </w:pPr>
      <w:r w:rsidRPr="00E4254E">
        <w:t>Taken together, these limitations highlight opportunities for extending the proposed framework rather than fundamental shortcomings. The following section builds on these observations by outlining potential directions for future research and practical enhancements that could further strengthen the analytical and operational capabilities of the pipeline.</w:t>
      </w:r>
    </w:p>
    <w:p w14:paraId="191D556B" w14:textId="2379DB69" w:rsidR="00EF07E5" w:rsidRDefault="00EF07E5">
      <w:pPr>
        <w:rPr>
          <w:b/>
          <w:bCs/>
          <w:sz w:val="32"/>
          <w:szCs w:val="32"/>
          <w:lang w:val="el-GR"/>
        </w:rPr>
      </w:pPr>
      <w:r w:rsidRPr="00EF07E5">
        <w:rPr>
          <w:b/>
          <w:bCs/>
          <w:sz w:val="32"/>
          <w:szCs w:val="32"/>
        </w:rPr>
        <w:lastRenderedPageBreak/>
        <w:t>5.4 Future Work</w:t>
      </w:r>
    </w:p>
    <w:p w14:paraId="244C4868" w14:textId="4E36D71C" w:rsidR="00EF07E5" w:rsidRPr="00A67CD8" w:rsidRDefault="0075787E">
      <w:r w:rsidRPr="0075787E">
        <w:t>While the proposed framework successfully operationalizes reliable portfolio-level KPI computation within a governed data engineering pipeline, several avenues for future work emerge naturally from the current design. These extensions do not indicate deficiencies in the framework but rather reflect its modularity and its potential applicability in more complex analytical and operational environments.</w:t>
      </w:r>
    </w:p>
    <w:p w14:paraId="1A1D57BD" w14:textId="38971F81" w:rsidR="0075787E" w:rsidRPr="0075787E" w:rsidRDefault="0075787E" w:rsidP="0075787E">
      <w:r w:rsidRPr="0075787E">
        <w:t>Future research could explore alternative definitions and parameterizations of key portfolio-level KPIs. For instance, default events could be defined using multiple delinquency thresholds, cure-adjusted default metrics or exposure-weighted measures. Similarly, portfolio growth could be analyzed using outstanding balances rather than origination volumes.</w:t>
      </w:r>
      <w:r w:rsidR="009D1921" w:rsidRPr="009D1921">
        <w:t xml:space="preserve"> </w:t>
      </w:r>
      <w:r w:rsidRPr="0075787E">
        <w:t>Such extensions would enable sensitivity analysis, allowing researchers and practitioners to assess how KPI values respond to changes in definitions and assumptions. Importantly, the pipeline architecture is already designed to accommodate such variations without structural redesign.</w:t>
      </w:r>
    </w:p>
    <w:p w14:paraId="10445DE9" w14:textId="724F25F9" w:rsidR="0075787E" w:rsidRPr="0075787E" w:rsidRDefault="0075787E" w:rsidP="0075787E">
      <w:r w:rsidRPr="0075787E">
        <w:t>While the present study focuses on descriptive monitoring KPIs, future work could integrate predictive components such as probability-of-default models or early-warning indicators. These models could leverage the same governed data foundation, ensuring that predictive outputs remain consistent with monitored KPIs.</w:t>
      </w:r>
      <w:r w:rsidR="00397A0F" w:rsidRPr="00397A0F">
        <w:t xml:space="preserve"> </w:t>
      </w:r>
      <w:r w:rsidRPr="0075787E">
        <w:t>In this context, the pipeline could serve as a unified backbone supporting both descriptive monitoring and predictive risk analytics, bridging traditional portfolio reporting with forward-looking risk assessment.</w:t>
      </w:r>
    </w:p>
    <w:p w14:paraId="0AF84A57" w14:textId="3B5FE4B6" w:rsidR="0075787E" w:rsidRPr="0075787E" w:rsidRDefault="0075787E" w:rsidP="0075787E">
      <w:r w:rsidRPr="0075787E">
        <w:t>Another promising direction concerns the evolution from batch-oriented processing toward real-time or near-real-time monitoring. Future implementations could incorporate streaming ingestion, event-driven triggers and automated recalculation of KPIs in response to portfolio changes.</w:t>
      </w:r>
      <w:r w:rsidR="009B1487" w:rsidRPr="009B1487">
        <w:t xml:space="preserve"> </w:t>
      </w:r>
      <w:r w:rsidRPr="0075787E">
        <w:t xml:space="preserve">Such enhancements would further align the framework with supervisory expectations for timely risk monitoring and support operational use cases such as </w:t>
      </w:r>
      <w:r w:rsidR="00E8611B" w:rsidRPr="0075787E">
        <w:t>early warning</w:t>
      </w:r>
      <w:r w:rsidRPr="0075787E">
        <w:t xml:space="preserve"> dashboards or alerting systems.</w:t>
      </w:r>
    </w:p>
    <w:p w14:paraId="5875AAF2" w14:textId="2F49F875" w:rsidR="00F777F7" w:rsidRPr="00F777F7" w:rsidRDefault="00F777F7" w:rsidP="00F777F7">
      <w:r w:rsidRPr="00F777F7">
        <w:t>Future research could apply the framework across multiple datasets or institutions, enabling systematic benchmarking of portfolio-level KPIs. This would allow comparative analysis of risk profiles, pricing strategies and growth dynamics under a harmonized computational framework.</w:t>
      </w:r>
      <w:r w:rsidR="00E8611B" w:rsidRPr="00E8611B">
        <w:t xml:space="preserve"> </w:t>
      </w:r>
      <w:r w:rsidRPr="00F777F7">
        <w:t>By ensuring consistent data quality controls and KPI definitions, such benchmarking would enhance comparability and support both academic research and supervisory analysis.</w:t>
      </w:r>
    </w:p>
    <w:p w14:paraId="443E0452" w14:textId="3888B9EB" w:rsidR="00F777F7" w:rsidRPr="00F777F7" w:rsidRDefault="00F777F7" w:rsidP="00F777F7">
      <w:r w:rsidRPr="00F777F7">
        <w:t xml:space="preserve">Finally, future work could integrate the pipeline more explicitly with governance, audit and compliance workflows. This could include automated data quality reporting, KPI </w:t>
      </w:r>
      <w:r w:rsidRPr="00F777F7">
        <w:lastRenderedPageBreak/>
        <w:t>certification processes or versioned audit logs that document methodological changes over time.</w:t>
      </w:r>
      <w:r w:rsidRPr="00F777F7">
        <w:t xml:space="preserve"> </w:t>
      </w:r>
      <w:r w:rsidRPr="00F777F7">
        <w:t>Such extensions would further strengthen the role of the pipeline as a compliance-aware analytics infrastructure rather than a standalone analytical artifact.</w:t>
      </w:r>
    </w:p>
    <w:p w14:paraId="3B225B33" w14:textId="08D3985C" w:rsidR="00F777F7" w:rsidRPr="00F777F7" w:rsidRDefault="00F777F7" w:rsidP="00F777F7">
      <w:r w:rsidRPr="00F777F7">
        <w:t>Overall, these future directions highlight the adaptability and extensibility of the proposed framework. By establishing a reliable and governed foundation for portfolio-level analytics, the thesis creates a platform upon which more advanced analytical, operational and regulatory capabilities can be built.</w:t>
      </w:r>
      <w:r w:rsidRPr="00F777F7">
        <w:t xml:space="preserve"> </w:t>
      </w:r>
      <w:r w:rsidRPr="00F777F7">
        <w:t>The following chapter concludes the thesis by summarizing the main contributions and reflecting on the broader implications of data-quality-driven portfolio monitoring.</w:t>
      </w:r>
    </w:p>
    <w:p w14:paraId="7AF10B43" w14:textId="77777777" w:rsidR="0075787E" w:rsidRPr="0075787E" w:rsidRDefault="0075787E"/>
    <w:sectPr w:rsidR="0075787E" w:rsidRPr="0075787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B74"/>
    <w:rsid w:val="0000211E"/>
    <w:rsid w:val="00053CA2"/>
    <w:rsid w:val="000C2F92"/>
    <w:rsid w:val="000F00C4"/>
    <w:rsid w:val="0010527A"/>
    <w:rsid w:val="00114CE1"/>
    <w:rsid w:val="00250E87"/>
    <w:rsid w:val="002512E4"/>
    <w:rsid w:val="0026149F"/>
    <w:rsid w:val="002B0816"/>
    <w:rsid w:val="003737FF"/>
    <w:rsid w:val="00397A0F"/>
    <w:rsid w:val="003D3BBB"/>
    <w:rsid w:val="003D6BA5"/>
    <w:rsid w:val="004D2B45"/>
    <w:rsid w:val="004D4718"/>
    <w:rsid w:val="005514F0"/>
    <w:rsid w:val="0059273E"/>
    <w:rsid w:val="006C54A8"/>
    <w:rsid w:val="0075787E"/>
    <w:rsid w:val="00762B55"/>
    <w:rsid w:val="00822944"/>
    <w:rsid w:val="00831A85"/>
    <w:rsid w:val="009B1487"/>
    <w:rsid w:val="009C75DE"/>
    <w:rsid w:val="009D1921"/>
    <w:rsid w:val="00A10C8E"/>
    <w:rsid w:val="00A53B32"/>
    <w:rsid w:val="00A67961"/>
    <w:rsid w:val="00A67CD8"/>
    <w:rsid w:val="00AD2035"/>
    <w:rsid w:val="00B138B7"/>
    <w:rsid w:val="00B94CD8"/>
    <w:rsid w:val="00C9100B"/>
    <w:rsid w:val="00D25FFC"/>
    <w:rsid w:val="00E1068C"/>
    <w:rsid w:val="00E4254E"/>
    <w:rsid w:val="00E8611B"/>
    <w:rsid w:val="00E977E6"/>
    <w:rsid w:val="00EE1502"/>
    <w:rsid w:val="00EE57DC"/>
    <w:rsid w:val="00EF07E5"/>
    <w:rsid w:val="00F648FC"/>
    <w:rsid w:val="00F72A38"/>
    <w:rsid w:val="00F748C1"/>
    <w:rsid w:val="00F777F7"/>
    <w:rsid w:val="00FB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9803"/>
  <w15:chartTrackingRefBased/>
  <w15:docId w15:val="{AA7C01D9-C541-4630-A346-AB6F5006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C4"/>
  </w:style>
  <w:style w:type="paragraph" w:styleId="Heading1">
    <w:name w:val="heading 1"/>
    <w:basedOn w:val="Normal"/>
    <w:next w:val="Normal"/>
    <w:link w:val="Heading1Char"/>
    <w:uiPriority w:val="9"/>
    <w:qFormat/>
    <w:rsid w:val="000F0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0C4"/>
    <w:rPr>
      <w:rFonts w:eastAsiaTheme="majorEastAsia" w:cstheme="majorBidi"/>
      <w:color w:val="272727" w:themeColor="text1" w:themeTint="D8"/>
    </w:rPr>
  </w:style>
  <w:style w:type="paragraph" w:styleId="Title">
    <w:name w:val="Title"/>
    <w:basedOn w:val="Normal"/>
    <w:next w:val="Normal"/>
    <w:link w:val="TitleChar"/>
    <w:uiPriority w:val="10"/>
    <w:qFormat/>
    <w:rsid w:val="000F0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0C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F00C4"/>
    <w:pPr>
      <w:ind w:left="720"/>
      <w:contextualSpacing/>
    </w:pPr>
  </w:style>
  <w:style w:type="paragraph" w:styleId="Quote">
    <w:name w:val="Quote"/>
    <w:basedOn w:val="Normal"/>
    <w:next w:val="Normal"/>
    <w:link w:val="QuoteChar"/>
    <w:uiPriority w:val="29"/>
    <w:qFormat/>
    <w:rsid w:val="000F00C4"/>
    <w:pPr>
      <w:spacing w:before="160"/>
      <w:jc w:val="center"/>
    </w:pPr>
    <w:rPr>
      <w:i/>
      <w:iCs/>
      <w:color w:val="404040" w:themeColor="text1" w:themeTint="BF"/>
    </w:rPr>
  </w:style>
  <w:style w:type="character" w:customStyle="1" w:styleId="QuoteChar">
    <w:name w:val="Quote Char"/>
    <w:basedOn w:val="DefaultParagraphFont"/>
    <w:link w:val="Quote"/>
    <w:uiPriority w:val="29"/>
    <w:rsid w:val="000F00C4"/>
    <w:rPr>
      <w:i/>
      <w:iCs/>
      <w:color w:val="404040" w:themeColor="text1" w:themeTint="BF"/>
    </w:rPr>
  </w:style>
  <w:style w:type="paragraph" w:styleId="IntenseQuote">
    <w:name w:val="Intense Quote"/>
    <w:basedOn w:val="Normal"/>
    <w:next w:val="Normal"/>
    <w:link w:val="IntenseQuoteChar"/>
    <w:uiPriority w:val="30"/>
    <w:qFormat/>
    <w:rsid w:val="000F0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0C4"/>
    <w:rPr>
      <w:i/>
      <w:iCs/>
      <w:color w:val="0F4761" w:themeColor="accent1" w:themeShade="BF"/>
    </w:rPr>
  </w:style>
  <w:style w:type="character" w:styleId="IntenseEmphasis">
    <w:name w:val="Intense Emphasis"/>
    <w:basedOn w:val="DefaultParagraphFont"/>
    <w:uiPriority w:val="21"/>
    <w:qFormat/>
    <w:rsid w:val="000F00C4"/>
    <w:rPr>
      <w:i/>
      <w:iCs/>
      <w:color w:val="0F4761" w:themeColor="accent1" w:themeShade="BF"/>
    </w:rPr>
  </w:style>
  <w:style w:type="character" w:styleId="IntenseReference">
    <w:name w:val="Intense Reference"/>
    <w:basedOn w:val="DefaultParagraphFont"/>
    <w:uiPriority w:val="32"/>
    <w:qFormat/>
    <w:rsid w:val="000F0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2511</Words>
  <Characters>14318</Characters>
  <Application>Microsoft Office Word</Application>
  <DocSecurity>0</DocSecurity>
  <Lines>119</Lines>
  <Paragraphs>33</Paragraphs>
  <ScaleCrop>false</ScaleCrop>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Eleftheria Pardali</dc:creator>
  <cp:keywords/>
  <dc:description/>
  <cp:lastModifiedBy>Eleftheria Pardali</cp:lastModifiedBy>
  <cp:revision>43</cp:revision>
  <dcterms:created xsi:type="dcterms:W3CDTF">2026-01-25T15:09:00Z</dcterms:created>
  <dcterms:modified xsi:type="dcterms:W3CDTF">2026-01-25T17:55:00Z</dcterms:modified>
</cp:coreProperties>
</file>