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Bitácora de prompts — Flashcard</w:t>
      </w:r>
    </w:p>
    <w:p>
      <w:pPr>
        <w:pStyle w:val="Heading1"/>
      </w:pPr>
      <w:r>
        <w:t>Fase 0: intención</w:t>
      </w:r>
    </w:p>
    <w:p>
      <w:r>
        <w:rPr>
          <w:b/>
        </w:rPr>
        <w:t>¿Quién usará la solución y qué problema resuelve?</w:t>
      </w:r>
    </w:p>
    <w:p>
      <w:r>
        <w:t>La usarán estudiantes de una academia y el personal que prepara el material.</w:t>
      </w:r>
    </w:p>
    <w:p>
      <w:r>
        <w:t>Resuelve la dispersión de preguntas y apuntes: centraliza flashcards por materia</w:t>
      </w:r>
    </w:p>
    <w:p>
      <w:r>
        <w:t>y permite medir el avance de cada sesión.</w:t>
      </w:r>
    </w:p>
    <w:p>
      <w:r>
        <w:rPr>
          <w:b/>
        </w:rPr>
        <w:t>Única cosa que el MVP debe hacer bien</w:t>
      </w:r>
    </w:p>
    <w:p>
      <w:r>
        <w:t>Permitir que un estudiante repase flashcards, compruebe la respuesta y guarde</w:t>
      </w:r>
    </w:p>
    <w:p>
      <w:r>
        <w:t>cuántas domina y cuántas necesita repasar.</w:t>
      </w:r>
    </w:p>
    <w:p>
      <w:r>
        <w:rPr>
          <w:b/>
        </w:rPr>
        <w:t>Criterios de éxito</w:t>
      </w:r>
    </w:p>
    <w:p>
      <w:pPr>
        <w:pStyle w:val="ListNumber"/>
      </w:pPr>
      <w:r>
        <w:t xml:space="preserve">El administrador puede crear, editar y eliminar una flashcard en </w:t>
      </w:r>
      <w:r>
        <w:rPr>
          <w:rFonts w:ascii="Consolas" w:hAnsi="Consolas"/>
          <w:color w:val="AD2C23"/>
          <w:sz w:val="18"/>
        </w:rPr>
        <w:t>db.json</w:t>
      </w:r>
      <w:r>
        <w:t>.</w:t>
      </w:r>
    </w:p>
    <w:p>
      <w:pPr>
        <w:pStyle w:val="ListNumber"/>
      </w:pPr>
      <w:r>
        <w:t>El estudiante puede completar una sesión y ver el resultado guardado en su panel.</w:t>
      </w:r>
    </w:p>
    <w:p>
      <w:pPr>
        <w:pStyle w:val="ListNumber"/>
      </w:pPr>
      <w:r>
        <w:t>Una entrada inválida muestra un mensaje claro y las acciones sensibles piden confirmación.</w:t>
      </w:r>
    </w:p>
    <w:p>
      <w:pPr>
        <w:pStyle w:val="Heading1"/>
      </w:pPr>
      <w:r>
        <w:t>Iteraciones Describe → Genera → Revisa → Prueba → Refina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51"/>
        <w:gridCol w:w="4751"/>
        <w:gridCol w:w="4751"/>
      </w:tblGrid>
      <w:tr>
        <w:trPr>
          <w:tblHeader/>
          <w:cantSplit/>
        </w:trPr>
        <w:tc>
          <w:tcPr>
            <w:tcW w:type="dxa" w:w="47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B62D"/>
          </w:tcPr>
          <w:p>
            <w:r>
              <w:rPr>
                <w:b/>
                <w:color w:val="4A2C20"/>
                <w:sz w:val="17"/>
              </w:rPr>
              <w:t>Prompt que se escribió</w:t>
            </w:r>
          </w:p>
        </w:tc>
        <w:tc>
          <w:tcPr>
            <w:tcW w:type="dxa" w:w="47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B62D"/>
          </w:tcPr>
          <w:p>
            <w:r>
              <w:rPr>
                <w:b/>
                <w:color w:val="4A2C20"/>
                <w:sz w:val="17"/>
              </w:rPr>
              <w:t>¿Qué generó la IA?</w:t>
            </w:r>
          </w:p>
        </w:tc>
        <w:tc>
          <w:tcPr>
            <w:tcW w:type="dxa" w:w="47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B62D"/>
          </w:tcPr>
          <w:p>
            <w:r>
              <w:rPr>
                <w:b/>
                <w:color w:val="4A2C20"/>
                <w:sz w:val="17"/>
              </w:rPr>
              <w:t>¿Qué se revisó o corrigió?</w:t>
            </w:r>
          </w:p>
        </w:tc>
      </w:tr>
      <w:tr>
        <w:trPr>
          <w:cantSplit/>
        </w:trPr>
        <w:tc>
          <w:tcPr>
            <w:tcW w:type="dxa" w:w="47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Actúa como desarrollador React. Crea solamente el esqueleto visual de un MVP de flashcards para una academia, con beige y amarillo como colores principales, sin emojis. Separa components, pages, routes y services. Criterios: Vite abre, hay rutas y la interfaz es responsive.</w:t>
            </w:r>
          </w:p>
        </w:tc>
        <w:tc>
          <w:tcPr>
            <w:tcW w:type="dxa" w:w="47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Estructura inicial, rutas, encabezado, inicio y estilos globales.</w:t>
            </w:r>
          </w:p>
        </w:tc>
        <w:tc>
          <w:tcPr>
            <w:tcW w:type="dxa" w:w="47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 xml:space="preserve">Se comprobó el flujo </w:t>
            </w:r>
            <w:r>
              <w:rPr>
                <w:rFonts w:ascii="Consolas" w:hAnsi="Consolas"/>
                <w:color w:val="AD2C23"/>
                <w:sz w:val="17"/>
              </w:rPr>
              <w:t>components → pages → App.jsx → main.jsx → index.html</w:t>
            </w:r>
            <w:r>
              <w:rPr>
                <w:sz w:val="17"/>
              </w:rPr>
              <w:t>. Se ajustó el menú móvil y se sustituyeron símbolos de texto por iconos SVG.</w:t>
            </w:r>
          </w:p>
        </w:tc>
      </w:tr>
      <w:tr>
        <w:trPr>
          <w:cantSplit/>
        </w:trPr>
        <w:tc>
          <w:tcPr>
            <w:tcW w:type="dxa" w:w="47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EBDD"/>
          </w:tcPr>
          <w:p>
            <w:r>
              <w:rPr>
                <w:sz w:val="17"/>
              </w:rPr>
              <w:t xml:space="preserve">Agrega una base simulada </w:t>
            </w:r>
            <w:r>
              <w:rPr>
                <w:rFonts w:ascii="Consolas" w:hAnsi="Consolas"/>
                <w:color w:val="AD2C23"/>
                <w:sz w:val="17"/>
              </w:rPr>
              <w:t>db.json</w:t>
            </w:r>
            <w:r>
              <w:rPr>
                <w:sz w:val="17"/>
              </w:rPr>
              <w:t xml:space="preserve"> con usuarios, flashcards y sesiones. Implementa servicios GET, POST, PATCH y DELETE; no coloques </w:t>
            </w:r>
            <w:r>
              <w:rPr>
                <w:rFonts w:ascii="Consolas" w:hAnsi="Consolas"/>
                <w:color w:val="AD2C23"/>
                <w:sz w:val="17"/>
              </w:rPr>
              <w:t>fetch()</w:t>
            </w:r>
            <w:r>
              <w:rPr>
                <w:sz w:val="17"/>
              </w:rPr>
              <w:t xml:space="preserve"> dentro de los componentes visuales.</w:t>
            </w:r>
          </w:p>
        </w:tc>
        <w:tc>
          <w:tcPr>
            <w:tcW w:type="dxa" w:w="47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EBDD"/>
          </w:tcPr>
          <w:p>
            <w:r>
              <w:rPr>
                <w:sz w:val="17"/>
              </w:rPr>
              <w:t>Servicios para autenticación, flashcards, sesiones y usuarios; datos de ejemplo.</w:t>
            </w:r>
          </w:p>
        </w:tc>
        <w:tc>
          <w:tcPr>
            <w:tcW w:type="dxa" w:w="47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EBDD"/>
          </w:tcPr>
          <w:p>
            <w:r>
              <w:rPr>
                <w:sz w:val="17"/>
              </w:rPr>
              <w:t>La primera base conservó nombres de productos de una cafetería provenientes del prototipo anterior. Se detectó buscando referencias a Cafébee y se reemplazó todo el modelo por preguntas, respuestas, materias y progreso.</w:t>
            </w:r>
          </w:p>
        </w:tc>
      </w:tr>
      <w:tr>
        <w:trPr>
          <w:cantSplit/>
        </w:trPr>
        <w:tc>
          <w:tcPr>
            <w:tcW w:type="dxa" w:w="47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 xml:space="preserve">Implementa login con dos roles y rutas protegidas. El administrador debe entrar a </w:t>
            </w:r>
            <w:r>
              <w:rPr>
                <w:rFonts w:ascii="Consolas" w:hAnsi="Consolas"/>
                <w:color w:val="AD2C23"/>
                <w:sz w:val="17"/>
              </w:rPr>
              <w:t>/admin</w:t>
            </w:r>
            <w:r>
              <w:rPr>
                <w:sz w:val="17"/>
              </w:rPr>
              <w:t xml:space="preserve"> y el estudiante a </w:t>
            </w:r>
            <w:r>
              <w:rPr>
                <w:rFonts w:ascii="Consolas" w:hAnsi="Consolas"/>
                <w:color w:val="AD2C23"/>
                <w:sz w:val="17"/>
              </w:rPr>
              <w:t>/panel</w:t>
            </w:r>
            <w:r>
              <w:rPr>
                <w:sz w:val="17"/>
              </w:rPr>
              <w:t>. Criterios: credenciales válidas redirigen, inválidas muestran error y una ruta administrativa rechaza usuarios normales.</w:t>
            </w:r>
          </w:p>
        </w:tc>
        <w:tc>
          <w:tcPr>
            <w:tcW w:type="dxa" w:w="47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 xml:space="preserve">Formulario controlado, sesión en localStorage y </w:t>
            </w:r>
            <w:r>
              <w:rPr>
                <w:rFonts w:ascii="Consolas" w:hAnsi="Consolas"/>
                <w:color w:val="AD2C23"/>
                <w:sz w:val="17"/>
              </w:rPr>
              <w:t>RutaProtegida</w:t>
            </w:r>
            <w:r>
              <w:rPr>
                <w:sz w:val="17"/>
              </w:rPr>
              <w:t>.</w:t>
            </w:r>
          </w:p>
        </w:tc>
        <w:tc>
          <w:tcPr>
            <w:tcW w:type="dxa" w:w="47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Se eliminó la contraseña del objeto guardado en localStorage. Se añadió manejo del error cuando JSON Server no está activo y se documentó que la autenticación es solamente educativa.</w:t>
            </w:r>
          </w:p>
        </w:tc>
      </w:tr>
      <w:tr>
        <w:trPr>
          <w:cantSplit/>
        </w:trPr>
        <w:tc>
          <w:tcPr>
            <w:tcW w:type="dxa" w:w="47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EBDD"/>
          </w:tcPr>
          <w:p>
            <w:r>
              <w:rPr>
                <w:sz w:val="17"/>
              </w:rPr>
              <w:t>Crea el CRUD de flashcards una función a la vez: listar y filtrar; luego crear; después editar; por último eliminar. Valida preguntas y respuestas vacías.</w:t>
            </w:r>
          </w:p>
        </w:tc>
        <w:tc>
          <w:tcPr>
            <w:tcW w:type="dxa" w:w="47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EBDD"/>
          </w:tcPr>
          <w:p>
            <w:r>
              <w:rPr>
                <w:sz w:val="17"/>
              </w:rPr>
              <w:t>Biblioteca, tarjeta que se voltea y formulario administrativo.</w:t>
            </w:r>
          </w:p>
        </w:tc>
        <w:tc>
          <w:tcPr>
            <w:tcW w:type="dxa" w:w="47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EBDD"/>
          </w:tcPr>
          <w:p>
            <w:r>
              <w:rPr>
                <w:sz w:val="17"/>
              </w:rPr>
              <w:t xml:space="preserve">Se probaron textos menores a cinco caracteres, filtros sin resultados y tarjetas inactivas. Se agregó una nueva consulta después de cada cambio para mantener la interfaz sincronizada con </w:t>
            </w:r>
            <w:r>
              <w:rPr>
                <w:rFonts w:ascii="Consolas" w:hAnsi="Consolas"/>
                <w:color w:val="AD2C23"/>
                <w:sz w:val="17"/>
              </w:rPr>
              <w:t>db.json</w:t>
            </w:r>
            <w:r>
              <w:rPr>
                <w:sz w:val="17"/>
              </w:rPr>
              <w:t>.</w:t>
            </w:r>
          </w:p>
        </w:tc>
      </w:tr>
      <w:tr>
        <w:trPr>
          <w:cantSplit/>
        </w:trPr>
        <w:tc>
          <w:tcPr>
            <w:tcW w:type="dxa" w:w="47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Construye una sesión de estudio por materia. El usuario debe intentar responder, voltear la tarjeta y elegir “La sabía” o “Necesito repasar”. Guarda un resumen final.</w:t>
            </w:r>
          </w:p>
        </w:tc>
        <w:tc>
          <w:tcPr>
            <w:tcW w:type="dxa" w:w="47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Flujo de estudio, conteos, porcentaje e historial por usuario.</w:t>
            </w:r>
          </w:p>
        </w:tc>
        <w:tc>
          <w:tcPr>
            <w:tcW w:type="dxa" w:w="47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Se evitó evaluar antes de mostrar la respuesta, se controló el caso sin tarjetas y se añadió confirmación antes de finalizar para no cerrar la sesión accidentalmente.</w:t>
            </w:r>
          </w:p>
        </w:tc>
      </w:tr>
      <w:tr>
        <w:trPr>
          <w:cantSplit/>
        </w:trPr>
        <w:tc>
          <w:tcPr>
            <w:tcW w:type="dxa" w:w="47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EBDD"/>
          </w:tcPr>
          <w:p>
            <w:r>
              <w:rPr>
                <w:sz w:val="17"/>
              </w:rPr>
              <w:t>Agrega una ventana 3D de Aceptar o Cancelar antes de cerrar sesión, eliminar, desactivar, cerrar formularios, cerrar el asistente o terminar el estudio. Usa rojo solo como alerta.</w:t>
            </w:r>
          </w:p>
        </w:tc>
        <w:tc>
          <w:tcPr>
            <w:tcW w:type="dxa" w:w="47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EBDD"/>
          </w:tcPr>
          <w:p>
            <w:r>
              <w:rPr>
                <w:rFonts w:ascii="Consolas" w:hAnsi="Consolas"/>
                <w:color w:val="AD2C23"/>
                <w:sz w:val="17"/>
              </w:rPr>
              <w:t>ModalConfirmacion</w:t>
            </w:r>
            <w:r>
              <w:rPr>
                <w:sz w:val="17"/>
              </w:rPr>
              <w:t xml:space="preserve"> reutilizable con </w:t>
            </w:r>
            <w:r>
              <w:rPr>
                <w:rFonts w:ascii="Consolas" w:hAnsi="Consolas"/>
                <w:color w:val="AD2C23"/>
                <w:sz w:val="17"/>
              </w:rPr>
              <w:t>role="alertdialog"</w:t>
            </w:r>
            <w:r>
              <w:rPr>
                <w:sz w:val="17"/>
              </w:rPr>
              <w:t>.</w:t>
            </w:r>
          </w:p>
        </w:tc>
        <w:tc>
          <w:tcPr>
            <w:tcW w:type="dxa" w:w="47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EBDD"/>
          </w:tcPr>
          <w:p>
            <w:r>
              <w:rPr>
                <w:sz w:val="17"/>
              </w:rPr>
              <w:t>Se verificó el enfoque inicial en Cancelar, el cierre con Escape y el bloqueo del desplazamiento del fondo. Se ajustó el contraste y la vista móvil.</w:t>
            </w:r>
          </w:p>
        </w:tc>
      </w:tr>
      <w:tr>
        <w:trPr>
          <w:cantSplit/>
        </w:trPr>
        <w:tc>
          <w:tcPr>
            <w:tcW w:type="dxa" w:w="47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Integra un asistente de estudio que use las flashcards disponibles. La clave debe permanecer en el servidor y la app debe funcionar sin ella.</w:t>
            </w:r>
          </w:p>
        </w:tc>
        <w:tc>
          <w:tcPr>
            <w:tcW w:type="dxa" w:w="47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Servidor Express con Responses API y respuesta local de demostración.</w:t>
            </w:r>
          </w:p>
        </w:tc>
        <w:tc>
          <w:tcPr>
            <w:tcW w:type="dxa" w:w="47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Se limitaron tamaño, historial y campos enviados; se indicó no inventar datos ni resolver tareas evaluadas completas. Se añadió confirmación antes de cerrar la ventana.</w:t>
            </w:r>
          </w:p>
        </w:tc>
      </w:tr>
      <w:tr>
        <w:trPr>
          <w:cantSplit/>
        </w:trPr>
        <w:tc>
          <w:tcPr>
            <w:tcW w:type="dxa" w:w="47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EBDD"/>
          </w:tcPr>
          <w:p>
            <w:r>
              <w:rPr>
                <w:sz w:val="17"/>
              </w:rPr>
              <w:t>Genera un panel de negocio con estadísticas reales y dos gráficos. No escribas manualmente los valores de los gráficos.</w:t>
            </w:r>
          </w:p>
        </w:tc>
        <w:tc>
          <w:tcPr>
            <w:tcW w:type="dxa" w:w="47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EBDD"/>
          </w:tcPr>
          <w:p>
            <w:r>
              <w:rPr>
                <w:sz w:val="17"/>
              </w:rPr>
              <w:t>Métricas, barras por materia y gráfico de disponibilidad.</w:t>
            </w:r>
          </w:p>
        </w:tc>
        <w:tc>
          <w:tcPr>
            <w:tcW w:type="dxa" w:w="47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EBDD"/>
          </w:tcPr>
          <w:p>
            <w:r>
              <w:rPr>
                <w:sz w:val="17"/>
              </w:rPr>
              <w:t xml:space="preserve">Se comprobó que los datos se calculan desde </w:t>
            </w:r>
            <w:r>
              <w:rPr>
                <w:rFonts w:ascii="Consolas" w:hAnsi="Consolas"/>
                <w:color w:val="AD2C23"/>
                <w:sz w:val="17"/>
              </w:rPr>
              <w:t>db.json</w:t>
            </w:r>
            <w:r>
              <w:rPr>
                <w:sz w:val="17"/>
              </w:rPr>
              <w:t>, se añadió estado de carga y se adaptaron los gráficos a pantallas pequeñas.</w:t>
            </w:r>
          </w:p>
        </w:tc>
      </w:tr>
    </w:tbl>
    <w:p/>
    <w:p>
      <w:pPr>
        <w:pStyle w:val="Heading1"/>
      </w:pPr>
      <w:r>
        <w:t>Resultado de la verificación humana</w:t>
      </w:r>
    </w:p>
    <w:p>
      <w:pPr>
        <w:pStyle w:val="ListBullet"/>
      </w:pPr>
      <w:r>
        <w:t>Se entendió la responsabilidad de cada servicio y componente antes de aceptar el código.</w:t>
      </w:r>
    </w:p>
    <w:p>
      <w:pPr>
        <w:pStyle w:val="ListBullet"/>
      </w:pPr>
      <w:r>
        <w:t>Se probaron el caso normal y casos raros: credenciales inválidas, campo corto,</w:t>
      </w:r>
    </w:p>
    <w:p>
      <w:r>
        <w:t xml:space="preserve">  búsqueda sin coincidencias, servidor JSON apagado y sesión sin respuestas.</w:t>
      </w:r>
    </w:p>
    <w:p>
      <w:pPr>
        <w:pStyle w:val="ListBullet"/>
      </w:pPr>
      <w:r>
        <w:t>Se detectaron y eliminaron referencias del prototipo de cafetería.</w:t>
      </w:r>
    </w:p>
    <w:p>
      <w:pPr>
        <w:pStyle w:val="ListBullet"/>
      </w:pPr>
      <w:r>
        <w:t>No se conservaron funciones ni librerías inexistentes.</w:t>
      </w:r>
    </w:p>
    <w:p>
      <w:pPr>
        <w:pStyle w:val="ListBullet"/>
      </w:pPr>
      <w:r>
        <w:t>Se ejecutaron el análisis estático y la compilación de producción.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1020" w:right="794" w:bottom="907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6F625A"/>
        <w:sz w:val="16"/>
      </w:rPr>
      <w:t>FLASHCARD  ·  BITÁCORA DE PROMPTS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4A2C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Georgia" w:hAnsi="Georgia"/>
      <w:b/>
      <w:bCs/>
      <w:color w:val="4A2C2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Georgia" w:hAnsi="Georgia"/>
      <w:b/>
      <w:bCs/>
      <w:color w:val="B77A2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Georgia" w:hAnsi="Georgia"/>
      <w:b/>
      <w:bCs/>
      <w:color w:val="4A2C2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Georgia" w:hAnsi="Georgia"/>
      <w:b/>
      <w:color w:val="4A2C2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Bitácora de prompts</dc:title>
  <dc:subject>Práctica de Vibe Coding: solución de negocio</dc:subject>
  <dc:creator>Proyecto Flashcard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