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4F72"/>
          <w:sz w:val="48"/>
          <w:szCs w:val="48"/>
        </w:rPr>
        <w:t xml:space="preserve">PARABOX — Projet CAP2026</w:t>
      </w:r>
    </w:p>
    <w:p>
      <w:pPr>
        <w:spacing w:after="100"/>
        <w:jc w:val="center"/>
      </w:pPr>
      <w:r>
        <w:rPr>
          <w:rFonts w:ascii="Arial" w:cs="Arial" w:eastAsia="Arial" w:hAnsi="Arial"/>
          <w:color w:val="2E75B6"/>
          <w:sz w:val="28"/>
          <w:szCs w:val="28"/>
        </w:rPr>
        <w:t xml:space="preserve">Transformation Digitale — Module Logistique &amp; Finance</w:t>
      </w:r>
    </w:p>
    <w:p>
      <w:pPr>
        <w:pBdr>
          <w:bottom w:val="single" w:color="2E75B6" w:sz="6" w:space="1"/>
        </w:pBdr>
        <w:spacing w:after="600"/>
        <w:jc w:val="center"/>
      </w:pPr>
    </w:p>
    <w:p>
      <w:pPr>
        <w:spacing w:after="200"/>
        <w:jc w:val="center"/>
      </w:pPr>
      <w:r>
        <w:rPr>
          <w:rFonts w:ascii="Arial" w:cs="Arial" w:eastAsia="Arial" w:hAnsi="Arial"/>
          <w:b/>
          <w:bCs/>
          <w:color w:val="1B4F72"/>
          <w:sz w:val="36"/>
          <w:szCs w:val="36"/>
        </w:rPr>
        <w:t xml:space="preserve">DOCUMENT DE JUSTIFICATION</w:t>
      </w:r>
    </w:p>
    <w:p>
      <w:pPr>
        <w:spacing w:after="100"/>
        <w:jc w:val="center"/>
      </w:pPr>
      <w:r>
        <w:rPr>
          <w:rFonts w:ascii="Arial" w:cs="Arial" w:eastAsia="Arial" w:hAnsi="Arial"/>
          <w:color w:val="555555"/>
          <w:sz w:val="24"/>
          <w:szCs w:val="24"/>
        </w:rPr>
        <w:t xml:space="preserve">Configuration et Import des Données dans Odoo 17</w:t>
      </w:r>
    </w:p>
    <w:p>
      <w:pPr>
        <w:spacing w:after="400"/>
        <w:jc w:val="center"/>
      </w:pPr>
      <w:r>
        <w:rPr>
          <w:rFonts w:ascii="Arial" w:cs="Arial" w:eastAsia="Arial" w:hAnsi="Arial"/>
          <w:color w:val="555555"/>
          <w:sz w:val="22"/>
          <w:szCs w:val="22"/>
        </w:rPr>
        <w:t xml:space="preserve">Date : 1er mars 2026</w:t>
      </w:r>
    </w:p>
    <w:p>
      <w:pPr>
        <w:jc w:val="center"/>
      </w:pPr>
      <w:r>
        <w:rPr>
          <w:rFonts w:ascii="Arial" w:cs="Arial" w:eastAsia="Arial" w:hAnsi="Arial"/>
          <w:i/>
          <w:iCs/>
          <w:color w:val="888888"/>
          <w:sz w:val="20"/>
          <w:szCs w:val="20"/>
        </w:rPr>
        <w:t xml:space="preserve">Distributeur parapharmacie — 130 MDH CA — 60 collaborateurs</w:t>
      </w:r>
    </w:p>
    <w:p>
      <w:r>
        <w:br w:type="page"/>
      </w:r>
    </w:p>
    <w:p>
      <w:pPr>
        <w:pStyle w:val="Heading1"/>
        <w:spacing w:after="150" w:before="300"/>
      </w:pPr>
      <w:r>
        <w:rPr>
          <w:rFonts w:ascii="Arial" w:cs="Arial" w:eastAsia="Arial" w:hAnsi="Arial"/>
          <w:b/>
          <w:bCs/>
        </w:rPr>
        <w:t xml:space="preserve">1. Contexte du projet</w:t>
      </w:r>
    </w:p>
    <w:p>
      <w:pPr>
        <w:spacing w:after="120"/>
      </w:pPr>
      <w:r>
        <w:rPr>
          <w:rFonts w:ascii="Arial" w:cs="Arial" w:eastAsia="Arial" w:hAnsi="Arial"/>
          <w:sz w:val="22"/>
          <w:szCs w:val="22"/>
        </w:rPr>
        <w:t xml:space="preserve">PARABOX est un distributeur marocain de produits parapharmaceutiques réalisant un chiffre d’affaires de 130 MDH avec 60 collaborateurs. L’entreprise opère en B2B (distribution à plus de 100 pharmacies/parapharmacies) et en B2C via 10 magasins PARASHOP.</w:t>
      </w:r>
    </w:p>
    <w:p>
      <w:pPr>
        <w:spacing w:after="120"/>
      </w:pPr>
      <w:r>
        <w:rPr>
          <w:rFonts w:ascii="Arial" w:cs="Arial" w:eastAsia="Arial" w:hAnsi="Arial"/>
          <w:sz w:val="22"/>
          <w:szCs w:val="22"/>
        </w:rPr>
        <w:t xml:space="preserve">Le projet CAP2026 vise la transformation digitale de PARABOX en migrant d’un système fragmenté (WhatsApp, Excel, Access, Ciel Compta) vers Odoo 17 ERP. Le périmètre prioritaire couvre la Logistique et la Finance, avec pour objectifs principaux :</w:t>
      </w:r>
    </w:p>
    <w:p>
      <w:pPr>
        <w:pStyle w:val="ListParagraph"/>
        <w:numPr>
          <w:ilvl w:val="0"/>
          <w:numId w:val="2"/>
        </w:numPr>
        <w:spacing w:after="80"/>
      </w:pPr>
      <w:r>
        <w:rPr>
          <w:rFonts w:ascii="Arial" w:cs="Arial" w:eastAsia="Arial" w:hAnsi="Arial"/>
          <w:sz w:val="22"/>
          <w:szCs w:val="22"/>
        </w:rPr>
        <w:t xml:space="preserve">Automatiser la correspondance BL → Commande → Facture</w:t>
      </w:r>
    </w:p>
    <w:p>
      <w:pPr>
        <w:pStyle w:val="ListParagraph"/>
        <w:numPr>
          <w:ilvl w:val="0"/>
          <w:numId w:val="2"/>
        </w:numPr>
        <w:spacing w:after="80"/>
      </w:pPr>
      <w:r>
        <w:rPr>
          <w:rFonts w:ascii="Arial" w:cs="Arial" w:eastAsia="Arial" w:hAnsi="Arial"/>
          <w:sz w:val="22"/>
          <w:szCs w:val="22"/>
        </w:rPr>
        <w:t xml:space="preserve">Sécuriser le cash : réduire les 3 MDH/an de litiges et contrôler les 10 MDH d’encours</w:t>
      </w:r>
    </w:p>
    <w:p>
      <w:pPr>
        <w:pStyle w:val="ListParagraph"/>
        <w:numPr>
          <w:ilvl w:val="0"/>
          <w:numId w:val="2"/>
        </w:numPr>
        <w:spacing w:after="80"/>
      </w:pPr>
      <w:r>
        <w:rPr>
          <w:rFonts w:ascii="Arial" w:cs="Arial" w:eastAsia="Arial" w:hAnsi="Arial"/>
          <w:sz w:val="22"/>
          <w:szCs w:val="22"/>
        </w:rPr>
        <w:t xml:space="preserve">Éliminer les stocks fantômes (3 mondes parallèles : physique/Access/Ciel)</w:t>
      </w:r>
    </w:p>
    <w:p>
      <w:pPr>
        <w:pStyle w:val="ListParagraph"/>
        <w:numPr>
          <w:ilvl w:val="0"/>
          <w:numId w:val="2"/>
        </w:numPr>
        <w:spacing w:after="80"/>
      </w:pPr>
      <w:r>
        <w:rPr>
          <w:rFonts w:ascii="Arial" w:cs="Arial" w:eastAsia="Arial" w:hAnsi="Arial"/>
          <w:sz w:val="22"/>
          <w:szCs w:val="22"/>
        </w:rPr>
        <w:t xml:space="preserve">Améliorer le taux de service OTIF (On Time In Full)</w:t>
      </w:r>
    </w:p>
    <w:p>
      <w:r>
        <w:br w:type="page"/>
      </w:r>
    </w:p>
    <w:p>
      <w:pPr>
        <w:pStyle w:val="Heading1"/>
        <w:spacing w:after="150" w:before="300"/>
      </w:pPr>
      <w:r>
        <w:rPr>
          <w:rFonts w:ascii="Arial" w:cs="Arial" w:eastAsia="Arial" w:hAnsi="Arial"/>
          <w:b/>
          <w:bCs/>
        </w:rPr>
        <w:t xml:space="preserve">2. Configuration de la société</w:t>
      </w:r>
    </w:p>
    <w:p>
      <w:pPr>
        <w:pStyle w:val="Heading2"/>
        <w:spacing w:after="150" w:before="300"/>
      </w:pPr>
      <w:r>
        <w:rPr>
          <w:rFonts w:ascii="Arial" w:cs="Arial" w:eastAsia="Arial" w:hAnsi="Arial"/>
          <w:b/>
          <w:bCs/>
        </w:rPr>
        <w:t xml:space="preserve">2.1 Renommage de la société</w:t>
      </w:r>
    </w:p>
    <w:p>
      <w:pPr>
        <w:spacing w:after="120"/>
      </w:pPr>
      <w:r>
        <w:rPr>
          <w:rFonts w:ascii="Arial" w:cs="Arial" w:eastAsia="Arial" w:hAnsi="Arial"/>
          <w:sz w:val="22"/>
          <w:szCs w:val="22"/>
        </w:rPr>
        <w:t xml:space="preserve">Action : Renommage de « My Company (San Francisco) » en « PARABOX » avec l’adresse du siège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PARABOX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Adresse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Zone Industrielle Ain Sebaa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Ville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Casablanca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Code postal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20250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Pays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Maroc (Morocco)</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Justification : La Note de cadrage identifie PARABOX comme société basée à Ain Sebaa, Casablanca. Cette configuration est la première étape obligatoire car tous les documents commerciaux (devis, BL, factures) porteront ce nom et cette adresse.</w:t>
      </w:r>
    </w:p>
    <w:p>
      <w:pPr>
        <w:pStyle w:val="Heading2"/>
        <w:spacing w:after="150" w:before="300"/>
      </w:pPr>
      <w:r>
        <w:rPr>
          <w:rFonts w:ascii="Arial" w:cs="Arial" w:eastAsia="Arial" w:hAnsi="Arial"/>
          <w:b/>
          <w:bCs/>
        </w:rPr>
        <w:t xml:space="preserve">2.2 Localisation marocaine</w:t>
      </w:r>
    </w:p>
    <w:p>
      <w:pPr>
        <w:spacing w:after="120"/>
      </w:pPr>
      <w:r>
        <w:rPr>
          <w:rFonts w:ascii="Arial" w:cs="Arial" w:eastAsia="Arial" w:hAnsi="Arial"/>
          <w:sz w:val="22"/>
          <w:szCs w:val="22"/>
        </w:rPr>
        <w:t xml:space="preserve">Le plan comptable marocain (PCGM) est déjà installé avec 77 taxes préconfigurées incluant les taux TVA marocains : 20%, 14%, 10% et 7%. Les devises MAD et USD sont actives.</w:t>
      </w:r>
    </w:p>
    <w:p>
      <w:pPr>
        <w:spacing w:after="120"/>
      </w:pPr>
      <w:r>
        <w:rPr>
          <w:rFonts w:ascii="Arial" w:cs="Arial" w:eastAsia="Arial" w:hAnsi="Arial"/>
          <w:sz w:val="22"/>
          <w:szCs w:val="22"/>
        </w:rPr>
        <w:t xml:space="preserve">Justification : La localisation marocaine assure la conformité fiscale de PARABOX et évite une configuration manuelle des taxes. Le plan PCGM est le référentiel légal au Maroc.</w:t>
      </w:r>
    </w:p>
    <w:p>
      <w:r>
        <w:br w:type="page"/>
      </w:r>
    </w:p>
    <w:p>
      <w:pPr>
        <w:pStyle w:val="Heading1"/>
        <w:spacing w:after="150" w:before="300"/>
      </w:pPr>
      <w:r>
        <w:rPr>
          <w:rFonts w:ascii="Arial" w:cs="Arial" w:eastAsia="Arial" w:hAnsi="Arial"/>
          <w:b/>
          <w:bCs/>
        </w:rPr>
        <w:t xml:space="preserve">3. Import des données maîtresses</w:t>
      </w:r>
    </w:p>
    <w:p>
      <w:pPr>
        <w:pStyle w:val="Heading2"/>
        <w:spacing w:after="150" w:before="300"/>
      </w:pPr>
      <w:r>
        <w:rPr>
          <w:rFonts w:ascii="Arial" w:cs="Arial" w:eastAsia="Arial" w:hAnsi="Arial"/>
          <w:b/>
          <w:bCs/>
        </w:rPr>
        <w:t xml:space="preserve">3.1 Catégories de produits (24 catégories)</w:t>
      </w:r>
    </w:p>
    <w:p>
      <w:pPr>
        <w:spacing w:after="120"/>
      </w:pPr>
      <w:r>
        <w:rPr>
          <w:rFonts w:ascii="Arial" w:cs="Arial" w:eastAsia="Arial" w:hAnsi="Arial"/>
          <w:sz w:val="22"/>
          <w:szCs w:val="22"/>
        </w:rPr>
        <w:t xml:space="preserve">Statut : Déjà importées (pré-existantes dans Odoo). 24 catégories couvrant 8 familles principales :</w:t>
      </w:r>
    </w:p>
    <w:p>
      <w:pPr>
        <w:pStyle w:val="ListParagraph"/>
        <w:numPr>
          <w:ilvl w:val="0"/>
          <w:numId w:val="3"/>
        </w:numPr>
        <w:spacing w:after="80"/>
      </w:pPr>
      <w:r>
        <w:rPr>
          <w:rFonts w:ascii="Arial" w:cs="Arial" w:eastAsia="Arial" w:hAnsi="Arial"/>
          <w:sz w:val="22"/>
          <w:szCs w:val="22"/>
        </w:rPr>
        <w:t xml:space="preserve">Visage (Hydratation, Nettoyant, Anti-âge, Traitement Acné, Démaquillant)</w:t>
      </w:r>
    </w:p>
    <w:p>
      <w:pPr>
        <w:pStyle w:val="ListParagraph"/>
        <w:numPr>
          <w:ilvl w:val="0"/>
          <w:numId w:val="3"/>
        </w:numPr>
        <w:spacing w:after="80"/>
      </w:pPr>
      <w:r>
        <w:rPr>
          <w:rFonts w:ascii="Arial" w:cs="Arial" w:eastAsia="Arial" w:hAnsi="Arial"/>
          <w:sz w:val="22"/>
          <w:szCs w:val="22"/>
        </w:rPr>
        <w:t xml:space="preserve">Corps (Hydratation, Nutrition)</w:t>
      </w:r>
    </w:p>
    <w:p>
      <w:pPr>
        <w:pStyle w:val="ListParagraph"/>
        <w:numPr>
          <w:ilvl w:val="0"/>
          <w:numId w:val="3"/>
        </w:numPr>
        <w:spacing w:after="80"/>
      </w:pPr>
      <w:r>
        <w:rPr>
          <w:rFonts w:ascii="Arial" w:cs="Arial" w:eastAsia="Arial" w:hAnsi="Arial"/>
          <w:sz w:val="22"/>
          <w:szCs w:val="22"/>
        </w:rPr>
        <w:t xml:space="preserve">Cheveux (Shampooing, Traitement)</w:t>
      </w:r>
    </w:p>
    <w:p>
      <w:pPr>
        <w:pStyle w:val="ListParagraph"/>
        <w:numPr>
          <w:ilvl w:val="0"/>
          <w:numId w:val="3"/>
        </w:numPr>
        <w:spacing w:after="80"/>
      </w:pPr>
      <w:r>
        <w:rPr>
          <w:rFonts w:ascii="Arial" w:cs="Arial" w:eastAsia="Arial" w:hAnsi="Arial"/>
          <w:sz w:val="22"/>
          <w:szCs w:val="22"/>
        </w:rPr>
        <w:t xml:space="preserve">Solaire (Protection Solaire, Protection ultra)</w:t>
      </w:r>
    </w:p>
    <w:p>
      <w:pPr>
        <w:pStyle w:val="ListParagraph"/>
        <w:numPr>
          <w:ilvl w:val="0"/>
          <w:numId w:val="3"/>
        </w:numPr>
        <w:spacing w:after="80"/>
      </w:pPr>
      <w:r>
        <w:rPr>
          <w:rFonts w:ascii="Arial" w:cs="Arial" w:eastAsia="Arial" w:hAnsi="Arial"/>
          <w:sz w:val="22"/>
          <w:szCs w:val="22"/>
        </w:rPr>
        <w:t xml:space="preserve">Compléments Alimentaires (Bien-être, Vitamines)</w:t>
      </w:r>
    </w:p>
    <w:p>
      <w:pPr>
        <w:pStyle w:val="ListParagraph"/>
        <w:numPr>
          <w:ilvl w:val="0"/>
          <w:numId w:val="3"/>
        </w:numPr>
        <w:spacing w:after="80"/>
      </w:pPr>
      <w:r>
        <w:rPr>
          <w:rFonts w:ascii="Arial" w:cs="Arial" w:eastAsia="Arial" w:hAnsi="Arial"/>
          <w:sz w:val="22"/>
          <w:szCs w:val="22"/>
        </w:rPr>
        <w:t xml:space="preserve">Hygiène (Bucco-dentaire, Soins premiers secours)</w:t>
      </w:r>
    </w:p>
    <w:p>
      <w:pPr>
        <w:pStyle w:val="ListParagraph"/>
        <w:numPr>
          <w:ilvl w:val="0"/>
          <w:numId w:val="3"/>
        </w:numPr>
        <w:spacing w:after="80"/>
      </w:pPr>
      <w:r>
        <w:rPr>
          <w:rFonts w:ascii="Arial" w:cs="Arial" w:eastAsia="Arial" w:hAnsi="Arial"/>
          <w:sz w:val="22"/>
          <w:szCs w:val="22"/>
        </w:rPr>
        <w:t xml:space="preserve">Bébé &amp; Maman (Hygiène)</w:t>
      </w:r>
    </w:p>
    <w:p>
      <w:pPr>
        <w:spacing w:after="120"/>
      </w:pPr>
      <w:r>
        <w:rPr>
          <w:rFonts w:ascii="Arial" w:cs="Arial" w:eastAsia="Arial" w:hAnsi="Arial"/>
          <w:sz w:val="22"/>
          <w:szCs w:val="22"/>
        </w:rPr>
        <w:t xml:space="preserve">Justification : La hiérarchie à 2 niveaux (Famille / Sous-famille) reflète le catalogue réel de PARABOX et permettra des analyses de ventes et de stocks par segment de marché.</w:t>
      </w:r>
    </w:p>
    <w:p>
      <w:pPr>
        <w:pStyle w:val="Heading2"/>
        <w:spacing w:after="150" w:before="300"/>
      </w:pPr>
      <w:r>
        <w:rPr>
          <w:rFonts w:ascii="Arial" w:cs="Arial" w:eastAsia="Arial" w:hAnsi="Arial"/>
          <w:b/>
          <w:bCs/>
        </w:rPr>
        <w:t xml:space="preserve">3.2 Fournisseurs / Marketplaces (9 fournisseurs)</w:t>
      </w:r>
    </w:p>
    <w:p>
      <w:pPr>
        <w:spacing w:after="120"/>
      </w:pPr>
      <w:r>
        <w:rPr>
          <w:rFonts w:ascii="Arial" w:cs="Arial" w:eastAsia="Arial" w:hAnsi="Arial"/>
          <w:sz w:val="22"/>
          <w:szCs w:val="22"/>
        </w:rPr>
        <w:t xml:space="preserve">Statut : Déjà importés. Les 9 fournisseurs sont les marketplaces parapharmacie marocaines : 24hPara, Côté Para, HeyPara, Inty, LaMaisonPara, Mapara, NovaPara, Parabioty, Paranova.</w:t>
      </w:r>
    </w:p>
    <w:p>
      <w:pPr>
        <w:spacing w:after="120"/>
      </w:pPr>
      <w:r>
        <w:rPr>
          <w:rFonts w:ascii="Arial" w:cs="Arial" w:eastAsia="Arial" w:hAnsi="Arial"/>
          <w:sz w:val="22"/>
          <w:szCs w:val="22"/>
        </w:rPr>
        <w:t xml:space="preserve">Justification : Ces fournisseurs constituent le réseau d’approvisionnement réel de PARABOX, nécessaire pour la gestion des bons de commande et la traçabilité des achats dans le module Logistique.</w:t>
      </w:r>
    </w:p>
    <w:p>
      <w:pPr>
        <w:pStyle w:val="Heading2"/>
        <w:spacing w:after="150" w:before="300"/>
      </w:pPr>
      <w:r>
        <w:rPr>
          <w:rFonts w:ascii="Arial" w:cs="Arial" w:eastAsia="Arial" w:hAnsi="Arial"/>
          <w:b/>
          <w:bCs/>
        </w:rPr>
        <w:t xml:space="preserve">3.3 Équipe commerciale (5 commerciaux)</w:t>
      </w:r>
    </w:p>
    <w:p>
      <w:pPr>
        <w:spacing w:after="120"/>
      </w:pPr>
      <w:r>
        <w:rPr>
          <w:rFonts w:ascii="Arial" w:cs="Arial" w:eastAsia="Arial" w:hAnsi="Arial"/>
          <w:sz w:val="22"/>
          <w:szCs w:val="22"/>
        </w:rPr>
        <w:t xml:space="preserve">Statut : Déjà importés. 5 commerciaux couvrant les 5 zones géographiques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Commercial</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Yassine EL IDRISSI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Casablanca - Centre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Omar BENALI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Rabat - Nord Atlantique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Karim ALAOUI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Tanger - Nord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Soufiane CHERKAOUI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Marrakech - Sud Centre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Mehdi EL AMRANI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Agadir - Sud</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Justification : L’affectation commerciale par zone permet le suivi des performances par territoire et l’attribution automatique des commandes au bon commercial.</w:t>
      </w:r>
    </w:p>
    <w:p>
      <w:r>
        <w:br w:type="page"/>
      </w:r>
    </w:p>
    <w:p>
      <w:pPr>
        <w:pStyle w:val="Heading2"/>
        <w:spacing w:after="150" w:before="300"/>
      </w:pPr>
      <w:r>
        <w:rPr>
          <w:rFonts w:ascii="Arial" w:cs="Arial" w:eastAsia="Arial" w:hAnsi="Arial"/>
          <w:b/>
          <w:bCs/>
        </w:rPr>
        <w:t xml:space="preserve">3.4 Clients (21 clients)</w:t>
      </w:r>
    </w:p>
    <w:p>
      <w:pPr>
        <w:spacing w:after="120"/>
      </w:pPr>
      <w:r>
        <w:rPr>
          <w:rFonts w:ascii="Arial" w:cs="Arial" w:eastAsia="Arial" w:hAnsi="Arial"/>
          <w:sz w:val="22"/>
          <w:szCs w:val="22"/>
        </w:rPr>
        <w:t xml:space="preserve">21 clients importés via l’API RPC d’Odoo, répartis en 3 segments :</w:t>
      </w:r>
    </w:p>
    <w:p>
      <w:pPr>
        <w:pStyle w:val="Heading3"/>
        <w:spacing w:after="150" w:before="300"/>
      </w:pPr>
      <w:r>
        <w:rPr>
          <w:rFonts w:ascii="Arial" w:cs="Arial" w:eastAsia="Arial" w:hAnsi="Arial"/>
          <w:b/>
          <w:bCs/>
        </w:rPr>
        <w:t xml:space="preserve">3.4.1 Clients Standard — Parapharmacie (15 clients)</w:t>
      </w:r>
    </w:p>
    <w:p>
      <w:pPr>
        <w:spacing w:after="120"/>
      </w:pPr>
      <w:r>
        <w:rPr>
          <w:rFonts w:ascii="Arial" w:cs="Arial" w:eastAsia="Arial" w:hAnsi="Arial"/>
          <w:sz w:val="22"/>
          <w:szCs w:val="22"/>
        </w:rPr>
        <w:t xml:space="preserve">Prix catalogue, paiement à 30 jours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00"/>
        <w:gridCol w:w="20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Zone</w:t>
            </w:r>
          </w:p>
        </w:tc>
        <w:tc>
          <w:tcPr>
            <w:tcW w:type="dxa" w:w="2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Liste de prix</w:t>
            </w:r>
          </w:p>
        </w:tc>
        <w:tc>
          <w:tcPr>
            <w:tcW w:type="dxa" w:w="2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Paiement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PARAPHARMACIE ANFA CARE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Casablanca - Centre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Standard</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30 jours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PARA SANTÉ MAARIF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Casablanca - Centre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Standard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jours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PARAPHARMACIE AIN SEBAA PLUS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Casablanca - Centre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Standard</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30 jours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PARAPHARMACIE HASSAN VITAL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Rabat - Nord Atlantique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Standard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jours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PARA AGDAL SANTÉ</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Rabat - Nord Atlantique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Standard</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30 jours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PARAPHARMACIE SALÉ WELLNESS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Rabat - Nord Atlantique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Standard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jours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PARAPHARMACIE TANGER MED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Tanger - Nord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Standard</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30 jours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PARA MALABATA CARE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Tanger - Nord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Standard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jours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PARAPHARMACIE TÉTOUAN SANTÉ</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Tanger - Nord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Standard</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30 jours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PARAPHARMACIE GUÉLIZ BEAUTÉ</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Marrakech - Sud Centre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Standard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jours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PARA MENARA CARE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Marrakech - Sud Centre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Standard</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30 jours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PARAPHARMACIE SAFI PLUS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Marrakech - Sud Centre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Standard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jours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PARAPHARMACIE AGADIR BAY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Agadir - Sud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Standard</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30 jours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PARA TALBORJT SANTÉ</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Agadir - Sud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Standard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jours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PARAPHARMACIE TAROUDANT CARE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Agadir - Sud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Standard</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30 jours</w:t>
            </w:r>
          </w:p>
        </w:tc>
      </w:tr>
    </w:tbl>
    <w:p>
      <w:pPr>
        <w:spacing w:after="200"/>
      </w:pPr>
    </w:p>
    <w:p>
      <w:pPr>
        <w:pStyle w:val="Heading3"/>
        <w:spacing w:after="150" w:before="300"/>
      </w:pPr>
      <w:r>
        <w:rPr>
          <w:rFonts w:ascii="Arial" w:cs="Arial" w:eastAsia="Arial" w:hAnsi="Arial"/>
          <w:b/>
          <w:bCs/>
        </w:rPr>
        <w:t xml:space="preserve">3.4.2 Clients Top — Beauté Mall (5 clients)</w:t>
      </w:r>
    </w:p>
    <w:p>
      <w:pPr>
        <w:spacing w:after="120"/>
      </w:pPr>
      <w:r>
        <w:rPr>
          <w:rFonts w:ascii="Arial" w:cs="Arial" w:eastAsia="Arial" w:hAnsi="Arial"/>
          <w:sz w:val="22"/>
          <w:szCs w:val="22"/>
        </w:rPr>
        <w:t xml:space="preserve">Remise de 5%, paiement à 45 jours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00"/>
        <w:gridCol w:w="20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Zone</w:t>
            </w:r>
          </w:p>
        </w:tc>
        <w:tc>
          <w:tcPr>
            <w:tcW w:type="dxa" w:w="2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Liste de prix</w:t>
            </w:r>
          </w:p>
        </w:tc>
        <w:tc>
          <w:tcPr>
            <w:tcW w:type="dxa" w:w="2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Paiement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PARA BEAUTY PALACE CASA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Casablanca - Centre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Top Client (-5%)</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45 jours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PARA PRESTIGE RABAT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Rabat - Nord Atlantique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Top Client (-5%)</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45 jours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PARA ROYAL SCENT TANGER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Tanger - Nord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Top Client (-5%)</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45 jours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PARFA MAJORELLE BEAUTY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Marrakech - Sud Centre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Top Client (-5%)</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45 jours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PARFUMERIE SOUSS BEAUTY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Agadir - Sud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Top Client (-5%)</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45 jours</w:t>
            </w:r>
          </w:p>
        </w:tc>
      </w:tr>
    </w:tbl>
    <w:p>
      <w:pPr>
        <w:spacing w:after="200"/>
      </w:pPr>
    </w:p>
    <w:p>
      <w:pPr>
        <w:pStyle w:val="Heading3"/>
        <w:spacing w:after="150" w:before="300"/>
      </w:pPr>
      <w:r>
        <w:rPr>
          <w:rFonts w:ascii="Arial" w:cs="Arial" w:eastAsia="Arial" w:hAnsi="Arial"/>
          <w:b/>
          <w:bCs/>
        </w:rPr>
        <w:t xml:space="preserve">3.4.3 Client POS — PARASHOP (1 client)</w:t>
      </w:r>
    </w:p>
    <w:p>
      <w:pPr>
        <w:spacing w:after="120"/>
      </w:pPr>
      <w:r>
        <w:rPr>
          <w:rFonts w:ascii="Arial" w:cs="Arial" w:eastAsia="Arial" w:hAnsi="Arial"/>
          <w:sz w:val="22"/>
          <w:szCs w:val="22"/>
        </w:rPr>
        <w:t xml:space="preserve">Remise interne de 10%, paiement immédiat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00"/>
        <w:gridCol w:w="20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Zone</w:t>
            </w:r>
          </w:p>
        </w:tc>
        <w:tc>
          <w:tcPr>
            <w:tcW w:type="dxa" w:w="2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Liste de prix</w:t>
            </w:r>
          </w:p>
        </w:tc>
        <w:tc>
          <w:tcPr>
            <w:tcW w:type="dxa" w:w="2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Paiement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PARASHOP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Casablanca - Centre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POS (-10%)</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Immédiat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Justification : La segmentation en 3 niveaux (Standard / Top / POS) reflète la politique commerciale de PARABOX. Les conditions de paiement différenciées permettent de gérer le risque d’encours (10 MDH identifié dans la Note de cadrage) en adaptant les délais au profil de chaque client.</w:t>
      </w:r>
    </w:p>
    <w:p>
      <w:r>
        <w:br w:type="page"/>
      </w:r>
    </w:p>
    <w:p>
      <w:pPr>
        <w:pStyle w:val="Heading2"/>
        <w:spacing w:after="150" w:before="300"/>
      </w:pPr>
      <w:r>
        <w:rPr>
          <w:rFonts w:ascii="Arial" w:cs="Arial" w:eastAsia="Arial" w:hAnsi="Arial"/>
          <w:b/>
          <w:bCs/>
        </w:rPr>
        <w:t xml:space="preserve">3.5 Produits parapharmacie (19 produits)</w:t>
      </w:r>
    </w:p>
    <w:p>
      <w:pPr>
        <w:spacing w:after="120"/>
      </w:pPr>
      <w:r>
        <w:rPr>
          <w:rFonts w:ascii="Arial" w:cs="Arial" w:eastAsia="Arial" w:hAnsi="Arial"/>
          <w:sz w:val="22"/>
          <w:szCs w:val="22"/>
        </w:rPr>
        <w:t xml:space="preserve">19 produits importés avec traçabilité par lot, 4 champs personnalisés, et catégorisation complète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3000"/>
        <w:gridCol w:w="200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Produit</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Catégorie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Prix (MAD)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P001</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Crème Hydratante Visage - Cerave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Visage / Hydratation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137</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P002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Fluide SPF 50+ - La Roche-Posay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Solaire / Protection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180</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P003</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Gel Moussant Purifiant - La Roche-Posay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Visage / Nettoyant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158</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P004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Lotion Hydratante Corps - Cétaphil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Corps / Hydratation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180</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P005</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Shampoing Anti-Pelliculaire - Vichy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Cheveux / Traitement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138</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Bain de Bouche - Oral-B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Hygiène / Bucco-dentaire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80</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P008</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Vitamines Complexe - Nature’s Bounty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Compléments / Bien-être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190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P009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Sérum Anti-âge - Vichy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Visage / Anti-âge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P010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Crème Anti-âge Nuit - Filorga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Visage / Anti-âge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615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P013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Eau thermale - La Roche-Posay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Visage / Hydratation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90</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P014</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Photoderm MAX SPF100 - Bioderma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Solaire / Protection ultra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P015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Atoderm Lotion - Bioderma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Corps / Hydratation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180</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P016</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Normaderm Gel - Vichy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Visage / Traitement Acné</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150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P017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Dercos Anti-Pelliculaire - Vichy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Cheveux / Shampooing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140</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P018</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Eaux micellaires - Bioderma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Visage / Démaquillant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130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P019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Vitamine D3 1000UI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Compléments / Vitamines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85</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P020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Gel nettoyant bébé - Mustela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Bébé &amp; Maman / Hygiène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120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P021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Lotion antiseptique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Hygiène / Premiers secours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75</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P022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Huile nourrissante - Green Mood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Corps / Nutrition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145</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Champs personnalisés créés : x_marque (Marque), x_fournisseur (Fournisseur/Marketplace), x_contenance (Contenance), x_gamme (Gamme/Actif). Tous les produits sont configurés en type « Produit stocké » avec suivi par lot.</w:t>
      </w:r>
    </w:p>
    <w:p>
      <w:pPr>
        <w:spacing w:after="120"/>
      </w:pPr>
      <w:r>
        <w:rPr>
          <w:rFonts w:ascii="Arial" w:cs="Arial" w:eastAsia="Arial" w:hAnsi="Arial"/>
          <w:sz w:val="22"/>
          <w:szCs w:val="22"/>
        </w:rPr>
        <w:t xml:space="preserve">Justification : Le suivi par lot (tracking=lot) est essentiel pour la traçabilité des produits parapharmaceutiques (dates de péremption, rappels de lots). Les champs personnalisés enrichissent la fiche produit pour les besoins métier spécifiques de PARABOX.</w:t>
      </w:r>
    </w:p>
    <w:p>
      <w:r>
        <w:br w:type="page"/>
      </w:r>
    </w:p>
    <w:p>
      <w:pPr>
        <w:pStyle w:val="Heading1"/>
        <w:spacing w:after="150" w:before="300"/>
      </w:pPr>
      <w:r>
        <w:rPr>
          <w:rFonts w:ascii="Arial" w:cs="Arial" w:eastAsia="Arial" w:hAnsi="Arial"/>
          <w:b/>
          <w:bCs/>
        </w:rPr>
        <w:t xml:space="preserve">4. Configuration logistique</w:t>
      </w:r>
    </w:p>
    <w:p>
      <w:pPr>
        <w:pStyle w:val="Heading2"/>
        <w:spacing w:after="150" w:before="300"/>
      </w:pPr>
      <w:r>
        <w:rPr>
          <w:rFonts w:ascii="Arial" w:cs="Arial" w:eastAsia="Arial" w:hAnsi="Arial"/>
          <w:b/>
          <w:bCs/>
        </w:rPr>
        <w:t xml:space="preserve">4.1 Entrepôt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Paramètre</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PARABOX Ain Sebaa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PBX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Emplacement stock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PBX/Stock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Emplacement entrée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PBX/Entrée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Emplacement sortie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PBX/Sortie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Justification : Le renommage de l’entrepôt en « PARABOX Ain Sebaa » avec le code « PBX » identifie clairement le site logistique principal de PARABOX en Zone Industrielle d’Ain Sebaa. Les emplacements Entrée/Stock/Sortie structurent le flux logistique standard : réception → stockage → expédition.</w:t>
      </w:r>
    </w:p>
    <w:p>
      <w:pPr>
        <w:pStyle w:val="Heading1"/>
        <w:spacing w:after="150" w:before="300"/>
      </w:pPr>
      <w:r>
        <w:rPr>
          <w:rFonts w:ascii="Arial" w:cs="Arial" w:eastAsia="Arial" w:hAnsi="Arial"/>
          <w:b/>
          <w:bCs/>
        </w:rPr>
        <w:t xml:space="preserve">5. Configuration financière</w:t>
      </w:r>
    </w:p>
    <w:p>
      <w:pPr>
        <w:pStyle w:val="Heading2"/>
        <w:spacing w:after="150" w:before="300"/>
      </w:pPr>
      <w:r>
        <w:rPr>
          <w:rFonts w:ascii="Arial" w:cs="Arial" w:eastAsia="Arial" w:hAnsi="Arial"/>
          <w:b/>
          <w:bCs/>
        </w:rPr>
        <w:t xml:space="preserve">5.1 Listes de prix (3 listes)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Liste de prix</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Remise</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 client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PARABOX Standard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Parapharmacie (15 clients)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PARABOX Top Client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Beauté Mall (5 clients)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PARABOX POS (PARASHOP)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 PARASHOP (1 client)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Justification : La différenciation tarifaire en 3 niveaux reflète la stratégie commerciale de PARABOX. Les magasins POS PARASHOP bénéficient d’une remise interne de 10% (canal propre). Les clients Beauté Mall, à fort volume, bénéficient de 5% de remise pour fidilisation.</w:t>
      </w:r>
    </w:p>
    <w:p>
      <w:pPr>
        <w:pStyle w:val="Heading2"/>
        <w:spacing w:after="150" w:before="300"/>
      </w:pPr>
      <w:r>
        <w:rPr>
          <w:rFonts w:ascii="Arial" w:cs="Arial" w:eastAsia="Arial" w:hAnsi="Arial"/>
          <w:b/>
          <w:bCs/>
        </w:rPr>
        <w:t xml:space="preserve">5.2 Conditions de paiement</w:t>
      </w:r>
    </w:p>
    <w:p>
      <w:pPr>
        <w:spacing w:after="120"/>
      </w:pPr>
      <w:r>
        <w:rPr>
          <w:rFonts w:ascii="Arial" w:cs="Arial" w:eastAsia="Arial" w:hAnsi="Arial"/>
          <w:sz w:val="22"/>
          <w:szCs w:val="22"/>
        </w:rPr>
        <w:t xml:space="preserve">11 conditions de paiement préconfigurées dans Odoo, dont les 3 utilisées pour PARABOX :</w:t>
      </w:r>
    </w:p>
    <w:p>
      <w:pPr>
        <w:pStyle w:val="ListParagraph"/>
        <w:numPr>
          <w:ilvl w:val="0"/>
          <w:numId w:val="4"/>
        </w:numPr>
        <w:spacing w:after="80"/>
      </w:pPr>
      <w:r>
        <w:rPr>
          <w:rFonts w:ascii="Arial" w:cs="Arial" w:eastAsia="Arial" w:hAnsi="Arial"/>
          <w:sz w:val="22"/>
          <w:szCs w:val="22"/>
        </w:rPr>
        <w:t xml:space="preserve">Paiement immédiat : pour les POS PARASHOP (transactions internes)</w:t>
      </w:r>
    </w:p>
    <w:p>
      <w:pPr>
        <w:pStyle w:val="ListParagraph"/>
        <w:numPr>
          <w:ilvl w:val="0"/>
          <w:numId w:val="4"/>
        </w:numPr>
        <w:spacing w:after="80"/>
      </w:pPr>
      <w:r>
        <w:rPr>
          <w:rFonts w:ascii="Arial" w:cs="Arial" w:eastAsia="Arial" w:hAnsi="Arial"/>
          <w:sz w:val="22"/>
          <w:szCs w:val="22"/>
        </w:rPr>
        <w:t xml:space="preserve">30 jours : pour les clients standard Parapharmacie</w:t>
      </w:r>
    </w:p>
    <w:p>
      <w:pPr>
        <w:pStyle w:val="ListParagraph"/>
        <w:numPr>
          <w:ilvl w:val="0"/>
          <w:numId w:val="4"/>
        </w:numPr>
        <w:spacing w:after="80"/>
      </w:pPr>
      <w:r>
        <w:rPr>
          <w:rFonts w:ascii="Arial" w:cs="Arial" w:eastAsia="Arial" w:hAnsi="Arial"/>
          <w:sz w:val="22"/>
          <w:szCs w:val="22"/>
        </w:rPr>
        <w:t xml:space="preserve">45 jours : pour les clients Top (Beauté Mall) à fort volume</w:t>
      </w:r>
    </w:p>
    <w:p>
      <w:pPr>
        <w:spacing w:after="120"/>
      </w:pPr>
      <w:r>
        <w:rPr>
          <w:rFonts w:ascii="Arial" w:cs="Arial" w:eastAsia="Arial" w:hAnsi="Arial"/>
          <w:sz w:val="22"/>
          <w:szCs w:val="22"/>
        </w:rPr>
        <w:t xml:space="preserve">Justification : Ces délais sont calibrés pour équilibrer la trésorerie et le risque d’encours. Le paiement immédiat pour les POS élimine le risque interne. Les 30 jours constituent le délai standard du marché parapharmaceutique marocain. Les 45 jours récompensent les clients stratégiques à fort volume.</w:t>
      </w:r>
    </w:p>
    <w:p>
      <w:pPr>
        <w:pStyle w:val="Heading2"/>
        <w:spacing w:after="150" w:before="300"/>
      </w:pPr>
      <w:r>
        <w:rPr>
          <w:rFonts w:ascii="Arial" w:cs="Arial" w:eastAsia="Arial" w:hAnsi="Arial"/>
          <w:b/>
          <w:bCs/>
        </w:rPr>
        <w:t xml:space="preserve">5.3 Taxes marocaines</w:t>
      </w:r>
    </w:p>
    <w:p>
      <w:pPr>
        <w:spacing w:after="120"/>
      </w:pPr>
      <w:r>
        <w:rPr>
          <w:rFonts w:ascii="Arial" w:cs="Arial" w:eastAsia="Arial" w:hAnsi="Arial"/>
          <w:sz w:val="22"/>
          <w:szCs w:val="22"/>
        </w:rPr>
        <w:t xml:space="preserve">77 taxes préconfigurées via le plan comptable marocain (PCGM). Les taux principaux applicables aux produits PARABOX sont :</w:t>
      </w:r>
    </w:p>
    <w:p>
      <w:pPr>
        <w:pStyle w:val="ListParagraph"/>
        <w:numPr>
          <w:ilvl w:val="0"/>
          <w:numId w:val="4"/>
        </w:numPr>
        <w:spacing w:after="80"/>
      </w:pPr>
      <w:r>
        <w:rPr>
          <w:rFonts w:ascii="Arial" w:cs="Arial" w:eastAsia="Arial" w:hAnsi="Arial"/>
          <w:sz w:val="22"/>
          <w:szCs w:val="22"/>
        </w:rPr>
        <w:t xml:space="preserve">TVA 20% : taux normal, applicable à la majorité des produits cosmétiques et parapharmaceutiques</w:t>
      </w:r>
    </w:p>
    <w:p>
      <w:pPr>
        <w:pStyle w:val="ListParagraph"/>
        <w:numPr>
          <w:ilvl w:val="0"/>
          <w:numId w:val="4"/>
        </w:numPr>
        <w:spacing w:after="80"/>
      </w:pPr>
      <w:r>
        <w:rPr>
          <w:rFonts w:ascii="Arial" w:cs="Arial" w:eastAsia="Arial" w:hAnsi="Arial"/>
          <w:sz w:val="22"/>
          <w:szCs w:val="22"/>
        </w:rPr>
        <w:t xml:space="preserve">TVA 7% : taux réduit, applicable à certains compléments alimentaires</w:t>
      </w:r>
    </w:p>
    <w:p>
      <w:pPr>
        <w:spacing w:after="120"/>
      </w:pPr>
      <w:r>
        <w:rPr>
          <w:rFonts w:ascii="Arial" w:cs="Arial" w:eastAsia="Arial" w:hAnsi="Arial"/>
          <w:sz w:val="22"/>
          <w:szCs w:val="22"/>
        </w:rPr>
        <w:t xml:space="preserve">Justification : Aucune création supplémentaire nécessaire. Le plan comptable marocain installé couvre tous les taux TVA légaux.</w:t>
      </w:r>
    </w:p>
    <w:p>
      <w:pPr>
        <w:pStyle w:val="Heading2"/>
        <w:spacing w:after="150" w:before="300"/>
      </w:pPr>
      <w:r>
        <w:rPr>
          <w:rFonts w:ascii="Arial" w:cs="Arial" w:eastAsia="Arial" w:hAnsi="Arial"/>
          <w:b/>
          <w:bCs/>
        </w:rPr>
        <w:t xml:space="preserve">5.4 Journaux comptables</w:t>
      </w:r>
    </w:p>
    <w:p>
      <w:pPr>
        <w:spacing w:after="120"/>
      </w:pPr>
      <w:r>
        <w:rPr>
          <w:rFonts w:ascii="Arial" w:cs="Arial" w:eastAsia="Arial" w:hAnsi="Arial"/>
          <w:sz w:val="22"/>
          <w:szCs w:val="22"/>
        </w:rPr>
        <w:t xml:space="preserve">8 journaux préconfigurés couvrent les besoins de PARABOX : Factures clients, Avoirs clients, Factures fournisseurs, Avoirs fournisseurs, Banque, Espèces, Opérations diverses, Taux de change.</w:t>
      </w:r>
    </w:p>
    <w:p>
      <w:pPr>
        <w:spacing w:after="120"/>
      </w:pPr>
      <w:r>
        <w:rPr>
          <w:rFonts w:ascii="Arial" w:cs="Arial" w:eastAsia="Arial" w:hAnsi="Arial"/>
          <w:sz w:val="22"/>
          <w:szCs w:val="22"/>
        </w:rPr>
        <w:t xml:space="preserve">Justification : Les journaux par défaut d’Odoo couvrent le workflow complet BL → Facture → Paiement visé par le projet CAP2026.</w:t>
      </w:r>
    </w:p>
    <w:p>
      <w:r>
        <w:br w:type="page"/>
      </w:r>
    </w:p>
    <w:p>
      <w:pPr>
        <w:pStyle w:val="Heading1"/>
        <w:spacing w:after="150" w:before="300"/>
      </w:pPr>
      <w:r>
        <w:rPr>
          <w:rFonts w:ascii="Arial" w:cs="Arial" w:eastAsia="Arial" w:hAnsi="Arial"/>
          <w:b/>
          <w:bCs/>
        </w:rPr>
        <w:t xml:space="preserve">6. Synthèse des actions réalisées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2000"/>
        <w:gridCol w:w="18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Quantité</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Méthode</w:t>
            </w:r>
          </w:p>
        </w:tc>
        <w:tc>
          <w:tcPr>
            <w:tcW w:type="dxa" w:w="1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Renommage société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UI Odoo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Fait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Import catégories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CSV (pré-import)</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Fait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Import fournisseurs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CSV (pré-import)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Fait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Import commerciaux</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CSV (pré-import)</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Fait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Import clients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API RPC</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Fait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Import produits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API RPC</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Fait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Configuration entrepôt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API RPC</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Fait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Création listes de prix</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API RPC</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Fait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Affectation prix + paiement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API RPC</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Fait</w:t>
            </w:r>
          </w:p>
        </w:tc>
      </w:tr>
    </w:tbl>
    <w:p>
      <w:pPr>
        <w:spacing w:before="400"/>
      </w:pPr>
    </w:p>
    <w:p>
      <w:pPr>
        <w:spacing w:after="120"/>
      </w:pPr>
      <w:r>
        <w:rPr>
          <w:rFonts w:ascii="Arial" w:cs="Arial" w:eastAsia="Arial" w:hAnsi="Arial"/>
          <w:b/>
          <w:bCs/>
          <w:sz w:val="22"/>
          <w:szCs w:val="22"/>
        </w:rPr>
        <w:t xml:space="preserve">Total : 104 enregistrements configurés dans Odoo 17, couvrant l’intégralité du périmètre données maîtresses nécessaire au démarrage du module Logistique &amp; Finance de PARABOX.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PARABOX CAP2026 — Justification Configuration Odoo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2026-03-01T19:05:00.267Z</dcterms:created>
  <dcterms:modified xsi:type="dcterms:W3CDTF">2026-03-01T19:05:00.268Z</dcterms:modified>
</cp:coreProperties>
</file>

<file path=docProps/custom.xml><?xml version="1.0" encoding="utf-8"?>
<Properties xmlns="http://schemas.openxmlformats.org/officeDocument/2006/custom-properties" xmlns:vt="http://schemas.openxmlformats.org/officeDocument/2006/docPropsVTypes"/>
</file>