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xml"/>
  <Override ContentType="image/png" PartName="/word/media/document_image_rId10.png"/>
  <Override ContentType="image/png" PartName="/word/media/document_image_rId11.png"/>
  <Override ContentType="image/png" PartName="/word/media/document_image_rId12.png"/>
  <Override ContentType="image/png" PartName="/word/media/document_image_rId13.png"/>
  <Override ContentType="image/png" PartName="/word/media/document_image_rId14.png"/>
  <Override ContentType="image/png" PartName="/word/media/document_image_rId15.png"/>
  <Override ContentType="image/png" PartName="/word/media/document_image_rId16.png"/>
  <Override ContentType="image/png" PartName="/word/media/document_image_rId17.png"/>
  <Override ContentType="image/png" PartName="/word/media/document_image_rId18.png"/>
  <Override ContentType="image/png" PartName="/word/media/document_image_rId9.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spacing/>
        <w:ind/>
        <w:jc w:val="center"/>
        <w:rPr>
          <w:rFonts w:ascii="宋体" w:hAnsi="宋体" w:eastAsia="宋体"/>
          <w:sz w:val="44"/>
          <w:szCs w:val="44"/>
        </w:rPr>
      </w:pPr>
      <w:r>
        <w:rPr>
          <w:rFonts w:ascii="宋体" w:hAnsi="宋体" w:eastAsia="宋体"/>
          <w:sz w:val="44"/>
          <w:szCs w:val="44"/>
        </w:rPr>
      </w:r>
      <w:r>
        <w:rPr>
          <w:rFonts w:ascii="宋体" w:hAnsi="宋体" w:eastAsia="宋体"/>
          <w:sz w:val="44"/>
          <w:szCs w:val="44"/>
        </w:rPr>
        <w:t>深圳大学考试答题纸</w:t>
      </w:r>
    </w:p>
    <w:p>
      <w:pPr>
        <w:spacing/>
        <w:ind/>
        <w:jc w:val="center"/>
        <w:rPr>
          <w:rFonts w:ascii="宋体" w:hAnsi="宋体" w:eastAsia="宋体"/>
          <w:sz w:val="10"/>
          <w:szCs w:val="10"/>
        </w:rPr>
      </w:pPr>
      <w:r>
        <w:rPr>
          <w:rFonts w:ascii="宋体" w:hAnsi="宋体" w:eastAsia="宋体"/>
          <w:sz w:val="10"/>
          <w:szCs w:val="10"/>
        </w:rPr>
      </w:r>
      <w:r>
        <w:rPr>
          <w:rFonts w:ascii="Times New Roman" w:hAnsi="Times New Roman" w:eastAsia="Times New Roman"/>
          <w:sz w:val="24"/>
          <w:szCs w:val="24"/>
        </w:rPr>
        <w:t>(</w:t>
      </w:r>
      <w:r>
        <w:rPr>
          <w:rFonts w:ascii="宋体" w:hAnsi="宋体" w:eastAsia="宋体"/>
          <w:sz w:val="24"/>
          <w:szCs w:val="24"/>
        </w:rPr>
        <w:t>以论文、报告等形式考核专用</w:t>
      </w:r>
      <w:r>
        <w:rPr>
          <w:rFonts w:ascii="Times New Roman" w:hAnsi="Times New Roman" w:eastAsia="Times New Roman"/>
          <w:sz w:val="24"/>
          <w:szCs w:val="24"/>
        </w:rPr>
        <w:t>)</w:t>
      </w:r>
    </w:p>
    <w:p>
      <w:pPr>
        <w:jc w:val="left"/>
      </w:pPr>
      <w:r>
        <w:rPr>
          <w:rFonts w:ascii="宋体" w:hAnsi="宋体" w:eastAsia="宋体"/>
          <w:sz w:val="24"/>
          <w:szCs w:val="24"/>
        </w:rPr>
        <w:t>二○</w:t>
      </w:r>
      <w:r>
        <w:rPr>
          <w:rFonts w:ascii="Times New Roman" w:hAnsi="Times New Roman" w:eastAsia="Times New Roman"/>
          <w:sz w:val="24"/>
          <w:szCs w:val="24"/>
          <w:u w:val="single"/>
        </w:rPr>
        <w:t xml:space="preserve">      </w:t>
      </w:r>
      <w:r>
        <w:rPr>
          <w:rFonts w:ascii="宋体" w:hAnsi="宋体" w:eastAsia="宋体"/>
          <w:sz w:val="24"/>
          <w:szCs w:val="24"/>
        </w:rPr>
        <w:t>～二○</w:t>
      </w:r>
      <w:r>
        <w:rPr>
          <w:rFonts w:ascii="Times New Roman" w:hAnsi="Times New Roman" w:eastAsia="Times New Roman"/>
          <w:sz w:val="24"/>
          <w:szCs w:val="24"/>
          <w:u w:val="single"/>
        </w:rPr>
        <w:t xml:space="preserve">       </w:t>
      </w:r>
      <w:r>
        <w:rPr>
          <w:rFonts w:ascii="Times New Roman" w:hAnsi="Times New Roman" w:eastAsia="Times New Roman"/>
          <w:sz w:val="24"/>
          <w:szCs w:val="24"/>
        </w:rPr>
        <w:t xml:space="preserve">  </w:t>
      </w:r>
      <w:r>
        <w:rPr>
          <w:rFonts w:ascii="宋体" w:hAnsi="宋体" w:eastAsia="宋体"/>
          <w:sz w:val="24"/>
          <w:szCs w:val="24"/>
        </w:rPr>
        <w:t>学年度第</w:t>
      </w:r>
      <w:r>
        <w:rPr>
          <w:rFonts w:ascii="Times New Roman" w:hAnsi="Times New Roman" w:eastAsia="Times New Roman"/>
          <w:sz w:val="24"/>
          <w:szCs w:val="24"/>
          <w:u w:val="single"/>
        </w:rPr>
        <w:t xml:space="preserve">     </w:t>
      </w:r>
      <w:r>
        <w:rPr>
          <w:rFonts w:ascii="宋体" w:hAnsi="宋体" w:eastAsia="宋体"/>
          <w:sz w:val="24"/>
          <w:szCs w:val="24"/>
        </w:rPr>
        <w:t>学期</w:t>
      </w:r>
    </w:p>
    <w:tbl>
      <w:tblPr>
        <w:tblStyle w:val="a7"/>
        <w:tblW w:w="0" w:type="auto"/>
        <w:tblInd w:w="-8"/>
        <w:tblLook w:firstRow="1" w:lastRow="0" w:firstColumn="1" w:lastColumn="0" w:noHBand="0" w:noVBand="1" w:val="04A0"/>
      </w:tblPr>
      <w:tblGrid>
        <w:gridCol w:w="1065"/>
        <w:gridCol w:w="75"/>
        <w:gridCol w:w="825"/>
        <w:gridCol w:w="240"/>
        <w:gridCol w:w="600"/>
        <w:gridCol w:w="405"/>
        <w:gridCol w:w="15"/>
        <w:gridCol w:w="1080"/>
        <w:gridCol w:w="45"/>
        <w:gridCol w:w="1485"/>
        <w:gridCol w:w="345"/>
        <w:gridCol w:w="1125"/>
        <w:gridCol w:w="690"/>
        <w:gridCol w:w="150"/>
        <w:gridCol w:w="705"/>
        <w:gridCol w:w="420"/>
      </w:tblGrid>
      <w:tr>
        <w:trPr>
          <w:trHeight w:val="390" w:hRule="atLeast"/>
        </w:trPr>
        <w:tc>
          <w:tcPr>
            <w:tcW w:w="10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课程编号</w:t>
            </w:r>
          </w:p>
        </w:tc>
        <w:tc>
          <w:tcPr>
            <w:tcW w:w="90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84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课序号</w:t>
            </w:r>
          </w:p>
        </w:tc>
        <w:tc>
          <w:tcPr>
            <w:tcW w:w="42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1125"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课程名称</w:t>
            </w:r>
          </w:p>
        </w:tc>
        <w:tc>
          <w:tcPr>
            <w:tcW w:w="183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112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主讲教师</w:t>
            </w:r>
          </w:p>
        </w:tc>
        <w:tc>
          <w:tcPr>
            <w:tcW w:w="84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70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评分</w:t>
            </w:r>
          </w:p>
        </w:tc>
        <w:tc>
          <w:tcPr>
            <w:tcW w:w="420"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4"/>
                <w:szCs w:val="24"/>
              </w:rPr>
            </w:pPr>
            <w:r>
              <w:rPr>
                <w:rFonts w:ascii="楷体_GB2312" w:hAnsi="楷体_GB2312" w:eastAsia="楷体_GB2312"/>
                <w:sz w:val="24"/>
                <w:szCs w:val="24"/>
              </w:rPr>
            </w:r>
          </w:p>
        </w:tc>
      </w:tr>
      <w:tr>
        <w:trPr>
          <w:trHeight w:val="390" w:hRule="atLeast"/>
        </w:trPr>
        <w:tc>
          <w:tcPr>
            <w:tcW w:w="1065" w:type="dxa"/>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学    号</w:t>
            </w:r>
          </w:p>
        </w:tc>
        <w:tc>
          <w:tcPr>
            <w:tcW w:w="1140" w:type="dxa"/>
            <w:gridSpan w:val="3"/>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1005" w:type="dxa"/>
            <w:gridSpan w:val="2"/>
            <w:tcBorders>
              <w:top w:val="single" w:color="000000" w:sz="8" w:space="0"/>
              <w:left w:val="single" w:color="000000" w:sz="8" w:space="0"/>
              <w:bottom w:val="single" w:color="000000" w:sz="8" w:space="0"/>
              <w:right w:val="single" w:color="000000" w:sz="8" w:space="0"/>
            </w:tcBorders>
            <w:vAlign w:val="top"/>
          </w:tcPr>
          <w:p>
            <w:pPr>
              <w:spacing/>
              <w:ind/>
              <w:jc w:val="right"/>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姓名</w:t>
            </w:r>
          </w:p>
        </w:tc>
        <w:tc>
          <w:tcPr>
            <w:tcW w:w="1095"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c>
          <w:tcPr>
            <w:tcW w:w="1530" w:type="dxa"/>
            <w:gridSpan w:val="2"/>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专业年级</w:t>
            </w:r>
          </w:p>
        </w:tc>
        <w:tc>
          <w:tcPr>
            <w:tcW w:w="3435" w:type="dxa"/>
            <w:gridSpan w:val="6"/>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r>
      <w:tr>
        <w:trPr>
          <w:trHeight w:val="345" w:hRule="atLeast"/>
        </w:trPr>
        <w:tc>
          <w:tcPr>
            <w:tcW w:w="9270" w:type="dxa"/>
            <w:gridSpan w:val="16"/>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p>
        </w:tc>
      </w:tr>
      <w:tr>
        <w:trPr>
          <w:trHeight w:val="1395" w:hRule="atLeast"/>
        </w:trPr>
        <w:tc>
          <w:tcPr>
            <w:tcW w:w="9270" w:type="dxa"/>
            <w:gridSpan w:val="16"/>
            <w:tcBorders>
              <w:top w:val="single" w:color="000000" w:sz="8" w:space="0"/>
              <w:left w:val="single" w:color="000000" w:sz="8" w:space="0"/>
              <w:bottom w:val="single" w:color="000000" w:sz="8" w:space="0"/>
              <w:right w:val="single" w:color="000000" w:sz="8" w:space="0"/>
            </w:tcBorders>
            <w:vAlign w:val="top"/>
          </w:tcPr>
          <w:p>
            <w:pPr>
              <w:spacing/>
              <w:ind/>
              <w:jc w:val="both"/>
              <w:rPr>
                <w:rFonts w:ascii="楷体_GB2312" w:hAnsi="楷体_GB2312" w:eastAsia="楷体_GB2312"/>
                <w:sz w:val="21"/>
                <w:szCs w:val="21"/>
              </w:rPr>
            </w:pPr>
            <w:r>
              <w:rPr>
                <w:rFonts w:ascii="楷体_GB2312" w:hAnsi="楷体_GB2312" w:eastAsia="楷体_GB2312"/>
                <w:sz w:val="21"/>
                <w:szCs w:val="21"/>
              </w:rPr>
            </w:r>
            <w:r>
              <w:rPr>
                <w:rFonts w:ascii="楷体_GB2312" w:hAnsi="楷体_GB2312" w:eastAsia="楷体_GB2312"/>
                <w:sz w:val="21"/>
                <w:szCs w:val="21"/>
              </w:rPr>
              <w:t>教师评语：</w:t>
            </w:r>
          </w:p>
        </w:tc>
      </w:tr>
      <w:tr>
        <w:trPr>
          <w:trHeight w:val="765" w:hRule="atLeast"/>
        </w:trPr>
        <w:tc>
          <w:tcPr>
            <w:tcW w:w="1140" w:type="dxa"/>
            <w:gridSpan w:val="2"/>
            <w:tcBorders>
              <w:top w:val="single" w:color="000000" w:sz="8" w:space="0"/>
              <w:left w:val="single" w:color="000000" w:sz="8" w:space="0"/>
              <w:bottom w:val="single" w:color="000000" w:sz="8" w:space="0"/>
              <w:right w:val="single" w:color="000000" w:sz="8" w:space="0"/>
            </w:tcBorders>
            <w:vAlign w:val="top"/>
          </w:tcPr>
          <w:p>
            <w:pPr>
              <w:spacing/>
              <w:ind/>
              <w:jc w:val="center"/>
              <w:rPr>
                <w:rFonts w:ascii="楷体_GB2312" w:hAnsi="楷体_GB2312" w:eastAsia="楷体_GB2312"/>
                <w:sz w:val="24"/>
                <w:szCs w:val="24"/>
              </w:rPr>
            </w:pPr>
            <w:r>
              <w:rPr>
                <w:rFonts w:ascii="楷体_GB2312" w:hAnsi="楷体_GB2312" w:eastAsia="楷体_GB2312"/>
                <w:sz w:val="24"/>
                <w:szCs w:val="24"/>
              </w:rPr>
            </w:r>
            <w:r>
              <w:rPr>
                <w:rFonts w:ascii="楷体_GB2312" w:hAnsi="楷体_GB2312" w:eastAsia="楷体_GB2312"/>
                <w:sz w:val="24"/>
                <w:szCs w:val="24"/>
              </w:rPr>
              <w:t>题目：</w:t>
            </w:r>
          </w:p>
        </w:tc>
        <w:tc>
          <w:tcPr>
            <w:tcW w:w="6855" w:type="dxa"/>
            <w:gridSpan w:val="11"/>
            <w:tcBorders>
              <w:top w:val="single" w:color="000000" w:sz="8" w:space="0"/>
              <w:left w:val="single" w:color="000000" w:sz="8" w:space="0"/>
              <w:bottom w:val="single" w:color="000000" w:sz="8" w:space="0"/>
              <w:right w:val="single" w:color="000000" w:sz="8" w:space="0"/>
            </w:tcBorders>
            <w:vAlign w:val="top"/>
          </w:tcPr>
          <w:p>
            <w:pPr>
              <w:spacing/>
              <w:ind w:right="18"/>
              <w:jc w:val="center"/>
            </w:pPr>
            <w:r>
              <w:rPr>
                <w:rFonts w:ascii="微软雅黑" w:hAnsi="微软雅黑" w:eastAsia="微软雅黑"/>
                <w:sz w:val="21"/>
                <w:szCs w:val="21"/>
              </w:rPr>
            </w:r>
            <w:r>
              <w:rPr>
                <w:rFonts w:ascii="黑体" w:hAnsi="黑体" w:eastAsia="黑体"/>
                <w:sz w:val="32"/>
                <w:szCs w:val="32"/>
              </w:rPr>
              <w:t>拉曼光谱成分分析问题</w:t>
            </w:r>
          </w:p>
        </w:tc>
        <w:tc>
          <w:tcPr>
            <w:tcW w:w="1275" w:type="dxa"/>
            <w:gridSpan w:val="3"/>
            <w:tcBorders>
              <w:top w:val="single" w:color="000000" w:sz="8" w:space="0"/>
              <w:left w:val="single" w:color="000000" w:sz="8" w:space="0"/>
              <w:bottom w:val="single" w:color="000000" w:sz="8" w:space="0"/>
              <w:right w:val="single" w:color="000000" w:sz="8" w:space="0"/>
            </w:tcBorders>
            <w:vAlign w:val="top"/>
          </w:tcPr>
          <w:p>
            <w:pPr>
              <w:spacing/>
              <w:ind/>
              <w:jc w:val="center"/>
              <w:rPr>
                <w:rFonts w:ascii="楷体_GB2312" w:hAnsi="楷体_GB2312" w:eastAsia="楷体_GB2312"/>
                <w:sz w:val="24"/>
                <w:szCs w:val="24"/>
              </w:rPr>
            </w:pPr>
            <w:r>
              <w:rPr>
                <w:rFonts w:ascii="楷体_GB2312" w:hAnsi="楷体_GB2312" w:eastAsia="楷体_GB2312"/>
                <w:sz w:val="24"/>
                <w:szCs w:val="24"/>
              </w:rPr>
            </w:r>
          </w:p>
        </w:tc>
      </w:tr>
    </w:tbl>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ind/>
        <w:jc w:val="both"/>
        <w:rPr>
          <w:rFonts w:ascii="宋体" w:hAnsi="宋体" w:eastAsia="宋体"/>
          <w:sz w:val="21"/>
          <w:szCs w:val="21"/>
        </w:rPr>
      </w:pPr>
      <w:r>
        <w:rPr>
          <w:rFonts w:ascii="宋体" w:hAnsi="宋体" w:eastAsia="宋体"/>
          <w:sz w:val="21"/>
          <w:szCs w:val="21"/>
        </w:rPr>
      </w:r>
    </w:p>
    <w:p>
      <w:pPr>
        <w:spacing w:before="55" w:line="410" w:lineRule="atLeast"/>
        <w:ind w:right="18"/>
        <w:jc w:val="center"/>
      </w:pPr>
      <w:r>
        <w:rPr>
          <w:rFonts w:ascii="微软雅黑" w:hAnsi="微软雅黑" w:eastAsia="微软雅黑"/>
          <w:sz w:val="21"/>
          <w:szCs w:val="21"/>
        </w:rPr>
      </w:r>
      <w:r>
        <w:rPr>
          <w:rFonts w:ascii="黑体" w:hAnsi="黑体" w:eastAsia="黑体"/>
          <w:color w:val="000000"/>
          <w:sz w:val="32"/>
          <w:szCs w:val="32"/>
        </w:rPr>
        <w:t>拉曼光谱成分分析</w:t>
      </w:r>
      <w:r>
        <w:rPr>
          <w:rFonts w:ascii="黑体" w:hAnsi="黑体" w:eastAsia="黑体"/>
          <w:color w:val="000000"/>
          <w:kern w:val="0"/>
          <w:sz w:val="32"/>
          <w:szCs w:val="32"/>
        </w:rPr>
        <w:t>问题</w:t>
      </w:r>
    </w:p>
    <w:p>
      <w:pPr>
        <w:spacing w:before="287" w:line="624" w:lineRule="atLeast"/>
        <w:ind w:right="18"/>
        <w:jc w:val="center"/>
        <w:rPr>
          <w:rFonts w:ascii="宋体" w:hAnsi="宋体" w:eastAsia="宋体"/>
          <w:sz w:val="32"/>
          <w:szCs w:val="32"/>
        </w:rPr>
      </w:pPr>
      <w:r>
        <w:rPr>
          <w:rFonts w:ascii="宋体" w:hAnsi="宋体" w:eastAsia="宋体"/>
          <w:sz w:val="32"/>
          <w:szCs w:val="32"/>
        </w:rPr>
      </w:r>
      <w:r>
        <w:rPr>
          <w:rFonts w:ascii="黑体" w:hAnsi="黑体" w:eastAsia="黑体"/>
          <w:b w:val="true"/>
          <w:bCs w:val="true"/>
          <w:color w:val="000000"/>
          <w:kern w:val="0"/>
          <w:sz w:val="28"/>
          <w:szCs w:val="28"/>
        </w:rPr>
        <w:t>摘要</w:t>
      </w:r>
    </w:p>
    <w:p>
      <w:pPr>
        <w:spacing w:line="280" w:lineRule="atLeast"/>
        <w:ind/>
        <w:jc w:val="both"/>
        <w:rPr>
          <w:rFonts w:ascii="宋体" w:hAnsi="宋体" w:eastAsia="宋体"/>
          <w:sz w:val="21"/>
          <w:szCs w:val="21"/>
        </w:rPr>
      </w:pPr>
      <w:r>
        <w:rPr>
          <w:rFonts w:ascii="宋体" w:hAnsi="宋体" w:eastAsia="宋体"/>
          <w:sz w:val="21"/>
          <w:szCs w:val="21"/>
        </w:rPr>
      </w:r>
    </w:p>
    <w:p>
      <w:pPr>
        <w:spacing w:line="360" w:lineRule="auto"/>
        <w:ind w:firstLine="420"/>
        <w:jc w:val="both"/>
      </w:pPr>
      <w:r>
        <w:rPr>
          <w:rFonts w:ascii="微软雅黑" w:hAnsi="微软雅黑" w:eastAsia="微软雅黑"/>
          <w:sz w:val="21"/>
          <w:szCs w:val="21"/>
        </w:rPr>
      </w:r>
      <w:r>
        <w:rPr>
          <w:rFonts w:ascii="宋体" w:hAnsi="宋体" w:eastAsia="宋体"/>
          <w:sz w:val="24"/>
          <w:szCs w:val="24"/>
        </w:rPr>
        <w:t>本文通过对混合物的拉曼光谱的运算时间和准确度等指标分析</w:t>
      </w:r>
      <w:r>
        <w:rPr>
          <w:rFonts w:ascii="SimSun, Songti SC, 宋体, sans-ser,serif,Songti SC" w:hAnsi="SimSun, Songti SC, 宋体, sans-ser,serif,Songti SC" w:eastAsia="SimSun, Songti SC, 宋体, sans-ser,serif,Songti SC"/>
          <w:sz w:val="24"/>
          <w:szCs w:val="24"/>
        </w:rPr>
        <w:t>论证该拉曼光谱仪用于用于检测的合理性，根据提供的二十种纯净物的信息建立一个纯净物光谱的特征峰库；对混合物光谱的特征峰和建立的特征峰库做峰值匹配为混合物做定性分析；通过线性回归拟合的方法计算出每一种成分对于这种混合物的系数判断成分和含量；通过前面建立的模型估计剩下几种未知物质的组成成分和含量</w:t>
      </w:r>
    </w:p>
    <w:p>
      <w:pPr>
        <w:spacing w:line="360" w:lineRule="auto"/>
        <w:ind w:firstLine="420"/>
        <w:jc w:val="both"/>
      </w:pPr>
      <w:r>
        <w:rPr>
          <w:rFonts w:ascii="微软雅黑" w:hAnsi="微软雅黑" w:eastAsia="微软雅黑"/>
          <w:sz w:val="21"/>
          <w:szCs w:val="21"/>
        </w:rPr>
      </w:r>
      <w:r>
        <w:rPr>
          <w:rFonts w:ascii="宋体" w:hAnsi="宋体" w:eastAsia="宋体"/>
          <w:sz w:val="24"/>
          <w:szCs w:val="24"/>
        </w:rPr>
        <w:t>针对问题一，通过对给定的数据找出一个区间里面的最高峰值作为特征峰的点，对这些特征峰作为依据作为后面的匹配，对二十种纯净物都是这么处理，就可以得到一个所有纯净物的特征峰库。</w:t>
      </w:r>
    </w:p>
    <w:p>
      <w:pPr>
        <w:spacing w:line="360" w:lineRule="auto"/>
        <w:ind w:firstLine="420"/>
        <w:jc w:val="both"/>
      </w:pPr>
      <w:r>
        <w:rPr>
          <w:rFonts w:ascii="微软雅黑" w:hAnsi="微软雅黑" w:eastAsia="微软雅黑"/>
          <w:sz w:val="21"/>
          <w:szCs w:val="21"/>
        </w:rPr>
      </w:r>
      <w:r>
        <w:rPr>
          <w:rFonts w:ascii="宋体" w:hAnsi="宋体" w:eastAsia="宋体"/>
          <w:sz w:val="24"/>
          <w:szCs w:val="24"/>
        </w:rPr>
        <w:t>针对问题二，用纯净物图像对混合物进行匹配，如果对于一个纯净物的所有特征峰波数对应的位置这个混合物都出现了峰值，就认为匹配成功，即这个混合物里面包括这个纯净物。</w:t>
      </w:r>
    </w:p>
    <w:p>
      <w:pPr>
        <w:spacing w:line="360" w:lineRule="auto"/>
        <w:ind w:firstLine="420"/>
        <w:jc w:val="both"/>
      </w:pPr>
      <w:r>
        <w:rPr>
          <w:rFonts w:ascii="微软雅黑" w:hAnsi="微软雅黑" w:eastAsia="微软雅黑"/>
          <w:sz w:val="21"/>
          <w:szCs w:val="21"/>
        </w:rPr>
      </w:r>
      <w:r>
        <w:rPr>
          <w:rFonts w:ascii="宋体" w:hAnsi="宋体" w:eastAsia="宋体"/>
          <w:color w:val="000000"/>
          <w:sz w:val="24"/>
          <w:szCs w:val="24"/>
        </w:rPr>
        <w:t>针对问题三，对于问题二里面的计算出来有可能属于混合物成分的纯净物，对他们光谱和混合物光谱进行线性回归拟合，拟合结果里面系数比较高的部分就认为他们在混合物里面浓度占比比较高。并且可以通过这些成分之间的系数比值可以计算出各组分之间的比值推断出浓度的具体值。</w:t>
      </w:r>
    </w:p>
    <w:p>
      <w:pPr>
        <w:spacing w:line="360" w:lineRule="auto"/>
        <w:ind w:firstLine="420"/>
        <w:jc w:val="both"/>
      </w:pPr>
      <w:r>
        <w:rPr>
          <w:rFonts w:ascii="微软雅黑" w:hAnsi="微软雅黑" w:eastAsia="微软雅黑"/>
          <w:sz w:val="21"/>
          <w:szCs w:val="21"/>
        </w:rPr>
      </w:r>
      <w:r>
        <w:rPr>
          <w:rFonts w:ascii="宋体" w:hAnsi="宋体" w:eastAsia="宋体"/>
          <w:color w:val="000000"/>
          <w:sz w:val="24"/>
          <w:szCs w:val="24"/>
        </w:rPr>
        <w:t>针对问题四，利用上面建立出来的模型对未知成分的混合物进行判断，并分别评价模型的定性分析和定量分析是否可靠。</w:t>
      </w:r>
    </w:p>
    <w:p>
      <w:pPr>
        <w:spacing w:line="546" w:lineRule="atLeast"/>
        <w:ind/>
        <w:jc w:val="both"/>
        <w:rPr>
          <w:rFonts w:ascii="宋体" w:hAnsi="宋体" w:eastAsia="宋体"/>
          <w:sz w:val="21"/>
          <w:szCs w:val="21"/>
        </w:rPr>
      </w:pPr>
      <w:r>
        <w:rPr>
          <w:rFonts w:ascii="宋体" w:hAnsi="宋体" w:eastAsia="宋体"/>
          <w:sz w:val="21"/>
          <w:szCs w:val="21"/>
        </w:rPr>
      </w:r>
    </w:p>
    <w:p>
      <w:pPr>
        <w:spacing w:line="280" w:lineRule="atLeast"/>
        <w:ind/>
        <w:jc w:val="both"/>
      </w:pPr>
      <w:r>
        <w:rPr>
          <w:rFonts w:ascii="微软雅黑" w:hAnsi="微软雅黑" w:eastAsia="微软雅黑"/>
          <w:sz w:val="21"/>
          <w:szCs w:val="21"/>
        </w:rPr>
      </w:r>
      <w:r>
        <w:rPr>
          <w:rFonts w:ascii="宋体" w:hAnsi="宋体" w:eastAsia="宋体"/>
          <w:b w:val="true"/>
          <w:bCs w:val="true"/>
          <w:color w:val="000000"/>
          <w:sz w:val="24"/>
          <w:szCs w:val="24"/>
        </w:rPr>
        <w:t>关键词</w:t>
      </w:r>
      <w:r>
        <w:rPr>
          <w:rFonts w:ascii="宋体" w:hAnsi="宋体" w:eastAsia="宋体"/>
          <w:color w:val="000000"/>
          <w:sz w:val="24"/>
          <w:szCs w:val="24"/>
        </w:rPr>
        <w:t>：区间最大值，特征峰匹配，线性回归拟合</w:t>
      </w:r>
    </w:p>
    <w:p>
      <w:pPr>
        <w:spacing w:line="312" w:lineRule="atLeast"/>
        <w:ind/>
        <w:jc w:val="both"/>
        <w:rPr>
          <w:rFonts w:ascii="宋体" w:hAnsi="宋体" w:eastAsia="宋体"/>
          <w:sz w:val="21"/>
          <w:szCs w:val="21"/>
        </w:rPr>
      </w:pPr>
      <w:r>
        <w:rPr>
          <w:rFonts w:ascii="宋体" w:hAnsi="宋体" w:eastAsia="宋体"/>
          <w:sz w:val="21"/>
          <w:szCs w:val="21"/>
        </w:rPr>
      </w:r>
    </w:p>
    <w:p>
      <w:pPr>
        <w:spacing w:before="58" w:line="437" w:lineRule="atLeast"/>
        <w:ind w:right="18"/>
        <w:jc w:val="center"/>
        <w:rPr>
          <w:rFonts w:ascii="宋体" w:hAnsi="宋体" w:eastAsia="宋体"/>
          <w:sz w:val="21"/>
          <w:szCs w:val="21"/>
        </w:rPr>
      </w:pPr>
      <w:r>
        <w:rPr>
          <w:rFonts w:ascii="宋体" w:hAnsi="宋体" w:eastAsia="宋体"/>
          <w:sz w:val="21"/>
          <w:szCs w:val="21"/>
        </w:rPr>
      </w:r>
      <w:r>
        <w:rPr>
          <w:rFonts w:ascii="黑体" w:hAnsi="黑体" w:eastAsia="黑体"/>
          <w:color w:val="000000"/>
          <w:kern w:val="0"/>
          <w:sz w:val="30"/>
          <w:szCs w:val="30"/>
        </w:rPr>
        <w:t>一、问题重述</w:t>
      </w:r>
    </w:p>
    <w:p>
      <w:pPr>
        <w:spacing w:before="74"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1</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1 </w:t>
      </w:r>
      <w:r>
        <w:rPr>
          <w:rFonts w:ascii="黑体" w:hAnsi="黑体" w:eastAsia="黑体"/>
          <w:color w:val="000000"/>
          <w:kern w:val="0"/>
          <w:sz w:val="24"/>
          <w:szCs w:val="24"/>
        </w:rPr>
        <w:t>引言</w:t>
      </w:r>
    </w:p>
    <w:p>
      <w:pPr>
        <w:spacing w:before="74" w:line="546" w:lineRule="atLeast"/>
        <w:ind w:left="257"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拉曼光谱(Raman spectra)，是一种散射光谱。拉曼光谱分析法是基于印度科学家C.V.拉曼(Raman)所发现的拉曼散射效应，对与入射光频率不同的散射光谱进行分析以得到分子</w:t>
      </w:r>
      <w:r>
        <w:rPr>
          <w:rFonts w:ascii="SimSun, Songti SC, 宋体, sans-serif" w:hAnsi="SimSun, Songti SC, 宋体, sans-serif" w:eastAsia="SimSun, Songti SC, 宋体, sans-serif"/>
          <w:sz w:val="24"/>
          <w:szCs w:val="24"/>
        </w:rPr>
        <w:t>振动、转动方面信息，并应用于分子结构研究的一种分析方法。</w:t>
      </w:r>
    </w:p>
    <w:p>
      <w:pPr>
        <w:spacing w:before="74" w:line="546" w:lineRule="atLeast"/>
        <w:ind w:left="257"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拉曼光谱仪主要适用于科研院所、高等院校物理和化学实验室、生物及医学领域等光学方面，研究物质成分的判定与确认；还可以应用于刑侦及珠宝行业进行毒品的检测及宝石的鉴定。</w:t>
      </w:r>
    </w:p>
    <w:p>
      <w:pPr>
        <w:spacing w:before="74" w:line="546" w:lineRule="atLeast"/>
        <w:ind w:left="257"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该仪器以其结构简单、操作简便、测量快速高效准确，以低波数测量能力著称；</w:t>
      </w:r>
      <w:r>
        <w:rPr>
          <w:rFonts w:ascii="SimSun, Songti SC, 宋体, sans-serif,Songti SC" w:hAnsi="SimSun, Songti SC, 宋体, sans-serif,Songti SC" w:eastAsia="SimSun, Songti SC, 宋体, sans-serif,Songti SC"/>
          <w:sz w:val="24"/>
          <w:szCs w:val="24"/>
        </w:rPr>
        <w:t>采用共焦光路设计以获得更高分辨率，可对样品表面进行um 级的微区检测，也可用此进行显微影像测量。</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拉曼光谱技术的优越性：具有快速、简单、可重复、且更重等优越性，要的是无损伤的定性定量分析，它无需样品准备，样品可直接通过光纤探头或者通过玻璃、石英、和光纤测量。此外</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1 由于水的拉曼散射很微弱，拉曼光谱是研究水溶液中的生物样品和化学化合物的理想工具。</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2 拉曼一次可以同时覆盖50-4000 波数的区间，可对有机物及无机物进行分析。</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3 拉曼光谱谱峰清晰尖锐，更适合定量研究、数据库搜索、以及运用差异分析进行定性研究。在化学结构分析中，独立的拉曼区间的强度可以和功能集团的数量相关。</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4 因为激光束的直径在它的聚焦部位通常只有0.2-2 毫米，常规拉曼光谱只需要少量的</w:t>
      </w:r>
      <w:r>
        <w:rPr>
          <w:rFonts w:ascii="SimSun, Songti SC, 宋体, sans-serif, Songti SC,Songti SC" w:hAnsi="SimSun, Songti SC, 宋体, sans-serif, Songti SC,Songti SC" w:eastAsia="SimSun, Songti SC, 宋体, sans-serif, Songti SC,Songti SC"/>
          <w:sz w:val="24"/>
          <w:szCs w:val="24"/>
        </w:rPr>
        <w:t>样品就可以得到。这是拉曼光谱相对常规红外光谱一个很大的优势。而且，拉曼显微镜物</w:t>
      </w:r>
      <w:r>
        <w:rPr>
          <w:rFonts w:ascii="SimSun, Songti SC, 宋体, sans-serif, Songti SC" w:hAnsi="SimSun, Songti SC, 宋体, sans-serif, Songti SC" w:eastAsia="SimSun, Songti SC, 宋体, sans-serif, Songti SC"/>
          <w:sz w:val="24"/>
          <w:szCs w:val="24"/>
        </w:rPr>
        <w:t>镜可将激光束进一步聚焦至20 微米甚至更小，可分析更小面积的样品。</w:t>
      </w:r>
    </w:p>
    <w:p>
      <w:pPr>
        <w:spacing w:before="74" w:line="546" w:lineRule="atLeast"/>
        <w:ind w:left="257" w:firstLine="420"/>
        <w:jc w:val="both"/>
      </w:pPr>
      <w:r>
        <w:rPr>
          <w:rFonts w:ascii="微软雅黑" w:hAnsi="微软雅黑" w:eastAsia="微软雅黑"/>
          <w:sz w:val="21"/>
          <w:szCs w:val="21"/>
        </w:rPr>
      </w:r>
      <w:r>
        <w:rPr>
          <w:rFonts w:ascii="SimSun, Songti SC, 宋体, sans-serif,Songti SC" w:hAnsi="SimSun, Songti SC, 宋体, sans-serif,Songti SC" w:eastAsia="SimSun, Songti SC, 宋体, sans-serif,Songti SC"/>
          <w:sz w:val="24"/>
          <w:szCs w:val="24"/>
        </w:rPr>
        <w:t>5 共振拉曼效应可以用来有选择性地增强大生物分子特个发色基团的振动，这些发色基</w:t>
      </w:r>
      <w:r>
        <w:rPr>
          <w:rFonts w:ascii="SimSun, Songti SC, 宋体, sans-serif, Songti SC" w:hAnsi="SimSun, Songti SC, 宋体, sans-serif, Songti SC" w:eastAsia="SimSun, Songti SC, 宋体, sans-serif, Songti SC"/>
          <w:sz w:val="24"/>
          <w:szCs w:val="24"/>
        </w:rPr>
        <w:t>团的拉曼光强能被选择性地增强1000 到10000 倍。</w:t>
      </w:r>
    </w:p>
    <w:p>
      <w:pPr>
        <w:spacing w:before="74" w:line="546" w:lineRule="atLeast"/>
        <w:ind w:left="257" w:firstLine="420"/>
        <w:jc w:val="both"/>
      </w:pPr>
      <w:r>
        <w:rPr>
          <w:rFonts w:ascii="微软雅黑" w:hAnsi="微软雅黑" w:eastAsia="微软雅黑"/>
          <w:sz w:val="21"/>
          <w:szCs w:val="21"/>
        </w:rPr>
      </w:r>
      <w:r>
        <w:rPr>
          <w:rFonts w:ascii="SimSun, Songti SC, 宋体, sans-serif, Songti SC, Songti SC,Songti SC" w:hAnsi="SimSun, Songti SC, 宋体, sans-serif, Songti SC, Songti SC,Songti SC" w:eastAsia="SimSun, Songti SC, 宋体, sans-serif, Songti SC, Songti SC,Songti SC"/>
          <w:sz w:val="24"/>
          <w:szCs w:val="24"/>
        </w:rPr>
        <w:t>拉曼散射光谱（如下图）可以很典型地来反应一种物品的特性，不同物品的拉曼散射光谱会呈现出不同的特征峰的波数和强度。因此，拉曼散射光谱可以准确地刻画生物样品和</w:t>
      </w:r>
      <w:r>
        <w:rPr>
          <w:rFonts w:ascii="SimSun, Songti SC, 宋体, sans-serif, Songti SC, Songti SC, Songti SC" w:hAnsi="SimSun, Songti SC, 宋体, sans-serif, Songti SC, Songti SC, Songti SC" w:eastAsia="SimSun, Songti SC, 宋体, sans-serif, Songti SC, Songti SC, Songti SC"/>
          <w:sz w:val="24"/>
          <w:szCs w:val="24"/>
        </w:rPr>
        <w:t>化学化合物的特性。</w:t>
      </w:r>
    </w:p>
    <w:p>
      <w:pPr>
        <w:spacing/>
        <w:ind/>
        <w:jc w:val="center"/>
        <w:rPr>
          <w:rFonts w:ascii="SimSun, Songti SC, 宋体, sans-serif, Songti SC, Songti SC, Songti SC" w:hAnsi="SimSun, Songti SC, 宋体, sans-serif, Songti SC, Songti SC, Songti SC" w:eastAsia="SimSun, Songti SC, 宋体, sans-serif, Songti SC, Songti SC, Songti SC"/>
          <w:sz w:val="24"/>
          <w:szCs w:val="24"/>
        </w:rPr>
      </w:pPr>
      <w:r>
        <w:rPr>
          <w:rFonts w:ascii="SimSun, Songti SC, 宋体, sans-serif, Songti SC, Songti SC, Songti SC" w:hAnsi="SimSun, Songti SC, 宋体, sans-serif, Songti SC, Songti SC, Songti SC" w:eastAsia="SimSun, Songti SC, 宋体, sans-serif, Songti SC, Songti SC, Songti SC"/>
          <w:sz w:val="24"/>
          <w:szCs w:val="24"/>
        </w:rPr>
      </w:r>
      <w:r>
        <w:rPr>
          <w:rFonts w:ascii="微软雅黑" w:hAnsi="微软雅黑" w:eastAsia="微软雅黑"/>
          <w:sz w:val="21"/>
          <w:szCs w:val="21"/>
        </w:rPr>
        <w:drawing>
          <wp:inline distT="0" distB="0" distL="0" distR="0">
            <wp:extent cx="4124325" cy="3095625"/>
            <wp:effectExtent l="0" t="0" r="0" b="0"/>
            <wp:docPr id="1" name="" descr=""/>
            <wp:cNvGraphicFramePr>
              <a:graphicFrameLocks noChangeAspect="true"/>
            </wp:cNvGraphicFramePr>
            <a:graphic>
              <a:graphicData uri="http://schemas.openxmlformats.org/drawingml/2006/picture">
                <pic:pic>
                  <pic:nvPicPr>
                    <pic:cNvPr id="1" name=""/>
                    <pic:cNvPicPr/>
                  </pic:nvPicPr>
                  <pic:blipFill>
                    <a:blip r:embed="rId9"/>
                    <a:stretch>
                      <a:fillRect/>
                    </a:stretch>
                  </pic:blipFill>
                  <pic:spPr>
                    <a:xfrm>
                      <a:off x="0" y="0"/>
                      <a:ext cx="4124325" cy="3095625"/>
                    </a:xfrm>
                    <a:prstGeom prst="rect">
                      <a:avLst/>
                    </a:prstGeom>
                  </pic:spPr>
                </pic:pic>
              </a:graphicData>
            </a:graphic>
          </wp:inline>
        </w:drawing>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1</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2 </w:t>
      </w:r>
      <w:r>
        <w:rPr>
          <w:rFonts w:ascii="黑体" w:hAnsi="黑体" w:eastAsia="黑体"/>
          <w:color w:val="000000"/>
          <w:kern w:val="0"/>
          <w:sz w:val="24"/>
          <w:szCs w:val="24"/>
        </w:rPr>
        <w:t>问题的提出</w:t>
      </w:r>
    </w:p>
    <w:p>
      <w:pPr>
        <w:spacing w:line="546" w:lineRule="atLeast"/>
        <w:ind w:left="257" w:firstLine="420"/>
        <w:jc w:val="both"/>
        <w:rPr>
          <w:rFonts w:ascii="SimSun,Songti SC,宋体,sans-serif" w:hAnsi="SimSun,Songti SC,宋体,sans-serif" w:eastAsia="SimSun,Songti SC,宋体,sans-serif"/>
        </w:rPr>
      </w:pPr>
      <w:r>
        <w:rPr>
          <w:rFonts w:ascii="SimSun,Songti SC,宋体,sans-serif" w:hAnsi="SimSun,Songti SC,宋体,sans-serif" w:eastAsia="SimSun,Songti SC,宋体,sans-serif"/>
          <w:sz w:val="21"/>
          <w:szCs w:val="21"/>
        </w:rPr>
      </w:r>
      <w:r>
        <w:rPr>
          <w:rFonts w:ascii="SimSun,Songti SC,宋体,sans-serif" w:hAnsi="SimSun,Songti SC,宋体,sans-serif" w:eastAsia="SimSun,Songti SC,宋体,sans-serif"/>
          <w:sz w:val="24"/>
          <w:szCs w:val="24"/>
        </w:rPr>
        <w:t>现某公司开发了一批拉曼光谱仪，对吡啶、丙酮、二氯甲烷、环己烷、甲醇、甲醛、甲酸、硫酸、三氯甲烷、双氧水、四氢呋喃、硝酸、乙醇、乙腈、乙醚、乙酸乙酯、</w:t>
      </w:r>
      <w:r>
        <w:rPr>
          <w:rFonts w:ascii="SimSun, Songti SC, 宋体, sans-serif,Songti SC" w:hAnsi="SimSun, Songti SC, 宋体, sans-serif,Songti SC" w:eastAsia="SimSun, Songti SC, 宋体, sans-serif,Songti SC"/>
          <w:sz w:val="24"/>
          <w:szCs w:val="24"/>
        </w:rPr>
        <w:t>正己烷、苯巴比妥、硫酸安非他明、盐酸麻黄碱20 种试剂标准品和15 种混合物品（这些</w:t>
      </w:r>
      <w:r>
        <w:rPr>
          <w:rFonts w:ascii="SimSun,Songti SC,宋体,sans-serif" w:hAnsi="SimSun,Songti SC,宋体,sans-serif" w:eastAsia="SimSun,Songti SC,宋体,sans-serif"/>
          <w:sz w:val="24"/>
          <w:szCs w:val="24"/>
        </w:rPr>
        <w:t>混合物品都是由20 种试剂标准品中的2-4 种标准品混合而成的，其中10 种混合物品的成</w:t>
      </w:r>
      <w:r>
        <w:rPr>
          <w:rFonts w:ascii="SimSun, Songti SC, 宋体, sans-serif" w:hAnsi="SimSun, Songti SC, 宋体, sans-serif" w:eastAsia="SimSun, Songti SC, 宋体, sans-serif"/>
          <w:sz w:val="24"/>
          <w:szCs w:val="24"/>
        </w:rPr>
        <w:t>分已知，5 种混合物品的成分未知）进行了测试（拉曼谱图数据详见数据包）。</w:t>
      </w:r>
    </w:p>
    <w:p>
      <w:pPr>
        <w:spacing w:line="546" w:lineRule="atLeast"/>
        <w:ind w:left="257" w:firstLine="420"/>
        <w:jc w:val="both"/>
      </w:pPr>
      <w:r>
        <w:rPr>
          <w:rFonts w:ascii="微软雅黑" w:hAnsi="微软雅黑" w:eastAsia="微软雅黑"/>
          <w:sz w:val="21"/>
          <w:szCs w:val="21"/>
        </w:rPr>
      </w:r>
      <w:r>
        <w:rPr>
          <w:rFonts w:ascii="SimSun, Songti SC, 宋体, sans-serif, Songti SC,Songti SC" w:hAnsi="SimSun, Songti SC, 宋体, sans-serif, Songti SC,Songti SC" w:eastAsia="SimSun, Songti SC, 宋体, sans-serif, Songti SC,Songti SC"/>
          <w:sz w:val="24"/>
          <w:szCs w:val="24"/>
        </w:rPr>
        <w:t>1. 请构建拉曼光谱分析的模型框架，并通过试验分析验证10 种已知混合物品的成分和含量，以此来验证所构建的模型的准确性。通过模型计算的时间和准确度等指标来论证</w:t>
      </w:r>
      <w:r>
        <w:rPr>
          <w:rFonts w:ascii="SimSun, Songti SC, 宋体, sans-serif, Songti SC, Songti SC" w:hAnsi="SimSun, Songti SC, 宋体, sans-serif, Songti SC, Songti SC" w:eastAsia="SimSun, Songti SC, 宋体, sans-serif, Songti SC, Songti SC"/>
          <w:sz w:val="24"/>
          <w:szCs w:val="24"/>
        </w:rPr>
        <w:t>该拉曼光谱仪用于海关、机场等场所安全检查的可行性。</w:t>
      </w:r>
    </w:p>
    <w:p>
      <w:pPr>
        <w:spacing w:line="546" w:lineRule="atLeast"/>
        <w:ind w:left="257" w:firstLine="420"/>
        <w:jc w:val="both"/>
      </w:pPr>
      <w:r>
        <w:rPr>
          <w:rFonts w:ascii="微软雅黑" w:hAnsi="微软雅黑" w:eastAsia="微软雅黑"/>
          <w:sz w:val="21"/>
          <w:szCs w:val="21"/>
        </w:rPr>
      </w:r>
      <w:r>
        <w:rPr>
          <w:rFonts w:ascii="SimSun, Songti SC, 宋体, sans-serif, Songti SC" w:hAnsi="SimSun, Songti SC, 宋体, sans-serif, Songti SC" w:eastAsia="SimSun, Songti SC, 宋体, sans-serif, Songti SC"/>
          <w:sz w:val="24"/>
          <w:szCs w:val="24"/>
        </w:rPr>
        <w:t>2. 通过你们的模型判断5 种未知混合物品的组成成分和含量。</w:t>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1</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3 </w:t>
      </w:r>
      <w:r>
        <w:rPr>
          <w:rFonts w:ascii="黑体" w:hAnsi="黑体" w:eastAsia="黑体"/>
          <w:color w:val="000000"/>
          <w:kern w:val="0"/>
          <w:sz w:val="24"/>
          <w:szCs w:val="24"/>
        </w:rPr>
        <w:t>问题相关数据</w:t>
      </w:r>
    </w:p>
    <w:p>
      <w:pPr>
        <w:numPr>
          <w:ilvl w:val="0"/>
          <w:numId w:val="1005"/>
        </w:numPr>
        <w:spacing w:line="546" w:lineRule="atLeast"/>
        <w:ind w:hangingChars="200"/>
        <w:jc w:val="both"/>
        <w:rPr>
          <w:rFonts w:ascii="SimSun,Songti SC,宋体,sans-serif" w:hAnsi="SimSun,Songti SC,宋体,sans-serif" w:eastAsia="SimSun,Songti SC,宋体,sans-serif"/>
          <w:sz w:val="24"/>
          <w:szCs w:val="24"/>
        </w:rPr>
      </w:pPr>
      <w:r>
        <w:rPr>
          <w:rFonts w:ascii="Wingdings" w:hAnsi="Wingdings" w:eastAsia="Wingdings"/>
          <w:sz w:val="24"/>
          <w:szCs w:val="24"/>
        </w:rPr>
      </w:r>
      <w:r>
        <w:rPr>
          <w:rFonts w:ascii="SimSun,Songti SC,宋体,sans-serif" w:hAnsi="SimSun,Songti SC,宋体,sans-serif" w:eastAsia="SimSun,Songti SC,宋体,sans-serif"/>
          <w:sz w:val="24"/>
          <w:szCs w:val="24"/>
        </w:rPr>
        <w:t>测试数据在 data 文件夹中</w:t>
      </w:r>
    </w:p>
    <w:p>
      <w:pPr>
        <w:numPr>
          <w:ilvl w:val="0"/>
          <w:numId w:val="1005"/>
        </w:numPr>
        <w:spacing w:line="546" w:lineRule="atLeast"/>
        <w:ind w:hangingChars="200"/>
        <w:jc w:val="both"/>
        <w:rPr>
          <w:rFonts w:ascii="SimSun,Songti SC,宋体,sans-serif" w:hAnsi="SimSun,Songti SC,宋体,sans-serif" w:eastAsia="SimSun,Songti SC,宋体,sans-serif"/>
          <w:sz w:val="24"/>
          <w:szCs w:val="24"/>
        </w:rPr>
      </w:pPr>
      <w:r>
        <w:rPr>
          <w:rFonts w:ascii="Wingdings" w:hAnsi="Wingdings" w:eastAsia="Wingdings"/>
          <w:sz w:val="24"/>
          <w:szCs w:val="24"/>
        </w:rPr>
      </w:r>
      <w:r>
        <w:rPr>
          <w:rFonts w:ascii="SimSun,Songti SC,宋体,sans-serif" w:hAnsi="SimSun,Songti SC,宋体,sans-serif" w:eastAsia="SimSun,Songti SC,宋体,sans-serif"/>
          <w:sz w:val="24"/>
          <w:szCs w:val="24"/>
        </w:rPr>
        <w:t>代码部分放在 src 文件夹中</w:t>
      </w:r>
    </w:p>
    <w:p>
      <w:pPr>
        <w:numPr>
          <w:ilvl w:val="0"/>
          <w:numId w:val="1005"/>
        </w:numPr>
        <w:spacing w:line="546" w:lineRule="atLeast"/>
        <w:ind w:hangingChars="200"/>
        <w:jc w:val="both"/>
        <w:rPr>
          <w:rFonts w:ascii="SimSun,Songti SC,宋体,sans-serif" w:hAnsi="SimSun,Songti SC,宋体,sans-serif" w:eastAsia="SimSun,Songti SC,宋体,sans-serif"/>
          <w:sz w:val="24"/>
          <w:szCs w:val="24"/>
        </w:rPr>
      </w:pPr>
      <w:r>
        <w:rPr>
          <w:rFonts w:ascii="Wingdings" w:hAnsi="Wingdings" w:eastAsia="Wingdings"/>
          <w:sz w:val="24"/>
          <w:szCs w:val="24"/>
        </w:rPr>
      </w:r>
      <w:r>
        <w:rPr>
          <w:rFonts w:ascii="SimSun,Songti SC,宋体,sans-serif" w:hAnsi="SimSun,Songti SC,宋体,sans-serif" w:eastAsia="SimSun,Songti SC,宋体,sans-serif"/>
          <w:sz w:val="24"/>
          <w:szCs w:val="24"/>
        </w:rPr>
        <w:t>数据文本都是以如下格式存储，其中列向量 a 表示该样品拉曼散射光谱的波数，列向量 b 该样品拉曼散射光谱的强度（参见拉曼光谱图）；列向量 c, 列向量 d, 列向量 e, 列向量 f 暂无特殊意义。</w:t>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1</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4 </w:t>
      </w:r>
      <w:r>
        <w:rPr>
          <w:rFonts w:ascii="黑体" w:hAnsi="黑体" w:eastAsia="黑体"/>
          <w:color w:val="000000"/>
          <w:kern w:val="0"/>
          <w:sz w:val="24"/>
          <w:szCs w:val="24"/>
        </w:rPr>
        <w:t>要解决的问题</w:t>
      </w:r>
    </w:p>
    <w:p>
      <w:pPr>
        <w:spacing w:line="624" w:lineRule="atLeast"/>
        <w:ind/>
        <w:jc w:val="center"/>
        <w:rPr>
          <w:rFonts w:ascii="宋体" w:hAnsi="宋体" w:eastAsia="宋体"/>
          <w:sz w:val="32"/>
          <w:szCs w:val="32"/>
        </w:rPr>
      </w:pPr>
      <w:r>
        <w:rPr>
          <w:rFonts w:ascii="宋体" w:hAnsi="宋体" w:eastAsia="宋体"/>
          <w:sz w:val="32"/>
          <w:szCs w:val="32"/>
        </w:rPr>
      </w:r>
      <w:r>
        <w:rPr>
          <w:rFonts w:ascii="黑体" w:hAnsi="黑体" w:eastAsia="黑体"/>
          <w:b w:val="true"/>
          <w:bCs w:val="true"/>
          <w:color w:val="000000"/>
          <w:kern w:val="0"/>
          <w:sz w:val="30"/>
          <w:szCs w:val="30"/>
        </w:rPr>
        <w:t>二、模型的假设</w:t>
      </w:r>
    </w:p>
    <w:p>
      <w:pPr>
        <w:numPr>
          <w:ilvl w:val="0"/>
          <w:numId w:val="1005"/>
        </w:numPr>
        <w:spacing w:line="280" w:lineRule="atLeast"/>
        <w:ind w:left="818" w:hanging="360"/>
        <w:jc w:val="both"/>
        <w:rPr>
          <w:sz w:val="20"/>
          <w:szCs w:val="20"/>
        </w:rPr>
      </w:pPr>
      <w:r>
        <w:rPr>
          <w:rFonts w:ascii="Wingdings" w:hAnsi="Wingdings" w:eastAsia="Wingdings"/>
          <w:sz w:val="20"/>
          <w:szCs w:val="20"/>
        </w:rPr>
      </w:r>
      <w:r>
        <w:rPr>
          <w:rFonts w:ascii="宋体" w:hAnsi="宋体" w:eastAsia="宋体"/>
          <w:color w:val="000000"/>
          <w:sz w:val="24"/>
          <w:szCs w:val="24"/>
        </w:rPr>
        <w:t>标准溶液的拉曼光谱具有代表性</w:t>
      </w:r>
      <w:r>
        <w:rPr>
          <w:rFonts w:ascii="宋体" w:hAnsi="宋体" w:eastAsia="宋体"/>
          <w:color w:val="000000"/>
          <w:kern w:val="0"/>
          <w:sz w:val="24"/>
          <w:szCs w:val="24"/>
        </w:rPr>
        <w:t>；</w:t>
      </w:r>
    </w:p>
    <w:p>
      <w:pPr>
        <w:numPr>
          <w:ilvl w:val="0"/>
          <w:numId w:val="1005"/>
        </w:numPr>
        <w:spacing w:line="280" w:lineRule="atLeast"/>
        <w:ind w:left="818" w:hanging="360"/>
        <w:jc w:val="both"/>
        <w:rPr>
          <w:sz w:val="20"/>
          <w:szCs w:val="20"/>
        </w:rPr>
      </w:pPr>
      <w:r>
        <w:rPr>
          <w:rFonts w:ascii="Wingdings" w:hAnsi="Wingdings" w:eastAsia="Wingdings"/>
          <w:sz w:val="20"/>
          <w:szCs w:val="20"/>
        </w:rPr>
      </w:r>
      <w:r>
        <w:rPr>
          <w:rFonts w:ascii="宋体" w:hAnsi="宋体" w:eastAsia="宋体"/>
          <w:color w:val="000000"/>
          <w:sz w:val="24"/>
          <w:szCs w:val="24"/>
        </w:rPr>
        <w:t>混合物之间不会发生相互反应</w:t>
      </w:r>
      <w:r>
        <w:rPr>
          <w:rFonts w:ascii="宋体" w:hAnsi="宋体" w:eastAsia="宋体"/>
          <w:color w:val="000000"/>
          <w:kern w:val="0"/>
          <w:sz w:val="24"/>
          <w:szCs w:val="24"/>
        </w:rPr>
        <w:t>；</w:t>
      </w:r>
    </w:p>
    <w:p>
      <w:pPr>
        <w:numPr>
          <w:ilvl w:val="0"/>
          <w:numId w:val="1005"/>
        </w:numPr>
        <w:spacing w:before="90" w:line="280" w:lineRule="atLeast"/>
        <w:ind w:left="818" w:hanging="360"/>
        <w:jc w:val="both"/>
        <w:rPr>
          <w:sz w:val="20"/>
          <w:szCs w:val="20"/>
        </w:rPr>
      </w:pPr>
      <w:r>
        <w:rPr>
          <w:rFonts w:ascii="Wingdings" w:hAnsi="Wingdings" w:eastAsia="Wingdings"/>
          <w:sz w:val="20"/>
          <w:szCs w:val="20"/>
        </w:rPr>
      </w:r>
      <w:r>
        <w:rPr>
          <w:rFonts w:ascii="宋体" w:hAnsi="宋体" w:eastAsia="宋体"/>
          <w:color w:val="000000"/>
          <w:sz w:val="24"/>
          <w:szCs w:val="24"/>
        </w:rPr>
        <w:t>混合物光谱和纯净物标准光谱在同一条件下测量</w:t>
      </w:r>
      <w:r>
        <w:rPr>
          <w:rFonts w:ascii="宋体" w:hAnsi="宋体" w:eastAsia="宋体"/>
          <w:color w:val="000000"/>
          <w:kern w:val="0"/>
          <w:sz w:val="24"/>
          <w:szCs w:val="24"/>
        </w:rPr>
        <w:t>；</w:t>
      </w:r>
    </w:p>
    <w:p>
      <w:pPr>
        <w:spacing w:line="546" w:lineRule="atLeast"/>
        <w:ind/>
        <w:jc w:val="both"/>
        <w:rPr>
          <w:rFonts w:ascii="宋体" w:hAnsi="宋体" w:eastAsia="宋体"/>
          <w:sz w:val="21"/>
          <w:szCs w:val="21"/>
        </w:rPr>
      </w:pPr>
      <w:r>
        <w:rPr>
          <w:rFonts w:ascii="宋体" w:hAnsi="宋体" w:eastAsia="宋体"/>
          <w:sz w:val="21"/>
          <w:szCs w:val="21"/>
        </w:rPr>
      </w:r>
    </w:p>
    <w:tbl>
      <w:tblPr>
        <w:tblStyle w:val="a7"/>
        <w:tblW w:w="0" w:type="auto"/>
        <w:tblInd w:w="-8"/>
        <w:tblLook w:firstRow="1" w:lastRow="0" w:firstColumn="1" w:lastColumn="0" w:noHBand="0" w:noVBand="1" w:val="04A0"/>
      </w:tblPr>
      <w:tblGrid>
        <w:gridCol w:w="3195"/>
        <w:gridCol w:w="2400"/>
        <w:gridCol w:w="3675"/>
      </w:tblGrid>
      <w:tr>
        <w:trPr>
          <w:trHeight w:val="555"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r>
              <w:rPr>
                <w:rFonts w:ascii="黑体" w:hAnsi="黑体" w:eastAsia="黑体"/>
                <w:kern w:val="0"/>
                <w:sz w:val="30"/>
                <w:szCs w:val="30"/>
              </w:rPr>
              <w:t>三、符号说明</w:t>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r>
              <w:rPr>
                <w:rFonts w:ascii="宋体" w:hAnsi="宋体" w:eastAsia="宋体"/>
                <w:kern w:val="0"/>
                <w:sz w:val="24"/>
                <w:szCs w:val="24"/>
              </w:rPr>
              <w:t>符号</w:t>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r>
              <w:rPr>
                <w:rFonts w:ascii="宋体" w:hAnsi="宋体" w:eastAsia="宋体"/>
                <w:kern w:val="0"/>
                <w:sz w:val="24"/>
                <w:szCs w:val="24"/>
              </w:rPr>
              <w:t>意义</w:t>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Helvetica" w:hAnsi="Helvetica" w:eastAsia="Helvetica"/>
                <w:sz w:val="28"/>
                <w:szCs w:val="28"/>
              </w:rPr>
              <w:t xml:space="preserve">  N1</w:t>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微软雅黑" w:hAnsi="微软雅黑" w:eastAsia="微软雅黑"/>
                <w:sz w:val="21"/>
                <w:szCs w:val="21"/>
              </w:rPr>
              <w:t xml:space="preserve"> 试剂的最高值区间范围</w:t>
            </w:r>
          </w:p>
        </w:tc>
      </w:tr>
      <w:tr>
        <w:trPr>
          <w:trHeight w:val="585"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Helvetica" w:hAnsi="Helvetica" w:eastAsia="Helvetica"/>
                <w:sz w:val="28"/>
                <w:szCs w:val="28"/>
              </w:rPr>
              <w:t xml:space="preserve">  Q1</w:t>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微软雅黑" w:hAnsi="微软雅黑" w:eastAsia="微软雅黑"/>
                <w:sz w:val="21"/>
                <w:szCs w:val="21"/>
              </w:rPr>
              <w:t>试剂样本阈值</w:t>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Helvetica" w:hAnsi="Helvetica" w:eastAsia="Helvetica"/>
                <w:sz w:val="28"/>
                <w:szCs w:val="28"/>
              </w:rPr>
              <w:t xml:space="preserve">  N2</w:t>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微软雅黑" w:hAnsi="微软雅黑" w:eastAsia="微软雅黑"/>
                <w:sz w:val="21"/>
                <w:szCs w:val="21"/>
              </w:rPr>
              <w:t>混合物的最高值区间范围</w:t>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Helvetica" w:hAnsi="Helvetica" w:eastAsia="Helvetica"/>
                <w:sz w:val="28"/>
                <w:szCs w:val="28"/>
              </w:rPr>
              <w:t xml:space="preserve">  Q2</w:t>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微软雅黑" w:hAnsi="微软雅黑" w:eastAsia="微软雅黑"/>
                <w:sz w:val="21"/>
                <w:szCs w:val="21"/>
              </w:rPr>
              <w:t>混合物样本阈值</w:t>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r>
              <w:rPr>
                <w:rFonts w:ascii="宋体" w:hAnsi="宋体" w:eastAsia="宋体"/>
                <w:sz w:val="24"/>
                <w:szCs w:val="24"/>
              </w:rPr>
              <w:t xml:space="preserve"> </w:t>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r>
        <w:trPr>
          <w:trHeight w:val="540" w:hRule="atLeast"/>
        </w:trPr>
        <w:tc>
          <w:tcPr>
            <w:tcW w:w="319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c>
          <w:tcPr>
            <w:tcW w:w="2400" w:type="dxa"/>
            <w:tcBorders>
              <w:top w:val="single" w:color="000000" w:sz="8" w:space="0"/>
              <w:left w:val="single" w:color="000000" w:sz="8" w:space="0"/>
              <w:bottom w:val="single" w:color="000000" w:sz="8" w:space="0"/>
              <w:right w:val="single" w:color="000000" w:sz="8" w:space="0"/>
            </w:tcBorders>
            <w:vAlign w:val="top"/>
          </w:tcPr>
          <w:p>
            <w:pPr>
              <w:spacing/>
              <w:ind/>
              <w:jc w:val="left"/>
              <w:rPr>
                <w:rFonts w:ascii="宋体" w:hAnsi="宋体" w:eastAsia="宋体"/>
                <w:sz w:val="24"/>
                <w:szCs w:val="24"/>
              </w:rPr>
            </w:pPr>
            <w:r>
              <w:rPr>
                <w:rFonts w:ascii="宋体" w:hAnsi="宋体" w:eastAsia="宋体"/>
                <w:sz w:val="24"/>
                <w:szCs w:val="24"/>
              </w:rPr>
            </w:r>
          </w:p>
        </w:tc>
        <w:tc>
          <w:tcPr>
            <w:tcW w:w="3675" w:type="dxa"/>
            <w:tcBorders>
              <w:top w:val="single" w:color="000000" w:sz="8" w:space="0"/>
              <w:left w:val="single" w:color="000000" w:sz="8" w:space="0"/>
              <w:bottom w:val="single" w:color="000000" w:sz="8" w:space="0"/>
              <w:right w:val="single" w:color="000000" w:sz="8" w:space="0"/>
            </w:tcBorders>
            <w:vAlign w:val="top"/>
          </w:tcPr>
          <w:p>
            <w:pPr>
              <w:spacing/>
              <w:ind/>
              <w:jc w:val="left"/>
            </w:pPr>
            <w:r>
              <w:rPr>
                <w:rFonts w:ascii="微软雅黑" w:hAnsi="微软雅黑" w:eastAsia="微软雅黑"/>
                <w:sz w:val="21"/>
                <w:szCs w:val="21"/>
              </w:rPr>
            </w:r>
          </w:p>
        </w:tc>
      </w:tr>
    </w:tbl>
    <w:p>
      <w:pPr>
        <w:spacing w:line="364" w:lineRule="atLeast"/>
        <w:ind/>
        <w:jc w:val="both"/>
        <w:rPr>
          <w:rFonts w:ascii="宋体" w:hAnsi="宋体" w:eastAsia="宋体"/>
          <w:sz w:val="21"/>
          <w:szCs w:val="21"/>
        </w:rPr>
      </w:pPr>
      <w:r>
        <w:rPr>
          <w:rFonts w:ascii="宋体" w:hAnsi="宋体" w:eastAsia="宋体"/>
          <w:sz w:val="21"/>
          <w:szCs w:val="21"/>
        </w:rPr>
      </w:r>
    </w:p>
    <w:p>
      <w:pPr>
        <w:spacing w:line="437" w:lineRule="atLeast"/>
        <w:ind/>
        <w:jc w:val="center"/>
        <w:rPr>
          <w:rFonts w:ascii="宋体" w:hAnsi="宋体" w:eastAsia="宋体"/>
          <w:sz w:val="21"/>
          <w:szCs w:val="21"/>
        </w:rPr>
      </w:pPr>
      <w:r>
        <w:rPr>
          <w:rFonts w:ascii="宋体" w:hAnsi="宋体" w:eastAsia="宋体"/>
          <w:sz w:val="21"/>
          <w:szCs w:val="21"/>
        </w:rPr>
      </w:r>
      <w:r>
        <w:rPr>
          <w:rFonts w:ascii="黑体" w:hAnsi="黑体" w:eastAsia="黑体"/>
          <w:color w:val="000000"/>
          <w:kern w:val="0"/>
          <w:sz w:val="30"/>
          <w:szCs w:val="30"/>
        </w:rPr>
        <w:t>四、问题分析</w:t>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4</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1 </w:t>
      </w:r>
      <w:r>
        <w:rPr>
          <w:rFonts w:ascii="黑体" w:hAnsi="黑体" w:eastAsia="黑体"/>
          <w:color w:val="000000"/>
          <w:kern w:val="0"/>
          <w:sz w:val="24"/>
          <w:szCs w:val="24"/>
        </w:rPr>
        <w:t>问题一分析</w:t>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color w:val="000000"/>
          <w:sz w:val="24"/>
          <w:szCs w:val="24"/>
        </w:rPr>
        <w:t>观察数据发现混合物和它的成分之间存在特征峰出现位置波数会很接近，所以可以采用峰值匹配的方法对这些混合物进行定量分析。第一个问题里面，我们做的是收集纯净物拉曼光谱的特征值。</w:t>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color w:val="000000"/>
          <w:sz w:val="24"/>
          <w:szCs w:val="24"/>
        </w:rPr>
        <w:t>为了收集到这些特征峰的信息，我们采用了一种求一个大小一定区间的大小的最大值的方法。</w:t>
      </w:r>
    </w:p>
    <w:p>
      <w:pPr>
        <w:spacing/>
        <w:ind/>
        <w:jc w:val="both"/>
        <w:rPr>
          <w:rFonts w:ascii="SimSun,Songti SC,宋体,sans-serif" w:hAnsi="SimSun,Songti SC,宋体,sans-serif" w:eastAsia="SimSun,Songti SC,宋体,sans-serif"/>
          <w:sz w:val="24"/>
          <w:szCs w:val="24"/>
        </w:rPr>
      </w:pPr>
      <w:r>
        <w:rPr>
          <w:rFonts w:ascii="SimSun,Songti SC,宋体,sans-serif" w:hAnsi="SimSun,Songti SC,宋体,sans-serif" w:eastAsia="SimSun,Songti SC,宋体,sans-serif"/>
          <w:color w:val="000000"/>
          <w:sz w:val="24"/>
          <w:szCs w:val="24"/>
        </w:rPr>
      </w:r>
      <w:r>
        <w:rPr>
          <w:rFonts w:ascii="微软雅黑" w:hAnsi="微软雅黑" w:eastAsia="微软雅黑"/>
          <w:sz w:val="21"/>
          <w:szCs w:val="21"/>
        </w:rPr>
        <w:drawing>
          <wp:inline distT="0" distB="0" distL="0" distR="0">
            <wp:extent cx="5274310" cy="2606779"/>
            <wp:effectExtent l="0" t="0" r="0" b="0"/>
            <wp:docPr id="2" name="" descr=""/>
            <wp:cNvGraphicFramePr>
              <a:graphicFrameLocks noChangeAspect="true"/>
            </wp:cNvGraphicFramePr>
            <a:graphic>
              <a:graphicData uri="http://schemas.openxmlformats.org/drawingml/2006/picture">
                <pic:pic>
                  <pic:nvPicPr>
                    <pic:cNvPr id="2" name=""/>
                    <pic:cNvPicPr/>
                  </pic:nvPicPr>
                  <pic:blipFill>
                    <a:blip r:embed="rId10"/>
                    <a:stretch>
                      <a:fillRect/>
                    </a:stretch>
                  </pic:blipFill>
                  <pic:spPr>
                    <a:xfrm>
                      <a:off x="0" y="0"/>
                      <a:ext cx="5274310" cy="2606779"/>
                    </a:xfrm>
                    <a:prstGeom prst="rect">
                      <a:avLst/>
                    </a:prstGeom>
                  </pic:spPr>
                </pic:pic>
              </a:graphicData>
            </a:graphic>
          </wp:inline>
        </w:drawing>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首先需要处理的是上图红色部分对于选取特征峰来说属于干扰信息，首先我们需要确定一个阈值，然后把图像的基准线抬高到这个阈值的位置，可以排除比较多的干扰。</w:t>
      </w:r>
    </w:p>
    <w:p>
      <w:pPr>
        <w:spacing/>
        <w:ind/>
        <w:jc w:val="both"/>
        <w:rPr>
          <w:rFonts w:ascii="SimSun,Songti SC,宋体,sans-serif" w:hAnsi="SimSun,Songti SC,宋体,sans-serif" w:eastAsia="SimSun,Songti SC,宋体,sans-serif"/>
          <w:sz w:val="24"/>
          <w:szCs w:val="24"/>
        </w:rPr>
      </w:pPr>
      <w:r>
        <w:rPr>
          <w:rFonts w:ascii="SimSun,Songti SC,宋体,sans-serif" w:hAnsi="SimSun,Songti SC,宋体,sans-serif" w:eastAsia="SimSun,Songti SC,宋体,sans-serif"/>
          <w:sz w:val="24"/>
          <w:szCs w:val="24"/>
        </w:rPr>
      </w:r>
      <w:r>
        <w:rPr>
          <w:rFonts w:ascii="微软雅黑" w:hAnsi="微软雅黑" w:eastAsia="微软雅黑"/>
          <w:sz w:val="21"/>
          <w:szCs w:val="21"/>
        </w:rPr>
        <w:drawing>
          <wp:inline distT="0" distB="0" distL="0" distR="0">
            <wp:extent cx="5274310" cy="2879243"/>
            <wp:effectExtent l="0" t="0" r="0" b="0"/>
            <wp:docPr id="3" name="" descr=""/>
            <wp:cNvGraphicFramePr>
              <a:graphicFrameLocks noChangeAspect="true"/>
            </wp:cNvGraphicFramePr>
            <a:graphic>
              <a:graphicData uri="http://schemas.openxmlformats.org/drawingml/2006/picture">
                <pic:pic>
                  <pic:nvPicPr>
                    <pic:cNvPr id="3" name=""/>
                    <pic:cNvPicPr/>
                  </pic:nvPicPr>
                  <pic:blipFill>
                    <a:blip r:embed="rId11"/>
                    <a:stretch>
                      <a:fillRect/>
                    </a:stretch>
                  </pic:blipFill>
                  <pic:spPr>
                    <a:xfrm>
                      <a:off x="0" y="0"/>
                      <a:ext cx="5274310" cy="2879243"/>
                    </a:xfrm>
                    <a:prstGeom prst="rect">
                      <a:avLst/>
                    </a:prstGeom>
                  </pic:spPr>
                </pic:pic>
              </a:graphicData>
            </a:graphic>
          </wp:inline>
        </w:drawing>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去除光强强度比较底的干扰后，还需要去除上图这种锯齿状的干扰。这里采用一种求区间最大值的方法确定一个N值，遍历图像里面的每一个点如果这个点的前面N个点和后面N个点的光强强度都小于该点的光强强度，说明这个点是区间里面的一个最大值。</w:t>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我们认为这种最大值就是后面做峰值匹配需要的特征峰数据，需要注意的是在后面的匹配中使用纯净物去匹配混合物，所以在这一步对混合物光谱峰值和纯净物光谱峰值使用不同的筛选参数</w:t>
      </w:r>
    </w:p>
    <w:p>
      <w:pPr>
        <w:spacing w:line="546" w:lineRule="atLeast"/>
        <w:ind w:firstLine="420"/>
        <w:jc w:val="both"/>
        <w:rPr>
          <w:rFonts w:ascii="SimSun,Songti SC,宋体,sans-serif" w:hAnsi="SimSun,Songti SC,宋体,sans-serif" w:eastAsia="SimSun,Songti SC,宋体,sans-serif"/>
          <w:sz w:val="24"/>
          <w:szCs w:val="24"/>
        </w:rPr>
      </w:pPr>
      <w:r>
        <w:rPr>
          <w:rFonts w:ascii="SimSun,Songti SC,宋体,sans-serif" w:hAnsi="SimSun,Songti SC,宋体,sans-serif" w:eastAsia="SimSun,Songti SC,宋体,sans-serif"/>
          <w:sz w:val="24"/>
          <w:szCs w:val="24"/>
        </w:rPr>
      </w:r>
    </w:p>
    <w:tbl>
      <w:tblPr>
        <w:tblStyle w:val="a7"/>
        <w:tblW w:w="0" w:type="auto"/>
        <w:tblInd w:w="-8"/>
        <w:tblLook w:firstRow="1" w:lastRow="0" w:firstColumn="1" w:lastColumn="0" w:noHBand="0" w:noVBand="1" w:val="04A0"/>
      </w:tblPr>
      <w:tblGrid>
        <w:gridCol w:w="3030"/>
        <w:gridCol w:w="3015"/>
        <w:gridCol w:w="3015"/>
      </w:tblGrid>
      <w:tr>
        <w:trPr>
          <w:trHeight w:val="345" w:hRule="atLeast"/>
        </w:trPr>
        <w:tc>
          <w:tcPr>
            <w:tcW w:w="303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
            </w:r>
          </w:p>
        </w:tc>
        <w:tc>
          <w:tcPr>
            <w:tcW w:w="301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纯净物</w:t>
            </w:r>
          </w:p>
        </w:tc>
        <w:tc>
          <w:tcPr>
            <w:tcW w:w="301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混合物</w:t>
            </w:r>
          </w:p>
        </w:tc>
      </w:tr>
      <w:tr>
        <w:trPr>
          <w:trHeight w:val="345" w:hRule="atLeast"/>
        </w:trPr>
        <w:tc>
          <w:tcPr>
            <w:tcW w:w="303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最低阈值</w:t>
            </w:r>
          </w:p>
        </w:tc>
        <w:tc>
          <w:tcPr>
            <w:tcW w:w="301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2000</w:t>
            </w:r>
          </w:p>
        </w:tc>
        <w:tc>
          <w:tcPr>
            <w:tcW w:w="301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1000</w:t>
            </w:r>
          </w:p>
        </w:tc>
      </w:tr>
      <w:tr>
        <w:trPr>
          <w:trHeight w:val="345" w:hRule="atLeast"/>
        </w:trPr>
        <w:tc>
          <w:tcPr>
            <w:tcW w:w="3030"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判断区间大小</w:t>
            </w:r>
          </w:p>
        </w:tc>
        <w:tc>
          <w:tcPr>
            <w:tcW w:w="301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30</w:t>
            </w:r>
          </w:p>
        </w:tc>
        <w:tc>
          <w:tcPr>
            <w:tcW w:w="3015" w:type="dxa"/>
            <w:tcBorders>
              <w:top w:val="single" w:color="000000" w:sz="8" w:space="0"/>
              <w:left w:val="single" w:color="000000" w:sz="8" w:space="0"/>
              <w:bottom w:val="single" w:color="000000" w:sz="8" w:space="0"/>
              <w:right w:val="single" w:color="000000" w:sz="8" w:space="0"/>
            </w:tcBorders>
            <w:vAlign w:val="top"/>
          </w:tcPr>
          <w:p>
            <w:pPr>
              <w:jc w:val="left"/>
            </w:pPr>
            <w:r>
              <w:rPr>
                <w:rFonts w:ascii="微软雅黑" w:hAnsi="微软雅黑" w:eastAsia="微软雅黑"/>
                <w:sz w:val="21"/>
                <w:szCs w:val="21"/>
              </w:rPr>
              <w:t>10</w:t>
            </w:r>
          </w:p>
        </w:tc>
      </w:tr>
    </w:tbl>
    <w:p>
      <w:pPr>
        <w:spacing w:line="546" w:lineRule="atLeast"/>
        <w:ind w:firstLine="420"/>
        <w:jc w:val="both"/>
      </w:pPr>
      <w:r>
        <w:rPr>
          <w:rFonts w:ascii="微软雅黑" w:hAnsi="微软雅黑" w:eastAsia="微软雅黑"/>
          <w:sz w:val="21"/>
          <w:szCs w:val="21"/>
        </w:rPr>
      </w:r>
    </w:p>
    <w:p>
      <w:pPr>
        <w:spacing w:line="546" w:lineRule="atLeast"/>
        <w:ind/>
        <w:jc w:val="both"/>
      </w:pPr>
      <w:r>
        <w:rPr>
          <w:rFonts w:ascii="微软雅黑" w:hAnsi="微软雅黑" w:eastAsia="微软雅黑"/>
          <w:sz w:val="21"/>
          <w:szCs w:val="21"/>
        </w:rPr>
      </w:r>
      <w:r>
        <w:rPr>
          <w:rFonts w:ascii="Helvetica" w:hAnsi="Helvetica" w:eastAsia="Helvetica"/>
          <w:b w:val="true"/>
          <w:bCs w:val="true"/>
          <w:color w:val="000000"/>
          <w:sz w:val="24"/>
          <w:szCs w:val="24"/>
        </w:rPr>
        <w:t>4</w:t>
      </w:r>
      <w:r>
        <w:rPr>
          <w:rFonts w:ascii="Helvetica" w:hAnsi="Helvetica" w:eastAsia="Helvetica"/>
          <w:b w:val="true"/>
          <w:bCs w:val="true"/>
          <w:color w:val="000000"/>
          <w:spacing w:val="-14"/>
          <w:sz w:val="24"/>
          <w:szCs w:val="24"/>
        </w:rPr>
        <w:t xml:space="preserve"> . </w:t>
      </w:r>
      <w:r>
        <w:rPr>
          <w:rFonts w:ascii="Helvetica" w:hAnsi="Helvetica" w:eastAsia="Helvetica"/>
          <w:b w:val="true"/>
          <w:bCs w:val="true"/>
          <w:color w:val="000000"/>
          <w:sz w:val="24"/>
          <w:szCs w:val="24"/>
        </w:rPr>
        <w:t xml:space="preserve">2 </w:t>
      </w:r>
      <w:r>
        <w:rPr>
          <w:rFonts w:ascii="黑体" w:hAnsi="黑体" w:eastAsia="黑体"/>
          <w:color w:val="000000"/>
          <w:sz w:val="24"/>
          <w:szCs w:val="24"/>
        </w:rPr>
        <w:t>问题二分析</w:t>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color w:val="000000"/>
          <w:sz w:val="24"/>
          <w:szCs w:val="24"/>
        </w:rPr>
        <w:t>通过问题一计算出来的纯净物特征峰的数据进行匹配，观察发现混合物和里面成分的特征峰会有对应关系。在波数比较接近的位置出现特征峰，如下图乙醇和甲醇的混合物里面，混合物的拉曼光谱会在甲醇或者乙醇出现特征峰值的位置出现特征峰。所以我们利用这个特性对一个混合物的成分进行定性分析：</w:t>
      </w:r>
    </w:p>
    <w:p>
      <w:pPr>
        <w:spacing/>
        <w:ind/>
        <w:jc w:val="both"/>
        <w:rPr>
          <w:rFonts w:ascii="SimSun,Songti SC,宋体,sans-serif" w:hAnsi="SimSun,Songti SC,宋体,sans-serif" w:eastAsia="SimSun,Songti SC,宋体,sans-serif"/>
          <w:sz w:val="24"/>
          <w:szCs w:val="24"/>
        </w:rPr>
      </w:pPr>
      <w:r>
        <w:rPr>
          <w:rFonts w:ascii="SimSun,Songti SC,宋体,sans-serif" w:hAnsi="SimSun,Songti SC,宋体,sans-serif" w:eastAsia="SimSun,Songti SC,宋体,sans-serif"/>
          <w:color w:val="000000"/>
          <w:sz w:val="24"/>
          <w:szCs w:val="24"/>
        </w:rPr>
      </w:r>
      <w:r>
        <w:rPr>
          <w:rFonts w:ascii="微软雅黑" w:hAnsi="微软雅黑" w:eastAsia="微软雅黑"/>
          <w:sz w:val="21"/>
          <w:szCs w:val="21"/>
        </w:rPr>
        <w:drawing>
          <wp:inline distT="0" distB="0" distL="0" distR="0">
            <wp:extent cx="4924425" cy="4048125"/>
            <wp:effectExtent l="0" t="0" r="0" b="0"/>
            <wp:docPr id="4" name="" descr=""/>
            <wp:cNvGraphicFramePr>
              <a:graphicFrameLocks noChangeAspect="true"/>
            </wp:cNvGraphicFramePr>
            <a:graphic>
              <a:graphicData uri="http://schemas.openxmlformats.org/drawingml/2006/picture">
                <pic:pic>
                  <pic:nvPicPr>
                    <pic:cNvPr id="4" name=""/>
                    <pic:cNvPicPr/>
                  </pic:nvPicPr>
                  <pic:blipFill>
                    <a:blip r:embed="rId12"/>
                    <a:stretch>
                      <a:fillRect/>
                    </a:stretch>
                  </pic:blipFill>
                  <pic:spPr>
                    <a:xfrm>
                      <a:off x="0" y="0"/>
                      <a:ext cx="4924425" cy="4048125"/>
                    </a:xfrm>
                    <a:prstGeom prst="rect">
                      <a:avLst/>
                    </a:prstGeom>
                  </pic:spPr>
                </pic:pic>
              </a:graphicData>
            </a:graphic>
          </wp:inline>
        </w:drawing>
      </w:r>
    </w:p>
    <w:p>
      <w:pPr>
        <w:spacing w:line="546" w:lineRule="atLeast"/>
        <w:ind w:firstLine="420"/>
        <w:jc w:val="both"/>
      </w:pPr>
      <w:r>
        <w:rPr>
          <w:rFonts w:ascii="微软雅黑" w:hAnsi="微软雅黑" w:eastAsia="微软雅黑"/>
          <w:sz w:val="21"/>
          <w:szCs w:val="21"/>
        </w:rPr>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具体的匹配方法是使用问题一中用到的方法找出特征峰的所有峰值，然后使用纯净物的特征峰数据去匹配这个混合物的数据，如果纯净物数据出现特征峰的时候这个混合物也出现了特征峰，就认为匹配成功了。</w:t>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对于下面这个例子，红色点表示乙醇的特征峰，黄色点表示甲醇的特征峰，蓝色点表示混合物的特征峰，匹配的时候如果混合物的特征峰和纯净物的特征峰波数差的绝对值相差小于15就认为这两个特征峰重叠。</w:t>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sz w:val="24"/>
          <w:szCs w:val="24"/>
        </w:rPr>
        <w:t>运行这种匹配可以准确匹配出来一个混合物里面的两种成分。</w:t>
      </w:r>
    </w:p>
    <w:p>
      <w:pPr>
        <w:spacing/>
        <w:ind/>
        <w:jc w:val="both"/>
      </w:pPr>
      <w:r>
        <w:rPr>
          <w:rFonts w:ascii="微软雅黑" w:hAnsi="微软雅黑" w:eastAsia="微软雅黑"/>
          <w:sz w:val="21"/>
          <w:szCs w:val="21"/>
        </w:rPr>
      </w:r>
      <w:r>
        <w:rPr>
          <w:rFonts w:ascii="微软雅黑" w:hAnsi="微软雅黑" w:eastAsia="微软雅黑"/>
          <w:sz w:val="21"/>
          <w:szCs w:val="21"/>
        </w:rPr>
        <w:drawing>
          <wp:inline distT="0" distB="0" distL="0" distR="0">
            <wp:extent cx="5274310" cy="2808941"/>
            <wp:effectExtent l="0" t="0" r="0" b="0"/>
            <wp:docPr id="5" name="" descr=""/>
            <wp:cNvGraphicFramePr>
              <a:graphicFrameLocks noChangeAspect="true"/>
            </wp:cNvGraphicFramePr>
            <a:graphic>
              <a:graphicData uri="http://schemas.openxmlformats.org/drawingml/2006/picture">
                <pic:pic>
                  <pic:nvPicPr>
                    <pic:cNvPr id="5" name=""/>
                    <pic:cNvPicPr/>
                  </pic:nvPicPr>
                  <pic:blipFill>
                    <a:blip r:embed="rId13"/>
                    <a:stretch>
                      <a:fillRect/>
                    </a:stretch>
                  </pic:blipFill>
                  <pic:spPr>
                    <a:xfrm>
                      <a:off x="0" y="0"/>
                      <a:ext cx="5274310" cy="2808941"/>
                    </a:xfrm>
                    <a:prstGeom prst="rect">
                      <a:avLst/>
                    </a:prstGeom>
                  </pic:spPr>
                </pic:pic>
              </a:graphicData>
            </a:graphic>
          </wp:inline>
        </w:drawing>
      </w:r>
    </w:p>
    <w:p>
      <w:pPr>
        <w:spacing w:line="546" w:lineRule="atLeast"/>
        <w:ind w:firstLine="420"/>
        <w:jc w:val="both"/>
      </w:pPr>
      <w:r>
        <w:rPr>
          <w:rFonts w:ascii="微软雅黑" w:hAnsi="微软雅黑" w:eastAsia="微软雅黑"/>
          <w:sz w:val="21"/>
          <w:szCs w:val="21"/>
        </w:rPr>
      </w:r>
    </w:p>
    <w:p>
      <w:pPr>
        <w:spacing w:line="546" w:lineRule="atLeast"/>
        <w:ind w:firstLine="420"/>
        <w:jc w:val="both"/>
      </w:pPr>
      <w:r>
        <w:rPr>
          <w:rFonts w:ascii="微软雅黑" w:hAnsi="微软雅黑" w:eastAsia="微软雅黑"/>
          <w:sz w:val="21"/>
          <w:szCs w:val="21"/>
        </w:rPr>
      </w:r>
      <w:r>
        <w:rPr>
          <w:rFonts w:ascii="微软雅黑" w:hAnsi="微软雅黑" w:eastAsia="微软雅黑"/>
          <w:sz w:val="24"/>
          <w:szCs w:val="24"/>
        </w:rPr>
        <w:t>对于这种定性分析方法我们运行十组已经知道结果的数据来评价判断是不是准确，结果是给定已知的十种混合溶液都可以在可能是成分的溶液里面都可以发现真实的溶液成分。这些成分可以作为后面定性分析和定量分析的依据。</w:t>
      </w:r>
    </w:p>
    <w:p>
      <w:pPr>
        <w:spacing/>
        <w:ind/>
        <w:jc w:val="both"/>
        <w:rPr>
          <w:sz w:val="24"/>
          <w:szCs w:val="24"/>
        </w:rPr>
      </w:pPr>
      <w:r>
        <w:rPr>
          <w:rFonts w:ascii="微软雅黑" w:hAnsi="微软雅黑" w:eastAsia="微软雅黑"/>
          <w:sz w:val="24"/>
          <w:szCs w:val="24"/>
        </w:rPr>
      </w:r>
      <w:r>
        <w:rPr>
          <w:rFonts w:ascii="微软雅黑" w:hAnsi="微软雅黑" w:eastAsia="微软雅黑"/>
          <w:sz w:val="21"/>
          <w:szCs w:val="21"/>
        </w:rPr>
        <w:drawing>
          <wp:inline distT="0" distB="0" distL="0" distR="0">
            <wp:extent cx="2266950" cy="962025"/>
            <wp:effectExtent l="0" t="0" r="0" b="0"/>
            <wp:docPr id="6" name="" descr=""/>
            <wp:cNvGraphicFramePr>
              <a:graphicFrameLocks noChangeAspect="true"/>
            </wp:cNvGraphicFramePr>
            <a:graphic>
              <a:graphicData uri="http://schemas.openxmlformats.org/drawingml/2006/picture">
                <pic:pic>
                  <pic:nvPicPr>
                    <pic:cNvPr id="6" name=""/>
                    <pic:cNvPicPr/>
                  </pic:nvPicPr>
                  <pic:blipFill>
                    <a:blip r:embed="rId14"/>
                    <a:stretch>
                      <a:fillRect/>
                    </a:stretch>
                  </pic:blipFill>
                  <pic:spPr>
                    <a:xfrm>
                      <a:off x="0" y="0"/>
                      <a:ext cx="2266950" cy="962025"/>
                    </a:xfrm>
                    <a:prstGeom prst="rect">
                      <a:avLst/>
                    </a:prstGeom>
                  </pic:spPr>
                </pic:pic>
              </a:graphicData>
            </a:graphic>
          </wp:inline>
        </w:drawing>
      </w:r>
      <w:r>
        <w:rPr>
          <w:rFonts w:ascii="微软雅黑" w:hAnsi="微软雅黑" w:eastAsia="微软雅黑"/>
          <w:sz w:val="21"/>
          <w:szCs w:val="21"/>
        </w:rPr>
        <w:drawing>
          <wp:inline distT="0" distB="0" distL="0" distR="0">
            <wp:extent cx="2209800" cy="819150"/>
            <wp:effectExtent l="0" t="0" r="0" b="0"/>
            <wp:docPr id="7" name="" descr=""/>
            <wp:cNvGraphicFramePr>
              <a:graphicFrameLocks noChangeAspect="true"/>
            </wp:cNvGraphicFramePr>
            <a:graphic>
              <a:graphicData uri="http://schemas.openxmlformats.org/drawingml/2006/picture">
                <pic:pic>
                  <pic:nvPicPr>
                    <pic:cNvPr id="7" name=""/>
                    <pic:cNvPicPr/>
                  </pic:nvPicPr>
                  <pic:blipFill>
                    <a:blip r:embed="rId15"/>
                    <a:stretch>
                      <a:fillRect/>
                    </a:stretch>
                  </pic:blipFill>
                  <pic:spPr>
                    <a:xfrm>
                      <a:off x="0" y="0"/>
                      <a:ext cx="2209800" cy="819150"/>
                    </a:xfrm>
                    <a:prstGeom prst="rect">
                      <a:avLst/>
                    </a:prstGeom>
                  </pic:spPr>
                </pic:pic>
              </a:graphicData>
            </a:graphic>
          </wp:inline>
        </w:drawing>
      </w:r>
    </w:p>
    <w:p>
      <w:pPr>
        <w:spacing w:line="546" w:lineRule="atLeast"/>
        <w:ind w:firstLine="420"/>
        <w:jc w:val="both"/>
      </w:pPr>
      <w:r>
        <w:rPr>
          <w:rFonts w:ascii="微软雅黑" w:hAnsi="微软雅黑" w:eastAsia="微软雅黑"/>
          <w:sz w:val="21"/>
          <w:szCs w:val="21"/>
        </w:rPr>
      </w:r>
    </w:p>
    <w:p>
      <w:pPr>
        <w:spacing w:line="546" w:lineRule="atLeast"/>
        <w:ind w:firstLine="420"/>
        <w:jc w:val="both"/>
      </w:pPr>
      <w:r>
        <w:rPr>
          <w:rFonts w:ascii="微软雅黑" w:hAnsi="微软雅黑" w:eastAsia="微软雅黑"/>
          <w:sz w:val="21"/>
          <w:szCs w:val="21"/>
        </w:rPr>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4</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3 </w:t>
      </w:r>
      <w:r>
        <w:rPr>
          <w:rFonts w:ascii="黑体" w:hAnsi="黑体" w:eastAsia="黑体"/>
          <w:color w:val="000000"/>
          <w:kern w:val="0"/>
          <w:sz w:val="24"/>
          <w:szCs w:val="24"/>
        </w:rPr>
        <w:t>问题三分析</w:t>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color w:val="000000"/>
          <w:sz w:val="24"/>
          <w:szCs w:val="24"/>
        </w:rPr>
        <w:t>光谱的强度信号可以认为是多个已知纯净物的叠加效果，所以我们使用线性拟合的方法把上面问题二中筛选出来的纯净物光谱图进行合成成为混合物的光谱信号。对于这种多个多个信号合成的问题，我们这里使用了建立线性回归关系的方法进行拟合。</w:t>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color w:val="000000"/>
          <w:sz w:val="24"/>
          <w:szCs w:val="24"/>
        </w:rPr>
        <w:t>对于求出来的回归系数其中的最大者就是混合物里面含量最大的成分，回归系数的比例就是混合物浓度的比例。回归方程：</w:t>
      </w:r>
    </w:p>
    <w:p>
      <w:pPr>
        <w:spacing w:line="546" w:lineRule="atLeast"/>
        <w:ind w:firstLine="420"/>
        <w:jc w:val="both"/>
        <w:rPr>
          <w:rFonts w:ascii="SimSun,Songti SC,宋体,sans-serif" w:hAnsi="SimSun,Songti SC,宋体,sans-serif" w:eastAsia="SimSun,Songti SC,宋体,sans-serif"/>
          <w:sz w:val="24"/>
          <w:szCs w:val="24"/>
        </w:rPr>
      </w:pPr>
      <w:r>
        <w:rPr>
          <w:rFonts w:ascii="SimSun,Songti SC,宋体,sans-serif" w:hAnsi="SimSun,Songti SC,宋体,sans-serif" w:eastAsia="SimSun,Songti SC,宋体,sans-serif"/>
          <w:color w:val="000000"/>
          <w:sz w:val="24"/>
          <w:szCs w:val="24"/>
        </w:rPr>
      </w:r>
    </w:p>
    <w:p>
      <w:pPr>
        <w:spacing w:line="546" w:lineRule="atLeast"/>
        <w:ind w:firstLine="420"/>
        <w:jc w:val="both"/>
      </w:pPr>
      <w:r>
        <w:rPr>
          <w:rFonts w:ascii="微软雅黑" w:hAnsi="微软雅黑" w:eastAsia="微软雅黑"/>
          <w:b w:val="true"/>
          <w:bCs w:val="true"/>
          <w:sz w:val="21"/>
          <w:szCs w:val="21"/>
        </w:rPr>
      </w:r>
      <w:r>
        <w:rPr>
          <w:rFonts w:ascii="SimSun,Songti SC,宋体,sans-serif" w:hAnsi="SimSun,Songti SC,宋体,sans-serif" w:eastAsia="SimSun,Songti SC,宋体,sans-serif"/>
          <w:b w:val="true"/>
          <w:bCs w:val="true"/>
          <w:color w:val="000000"/>
          <w:sz w:val="24"/>
          <w:szCs w:val="24"/>
        </w:rPr>
        <w:t>Y = Ki * Xi (i = 1 , 2 ... n) n是该种混合物有可能的成分个数</w:t>
      </w:r>
    </w:p>
    <w:p>
      <w:pPr>
        <w:spacing w:line="546" w:lineRule="atLeast"/>
        <w:ind w:firstLine="420"/>
        <w:jc w:val="both"/>
        <w:rPr>
          <w:rFonts w:ascii="SimSun,Songti SC,宋体,sans-serif" w:hAnsi="SimSun,Songti SC,宋体,sans-serif" w:eastAsia="SimSun,Songti SC,宋体,sans-serif"/>
          <w:sz w:val="24"/>
          <w:szCs w:val="24"/>
        </w:rPr>
      </w:pPr>
      <w:r>
        <w:rPr>
          <w:rFonts w:ascii="SimSun,Songti SC,宋体,sans-serif" w:hAnsi="SimSun,Songti SC,宋体,sans-serif" w:eastAsia="SimSun,Songti SC,宋体,sans-serif"/>
          <w:b w:val="true"/>
          <w:bCs w:val="true"/>
          <w:color w:val="000000"/>
          <w:sz w:val="24"/>
          <w:szCs w:val="24"/>
        </w:rPr>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color w:val="000000"/>
          <w:sz w:val="24"/>
          <w:szCs w:val="24"/>
        </w:rPr>
        <w:t>下面开始处理数据：</w:t>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color w:val="000000"/>
          <w:sz w:val="24"/>
          <w:szCs w:val="24"/>
        </w:rPr>
        <w:t>观察发现混合物数组的长度和纯净物的数组长度不一致，为了顺利回归拟合需要把这两个数组统一到同一个维度。所以使用插值的方法进行处理，处理完之后两个数组在同一个维度。Interpl(x , y , F)插值公式对比较短的Y变量进行插值。</w:t>
      </w:r>
    </w:p>
    <w:p>
      <w:pPr>
        <w:spacing w:line="546" w:lineRule="atLeast"/>
        <w:ind w:firstLine="420"/>
        <w:jc w:val="both"/>
      </w:pPr>
      <w:r>
        <w:rPr>
          <w:rFonts w:ascii="微软雅黑" w:hAnsi="微软雅黑" w:eastAsia="微软雅黑"/>
          <w:sz w:val="21"/>
          <w:szCs w:val="21"/>
        </w:rPr>
      </w:r>
      <w:r>
        <w:rPr>
          <w:rFonts w:ascii="SimSun,Songti SC,宋体,sans-serif" w:hAnsi="SimSun,Songti SC,宋体,sans-serif" w:eastAsia="SimSun,Songti SC,宋体,sans-serif"/>
          <w:color w:val="000000"/>
          <w:sz w:val="24"/>
          <w:szCs w:val="24"/>
        </w:rPr>
        <w:t>然后使用regress()函数进行线性拟合，通过前面计算出来可能的X拟合出来Y，并返回系数b，通过分析系数b可以的出来成分之间的关系。可以看到每一种成分里面对应的b有不同的值，b越大的说明成分含量越高。所以利用这种关系进行成分判断和含量分析。</w:t>
      </w:r>
    </w:p>
    <w:p>
      <w:pPr>
        <w:spacing w:line="546" w:lineRule="atLeast"/>
        <w:ind w:firstLine="420"/>
        <w:jc w:val="both"/>
        <w:rPr>
          <w:rFonts w:ascii="SimSun,Songti SC,宋体,sans-serif" w:hAnsi="SimSun,Songti SC,宋体,sans-serif" w:eastAsia="SimSun,Songti SC,宋体,sans-serif"/>
          <w:sz w:val="24"/>
          <w:szCs w:val="24"/>
        </w:rPr>
      </w:pPr>
      <w:r>
        <w:rPr>
          <w:rFonts w:ascii="SimSun,Songti SC,宋体,sans-serif" w:hAnsi="SimSun,Songti SC,宋体,sans-serif" w:eastAsia="SimSun,Songti SC,宋体,sans-serif"/>
          <w:color w:val="000000"/>
          <w:sz w:val="24"/>
          <w:szCs w:val="24"/>
        </w:rPr>
      </w:r>
    </w:p>
    <w:p>
      <w:pPr>
        <w:spacing/>
        <w:ind/>
        <w:jc w:val="left"/>
      </w:pPr>
      <w:r>
        <w:rPr>
          <w:rFonts w:ascii="微软雅黑" w:hAnsi="微软雅黑" w:eastAsia="微软雅黑"/>
          <w:sz w:val="21"/>
          <w:szCs w:val="21"/>
        </w:rPr>
      </w:r>
      <w:r>
        <w:rPr>
          <w:rFonts w:ascii="微软雅黑" w:hAnsi="微软雅黑" w:eastAsia="微软雅黑"/>
          <w:sz w:val="21"/>
          <w:szCs w:val="21"/>
        </w:rPr>
        <w:drawing>
          <wp:inline distT="0" distB="0" distL="0" distR="0">
            <wp:extent cx="1628775" cy="1323975"/>
            <wp:effectExtent l="0" t="0" r="0" b="0"/>
            <wp:docPr id="8" name="" descr=""/>
            <wp:cNvGraphicFramePr>
              <a:graphicFrameLocks noChangeAspect="true"/>
            </wp:cNvGraphicFramePr>
            <a:graphic>
              <a:graphicData uri="http://schemas.openxmlformats.org/drawingml/2006/picture">
                <pic:pic>
                  <pic:nvPicPr>
                    <pic:cNvPr id="8" name=""/>
                    <pic:cNvPicPr/>
                  </pic:nvPicPr>
                  <pic:blipFill>
                    <a:blip r:embed="rId16"/>
                    <a:stretch>
                      <a:fillRect/>
                    </a:stretch>
                  </pic:blipFill>
                  <pic:spPr>
                    <a:xfrm>
                      <a:off x="0" y="0"/>
                      <a:ext cx="1628775" cy="1323975"/>
                    </a:xfrm>
                    <a:prstGeom prst="rect">
                      <a:avLst/>
                    </a:prstGeom>
                  </pic:spPr>
                </pic:pic>
              </a:graphicData>
            </a:graphic>
          </wp:inline>
        </w:drawing>
      </w:r>
    </w:p>
    <w:p>
      <w:pPr>
        <w:spacing/>
        <w:ind w:firstLine="420"/>
        <w:jc w:val="left"/>
      </w:pPr>
      <w:r>
        <w:rPr>
          <w:rFonts w:ascii="微软雅黑" w:hAnsi="微软雅黑" w:eastAsia="微软雅黑"/>
          <w:sz w:val="21"/>
          <w:szCs w:val="21"/>
        </w:rPr>
      </w:r>
      <w:r>
        <w:rPr>
          <w:rFonts w:ascii="SimSun,Songti SC,宋体,sans-serif" w:hAnsi="SimSun,Songti SC,宋体,sans-serif" w:eastAsia="SimSun,Songti SC,宋体,sans-serif"/>
          <w:sz w:val="24"/>
          <w:szCs w:val="24"/>
        </w:rPr>
        <w:t>可以看到几组分析出来的数据，定性分析的准确度比较高，给定的十种已知成分的混合物里面判断完全正确。</w:t>
      </w:r>
    </w:p>
    <w:p>
      <w:pPr>
        <w:spacing/>
        <w:ind/>
        <w:jc w:val="left"/>
      </w:pPr>
      <w:r>
        <w:rPr>
          <w:rFonts w:ascii="微软雅黑" w:hAnsi="微软雅黑" w:eastAsia="微软雅黑"/>
          <w:sz w:val="21"/>
          <w:szCs w:val="21"/>
        </w:rPr>
      </w:r>
      <w:r>
        <w:rPr>
          <w:rFonts w:ascii="微软雅黑" w:hAnsi="微软雅黑" w:eastAsia="微软雅黑"/>
          <w:sz w:val="21"/>
          <w:szCs w:val="21"/>
        </w:rPr>
        <w:drawing>
          <wp:inline distT="0" distB="0" distL="0" distR="0">
            <wp:extent cx="2095500" cy="590550"/>
            <wp:effectExtent l="0" t="0" r="0" b="0"/>
            <wp:docPr id="9" name="" descr=""/>
            <wp:cNvGraphicFramePr>
              <a:graphicFrameLocks noChangeAspect="true"/>
            </wp:cNvGraphicFramePr>
            <a:graphic>
              <a:graphicData uri="http://schemas.openxmlformats.org/drawingml/2006/picture">
                <pic:pic>
                  <pic:nvPicPr>
                    <pic:cNvPr id="9" name=""/>
                    <pic:cNvPicPr/>
                  </pic:nvPicPr>
                  <pic:blipFill>
                    <a:blip r:embed="rId17"/>
                    <a:stretch>
                      <a:fillRect/>
                    </a:stretch>
                  </pic:blipFill>
                  <pic:spPr>
                    <a:xfrm>
                      <a:off x="0" y="0"/>
                      <a:ext cx="2095500" cy="590550"/>
                    </a:xfrm>
                    <a:prstGeom prst="rect">
                      <a:avLst/>
                    </a:prstGeom>
                  </pic:spPr>
                </pic:pic>
              </a:graphicData>
            </a:graphic>
          </wp:inline>
        </w:drawing>
      </w:r>
      <w:r>
        <w:rPr>
          <w:rFonts w:ascii="微软雅黑" w:hAnsi="微软雅黑" w:eastAsia="微软雅黑"/>
          <w:sz w:val="21"/>
          <w:szCs w:val="21"/>
        </w:rPr>
        <w:drawing>
          <wp:inline distT="0" distB="0" distL="0" distR="0">
            <wp:extent cx="2133600" cy="666750"/>
            <wp:effectExtent l="0" t="0" r="0" b="0"/>
            <wp:docPr id="10" name="" descr=""/>
            <wp:cNvGraphicFramePr>
              <a:graphicFrameLocks noChangeAspect="true"/>
            </wp:cNvGraphicFramePr>
            <a:graphic>
              <a:graphicData uri="http://schemas.openxmlformats.org/drawingml/2006/picture">
                <pic:pic>
                  <pic:nvPicPr>
                    <pic:cNvPr id="10" name=""/>
                    <pic:cNvPicPr/>
                  </pic:nvPicPr>
                  <pic:blipFill>
                    <a:blip r:embed="rId18"/>
                    <a:stretch>
                      <a:fillRect/>
                    </a:stretch>
                  </pic:blipFill>
                  <pic:spPr>
                    <a:xfrm>
                      <a:off x="0" y="0"/>
                      <a:ext cx="2133600" cy="666750"/>
                    </a:xfrm>
                    <a:prstGeom prst="rect">
                      <a:avLst/>
                    </a:prstGeom>
                  </pic:spPr>
                </pic:pic>
              </a:graphicData>
            </a:graphic>
          </wp:inline>
        </w:drawing>
      </w:r>
    </w:p>
    <w:p>
      <w:pPr>
        <w:spacing/>
        <w:ind w:firstLine="420"/>
        <w:jc w:val="left"/>
        <w:rPr>
          <w:rFonts w:ascii="SimSun,Songti SC,宋体,sans-serif" w:hAnsi="SimSun,Songti SC,宋体,sans-serif" w:eastAsia="SimSun,Songti SC,宋体,sans-serif"/>
          <w:sz w:val="24"/>
          <w:szCs w:val="24"/>
        </w:rPr>
      </w:pPr>
      <w:r>
        <w:rPr>
          <w:rFonts w:ascii="SimSun,Songti SC,宋体,sans-serif" w:hAnsi="SimSun,Songti SC,宋体,sans-serif" w:eastAsia="SimSun,Songti SC,宋体,sans-serif"/>
          <w:sz w:val="24"/>
          <w:szCs w:val="24"/>
        </w:rPr>
      </w:r>
      <w:r>
        <w:rPr>
          <w:rFonts w:ascii="SimSun,Songti SC,宋体,sans-serif" w:hAnsi="SimSun,Songti SC,宋体,sans-serif" w:eastAsia="SimSun,Songti SC,宋体,sans-serif"/>
          <w:sz w:val="24"/>
          <w:szCs w:val="24"/>
        </w:rPr>
        <w:t>定量分析：</w:t>
      </w:r>
    </w:p>
    <w:p>
      <w:pPr>
        <w:spacing/>
        <w:ind w:firstLine="420"/>
        <w:jc w:val="left"/>
      </w:pPr>
      <w:r>
        <w:rPr>
          <w:rFonts w:ascii="微软雅黑" w:hAnsi="微软雅黑" w:eastAsia="微软雅黑"/>
          <w:sz w:val="21"/>
          <w:szCs w:val="21"/>
        </w:rPr>
      </w:r>
    </w:p>
    <w:p>
      <w:pPr>
        <w:spacing/>
        <w:ind w:firstLine="420"/>
        <w:jc w:val="left"/>
      </w:pPr>
      <w:r>
        <w:rPr>
          <w:rFonts w:ascii="微软雅黑" w:hAnsi="微软雅黑" w:eastAsia="微软雅黑"/>
          <w:sz w:val="21"/>
          <w:szCs w:val="21"/>
        </w:rPr>
      </w:r>
    </w:p>
    <w:p>
      <w:pPr>
        <w:spacing w:line="546" w:lineRule="atLeast"/>
        <w:ind/>
        <w:jc w:val="both"/>
        <w:rPr>
          <w:rFonts w:ascii="宋体" w:hAnsi="宋体" w:eastAsia="宋体"/>
          <w:sz w:val="21"/>
          <w:szCs w:val="21"/>
        </w:rPr>
      </w:pPr>
      <w:r>
        <w:rPr>
          <w:rFonts w:ascii="宋体" w:hAnsi="宋体" w:eastAsia="宋体"/>
          <w:sz w:val="21"/>
          <w:szCs w:val="21"/>
        </w:rPr>
      </w:r>
      <w:r>
        <w:rPr>
          <w:rFonts w:ascii="Helvetica" w:hAnsi="Helvetica" w:eastAsia="Helvetica"/>
          <w:b w:val="true"/>
          <w:bCs w:val="true"/>
          <w:color w:val="000000"/>
          <w:kern w:val="0"/>
          <w:sz w:val="24"/>
          <w:szCs w:val="24"/>
        </w:rPr>
        <w:t>4</w:t>
      </w:r>
      <w:r>
        <w:rPr>
          <w:rFonts w:ascii="Helvetica" w:hAnsi="Helvetica" w:eastAsia="Helvetica"/>
          <w:b w:val="true"/>
          <w:bCs w:val="true"/>
          <w:color w:val="000000"/>
          <w:spacing w:val="-14"/>
          <w:kern w:val="0"/>
          <w:sz w:val="24"/>
          <w:szCs w:val="24"/>
        </w:rPr>
        <w:t xml:space="preserve"> . </w:t>
      </w:r>
      <w:r>
        <w:rPr>
          <w:rFonts w:ascii="Helvetica" w:hAnsi="Helvetica" w:eastAsia="Helvetica"/>
          <w:b w:val="true"/>
          <w:bCs w:val="true"/>
          <w:color w:val="000000"/>
          <w:kern w:val="0"/>
          <w:sz w:val="24"/>
          <w:szCs w:val="24"/>
        </w:rPr>
        <w:t xml:space="preserve">4 </w:t>
      </w:r>
      <w:r>
        <w:rPr>
          <w:rFonts w:ascii="黑体" w:hAnsi="黑体" w:eastAsia="黑体"/>
          <w:color w:val="000000"/>
          <w:kern w:val="0"/>
          <w:sz w:val="24"/>
          <w:szCs w:val="24"/>
        </w:rPr>
        <w:t>问题四分析</w:t>
      </w:r>
    </w:p>
    <w:p>
      <w:pPr>
        <w:spacing w:line="546" w:lineRule="atLeast"/>
        <w:ind w:firstLine="420"/>
        <w:jc w:val="both"/>
        <w:rPr>
          <w:rFonts w:ascii="黑体" w:hAnsi="黑体" w:eastAsia="黑体"/>
          <w:sz w:val="24"/>
          <w:szCs w:val="24"/>
        </w:rPr>
      </w:pPr>
      <w:r>
        <w:rPr>
          <w:rFonts w:ascii="黑体" w:hAnsi="黑体" w:eastAsia="黑体"/>
          <w:color w:val="000000"/>
          <w:sz w:val="24"/>
          <w:szCs w:val="24"/>
        </w:rPr>
      </w:r>
    </w:p>
    <w:p>
      <w:pPr>
        <w:spacing w:line="437" w:lineRule="atLeast"/>
        <w:ind/>
        <w:jc w:val="center"/>
        <w:rPr>
          <w:rFonts w:ascii="宋体" w:hAnsi="宋体" w:eastAsia="宋体"/>
          <w:sz w:val="21"/>
          <w:szCs w:val="21"/>
        </w:rPr>
      </w:pPr>
      <w:r>
        <w:rPr>
          <w:rFonts w:ascii="宋体" w:hAnsi="宋体" w:eastAsia="宋体"/>
          <w:sz w:val="21"/>
          <w:szCs w:val="21"/>
        </w:rPr>
      </w:r>
      <w:r>
        <w:rPr>
          <w:rFonts w:ascii="黑体" w:hAnsi="黑体" w:eastAsia="黑体"/>
          <w:color w:val="000000"/>
          <w:kern w:val="0"/>
          <w:sz w:val="30"/>
          <w:szCs w:val="30"/>
        </w:rPr>
        <w:t>五、模型评价</w:t>
      </w:r>
    </w:p>
    <w:p>
      <w:pPr>
        <w:spacing w:line="546" w:lineRule="atLeast"/>
        <w:ind/>
        <w:jc w:val="both"/>
        <w:rPr>
          <w:rFonts w:ascii="宋体" w:hAnsi="宋体" w:eastAsia="宋体"/>
          <w:sz w:val="21"/>
          <w:szCs w:val="21"/>
        </w:rPr>
      </w:pPr>
      <w:r>
        <w:rPr>
          <w:rFonts w:ascii="宋体" w:hAnsi="宋体" w:eastAsia="宋体"/>
          <w:sz w:val="21"/>
          <w:szCs w:val="21"/>
        </w:rPr>
      </w:r>
    </w:p>
    <w:p>
      <w:pPr>
        <w:spacing w:line="546" w:lineRule="atLeast"/>
        <w:ind/>
        <w:jc w:val="both"/>
        <w:rPr>
          <w:rFonts w:ascii="宋体" w:hAnsi="宋体" w:eastAsia="宋体"/>
          <w:sz w:val="21"/>
          <w:szCs w:val="21"/>
        </w:rPr>
      </w:pPr>
      <w:r>
        <w:rPr>
          <w:rFonts w:ascii="宋体" w:hAnsi="宋体" w:eastAsia="宋体"/>
          <w:sz w:val="21"/>
          <w:szCs w:val="21"/>
        </w:rPr>
      </w:r>
    </w:p>
    <w:p>
      <w:pPr>
        <w:spacing w:line="504" w:lineRule="atLeast"/>
        <w:ind/>
        <w:jc w:val="both"/>
        <w:rPr>
          <w:rFonts w:ascii="宋体" w:hAnsi="宋体" w:eastAsia="宋体"/>
          <w:sz w:val="21"/>
          <w:szCs w:val="21"/>
        </w:rPr>
      </w:pPr>
      <w:r>
        <w:rPr>
          <w:rFonts w:ascii="宋体" w:hAnsi="宋体" w:eastAsia="宋体"/>
          <w:sz w:val="21"/>
          <w:szCs w:val="21"/>
        </w:rPr>
      </w:r>
    </w:p>
    <w:p>
      <w:pPr>
        <w:spacing w:line="504" w:lineRule="atLeast"/>
        <w:ind/>
        <w:jc w:val="both"/>
        <w:rPr>
          <w:rFonts w:ascii="宋体" w:hAnsi="宋体" w:eastAsia="宋体"/>
          <w:sz w:val="21"/>
          <w:szCs w:val="21"/>
        </w:rPr>
      </w:pPr>
      <w:r>
        <w:rPr>
          <w:rFonts w:ascii="宋体" w:hAnsi="宋体" w:eastAsia="宋体"/>
          <w:sz w:val="21"/>
          <w:szCs w:val="21"/>
        </w:rPr>
      </w:r>
    </w:p>
    <w:p>
      <w:pPr>
        <w:spacing w:before="213" w:line="437" w:lineRule="atLeast"/>
        <w:ind w:right="18"/>
        <w:jc w:val="center"/>
        <w:rPr>
          <w:rFonts w:ascii="宋体" w:hAnsi="宋体" w:eastAsia="宋体"/>
          <w:sz w:val="21"/>
          <w:szCs w:val="21"/>
        </w:rPr>
      </w:pPr>
      <w:r>
        <w:rPr>
          <w:rFonts w:ascii="宋体" w:hAnsi="宋体" w:eastAsia="宋体"/>
          <w:sz w:val="21"/>
          <w:szCs w:val="21"/>
        </w:rPr>
      </w:r>
      <w:r>
        <w:rPr>
          <w:rFonts w:ascii="黑体" w:hAnsi="黑体" w:eastAsia="黑体"/>
          <w:color w:val="000000"/>
          <w:kern w:val="0"/>
          <w:sz w:val="30"/>
          <w:szCs w:val="30"/>
        </w:rPr>
        <w:t>六、参考文献</w:t>
      </w:r>
    </w:p>
    <w:p>
      <w:pPr>
        <w:spacing w:line="546" w:lineRule="atLeast"/>
        <w:ind w:left="257"/>
        <w:jc w:val="both"/>
        <w:rPr>
          <w:rFonts w:ascii="宋体" w:hAnsi="宋体" w:eastAsia="宋体"/>
          <w:sz w:val="21"/>
          <w:szCs w:val="21"/>
        </w:rPr>
      </w:pPr>
      <w:r>
        <w:rPr>
          <w:rFonts w:ascii="宋体" w:hAnsi="宋体" w:eastAsia="宋体"/>
          <w:sz w:val="21"/>
          <w:szCs w:val="21"/>
        </w:rPr>
      </w:r>
      <w:r>
        <w:rPr>
          <w:rFonts w:ascii="Helvetica" w:hAnsi="Helvetica" w:eastAsia="Helvetica"/>
          <w:color w:val="000000"/>
          <w:kern w:val="0"/>
          <w:sz w:val="24"/>
          <w:szCs w:val="24"/>
        </w:rPr>
        <w:t>[1]</w:t>
      </w:r>
      <w:r>
        <w:rPr>
          <w:rFonts w:ascii="Helvetica" w:hAnsi="Helvetica" w:eastAsia="Helvetica"/>
          <w:color w:val="000000"/>
          <w:spacing w:val="57"/>
          <w:kern w:val="0"/>
          <w:sz w:val="24"/>
          <w:szCs w:val="24"/>
        </w:rPr>
        <w:t xml:space="preserve"> </w:t>
      </w:r>
    </w:p>
    <w:p>
      <w:pPr>
        <w:spacing w:line="546" w:lineRule="atLeast"/>
        <w:ind w:left="257"/>
        <w:jc w:val="both"/>
        <w:rPr>
          <w:rFonts w:ascii="宋体" w:hAnsi="宋体" w:eastAsia="宋体"/>
          <w:sz w:val="21"/>
          <w:szCs w:val="21"/>
        </w:rPr>
      </w:pPr>
      <w:r>
        <w:rPr>
          <w:rFonts w:ascii="宋体" w:hAnsi="宋体" w:eastAsia="宋体"/>
          <w:sz w:val="21"/>
          <w:szCs w:val="21"/>
        </w:rPr>
      </w:r>
      <w:r>
        <w:rPr>
          <w:rFonts w:ascii="Helvetica" w:hAnsi="Helvetica" w:eastAsia="Helvetica"/>
          <w:color w:val="000000"/>
          <w:kern w:val="0"/>
          <w:sz w:val="24"/>
          <w:szCs w:val="24"/>
        </w:rPr>
        <w:t>[2]</w:t>
      </w:r>
      <w:r>
        <w:rPr>
          <w:rFonts w:ascii="Helvetica" w:hAnsi="Helvetica" w:eastAsia="Helvetica"/>
          <w:color w:val="000000"/>
          <w:spacing w:val="57"/>
          <w:kern w:val="0"/>
          <w:sz w:val="24"/>
          <w:szCs w:val="24"/>
        </w:rPr>
        <w:t xml:space="preserve"> </w:t>
      </w:r>
      <w:r>
        <w:rPr>
          <w:rFonts w:ascii="宋体" w:hAnsi="宋体" w:eastAsia="宋体"/>
          <w:color w:val="000000"/>
          <w:kern w:val="0"/>
          <w:sz w:val="24"/>
          <w:szCs w:val="24"/>
        </w:rPr>
        <w:t>作者，全国大学生数学建模竞赛论文模板</w:t>
      </w:r>
      <w:r>
        <w:rPr>
          <w:rFonts w:ascii="Helvetica" w:hAnsi="Helvetica" w:eastAsia="Helvetica"/>
          <w:color w:val="000000"/>
          <w:kern w:val="0"/>
          <w:sz w:val="24"/>
          <w:szCs w:val="24"/>
        </w:rPr>
        <w:t xml:space="preserve"> </w:t>
      </w:r>
    </w:p>
    <w:p>
      <w:pPr>
        <w:spacing w:line="517" w:lineRule="atLeast"/>
        <w:ind/>
        <w:jc w:val="both"/>
        <w:rPr>
          <w:rFonts w:ascii="宋体" w:hAnsi="宋体" w:eastAsia="宋体"/>
          <w:sz w:val="21"/>
          <w:szCs w:val="21"/>
        </w:rPr>
      </w:pPr>
      <w:r>
        <w:rPr>
          <w:rFonts w:ascii="宋体" w:hAnsi="宋体" w:eastAsia="宋体"/>
          <w:sz w:val="21"/>
          <w:szCs w:val="21"/>
        </w:rPr>
      </w:r>
    </w:p>
    <w:p>
      <w:pPr>
        <w:spacing w:before="222" w:line="437" w:lineRule="atLeast"/>
        <w:ind w:right="18"/>
        <w:jc w:val="center"/>
        <w:rPr>
          <w:rFonts w:ascii="宋体" w:hAnsi="宋体" w:eastAsia="宋体"/>
          <w:sz w:val="21"/>
          <w:szCs w:val="21"/>
        </w:rPr>
      </w:pPr>
      <w:r>
        <w:rPr>
          <w:rFonts w:ascii="宋体" w:hAnsi="宋体" w:eastAsia="宋体"/>
          <w:sz w:val="21"/>
          <w:szCs w:val="21"/>
        </w:rPr>
      </w:r>
      <w:r>
        <w:rPr>
          <w:rFonts w:ascii="黑体" w:hAnsi="黑体" w:eastAsia="黑体"/>
          <w:color w:val="000000"/>
          <w:kern w:val="0"/>
          <w:sz w:val="30"/>
          <w:szCs w:val="30"/>
        </w:rPr>
        <w:t>附录</w:t>
      </w:r>
      <w:r>
        <w:rPr>
          <w:rFonts w:ascii="黑体" w:hAnsi="黑体" w:eastAsia="黑体"/>
          <w:color w:val="000000"/>
          <w:spacing w:val="-75"/>
          <w:kern w:val="0"/>
          <w:sz w:val="30"/>
          <w:szCs w:val="30"/>
        </w:rPr>
        <w:t xml:space="preserve"> </w:t>
      </w:r>
      <w:r>
        <w:rPr>
          <w:rFonts w:ascii="Helvetica" w:hAnsi="Helvetica" w:eastAsia="Helvetica"/>
          <w:b w:val="true"/>
          <w:bCs w:val="true"/>
          <w:color w:val="000000"/>
          <w:kern w:val="0"/>
          <w:sz w:val="30"/>
          <w:szCs w:val="30"/>
        </w:rPr>
        <w:t xml:space="preserve">A </w:t>
      </w:r>
      <w:r>
        <w:rPr>
          <w:rFonts w:ascii="Helvetica" w:hAnsi="Helvetica" w:eastAsia="Helvetica"/>
          <w:b w:val="true"/>
          <w:bCs w:val="true"/>
          <w:color w:val="000000"/>
          <w:spacing w:val="-4"/>
          <w:kern w:val="0"/>
          <w:sz w:val="30"/>
          <w:szCs w:val="30"/>
        </w:rPr>
        <w:t>MATLAB</w:t>
      </w:r>
      <w:r>
        <w:rPr>
          <w:rFonts w:ascii="Helvetica" w:hAnsi="Helvetica" w:eastAsia="Helvetica"/>
          <w:b w:val="true"/>
          <w:bCs w:val="true"/>
          <w:color w:val="000000"/>
          <w:spacing w:val="-1"/>
          <w:kern w:val="0"/>
          <w:sz w:val="30"/>
          <w:szCs w:val="30"/>
        </w:rPr>
        <w:t xml:space="preserve"> </w:t>
      </w:r>
      <w:r>
        <w:rPr>
          <w:rFonts w:ascii="黑体" w:hAnsi="黑体" w:eastAsia="黑体"/>
          <w:color w:val="000000"/>
          <w:kern w:val="0"/>
          <w:sz w:val="30"/>
          <w:szCs w:val="30"/>
        </w:rPr>
        <w:t>源程序</w:t>
      </w:r>
    </w:p>
    <w:p>
      <w:pPr>
        <w:spacing w:before="222" w:line="280" w:lineRule="atLeast"/>
        <w:ind w:right="18"/>
        <w:jc w:val="both"/>
        <w:rPr>
          <w:rFonts w:ascii="宋体" w:hAnsi="宋体" w:eastAsia="宋体"/>
          <w:sz w:val="21"/>
          <w:szCs w:val="21"/>
        </w:rPr>
      </w:pPr>
      <w:r>
        <w:rPr>
          <w:rFonts w:ascii="宋体" w:hAnsi="宋体" w:eastAsia="宋体"/>
          <w:sz w:val="21"/>
          <w:szCs w:val="21"/>
        </w:rPr>
      </w:r>
      <w:r>
        <w:rPr>
          <w:rFonts w:ascii="宋体" w:hAnsi="宋体" w:eastAsia="宋体"/>
          <w:color w:val="FF0000"/>
          <w:kern w:val="0"/>
          <w:sz w:val="24"/>
          <w:szCs w:val="24"/>
        </w:rPr>
        <w:t>见附件</w:t>
      </w:r>
    </w:p>
    <w:p>
      <w:pPr>
        <w:spacing/>
        <w:ind/>
        <w:jc w:val="both"/>
        <w:rPr>
          <w:rFonts w:ascii="宋体" w:hAnsi="宋体" w:eastAsia="宋体"/>
          <w:sz w:val="21"/>
          <w:szCs w:val="21"/>
        </w:rPr>
      </w:pPr>
      <w:r>
        <w:rPr>
          <w:rFonts w:ascii="宋体" w:hAnsi="宋体" w:eastAsia="宋体"/>
          <w:sz w:val="21"/>
          <w:szCs w:val="21"/>
        </w:rPr>
      </w:r>
    </w:p>
    <w:p>
      <w:pPr>
        <w:jc w:val="left"/>
      </w:pPr>
      <w:r>
        <w:rPr>
          <w:rFonts w:ascii="微软雅黑" w:hAnsi="微软雅黑" w:eastAsia="微软雅黑"/>
          <w:sz w:val="21"/>
          <w:szCs w:val="21"/>
        </w:rPr>
        <w:t/>
      </w:r>
    </w:p>
    <w:sectPr w:rsidR="00C604EC">
      <w:footerReference w:type="default" r:id="rId19"/>
      <w:pgSz w:w="11906" w:h="16838"/>
      <w:pgMar w:top="794" w:right="1418" w:bottom="79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er.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p>
    <w:r>
      <w:rPr>
        <w:rFonts w:ascii="微软雅黑" w:hAnsi="微软雅黑" w:eastAsia="微软雅黑"/>
        <w:sz w:val="24"/>
        <w:szCs w:val="24"/>
      </w:rPr>
      <w:t/>
    </w:r>
  </w:p>
  <w:p>
    <w:pPr>
      <w:spacing/>
      <w:ind/>
      <w:jc w:val="center"/>
      <w:rPr>
        <w:rFonts w:ascii="宋体" w:hAnsi="宋体" w:eastAsia="宋体"/>
        <w:sz w:val="21"/>
        <w:szCs w:val="21"/>
      </w:rPr>
    </w:pPr>
    <w:r>
      <w:rPr>
        <w:rFonts w:ascii="宋体" w:hAnsi="宋体" w:eastAsia="宋体"/>
        <w:sz w:val="21"/>
        <w:szCs w:val="21"/>
      </w:rPr>
      <w:t>第</w:t>
    </w:r>
    <w:r>
      <w:fldChar w:fldCharType="begin"/>
    </w:r>
    <w:r>
      <w:rPr>
        <w:rFonts w:ascii="Times New Roman" w:hAnsi="Times New Roman" w:eastAsia="Times New Roman"/>
        <w:sz w:val="21"/>
        <w:szCs w:val="21"/>
      </w:rPr>
      <w:instrText xml:space="preserve"> PAGE </w:instrText>
    </w:r>
    <w:r>
      <w:fldChar w:fldCharType="end"/>
    </w:r>
    <w:r>
      <w:rPr>
        <w:rFonts w:ascii="宋体" w:hAnsi="宋体" w:eastAsia="宋体"/>
        <w:sz w:val="21"/>
        <w:szCs w:val="21"/>
      </w:rPr>
      <w:t>页</w:t>
    </w:r>
    <w:r>
      <w:rPr>
        <w:rFonts w:ascii="Times New Roman" w:hAnsi="Times New Roman" w:eastAsia="Times New Roman"/>
        <w:sz w:val="21"/>
        <w:szCs w:val="21"/>
      </w:rPr>
      <w:t>  </w:t>
    </w:r>
    <w:r>
      <w:rPr>
        <w:rFonts w:ascii="宋体" w:hAnsi="宋体" w:eastAsia="宋体"/>
        <w:sz w:val="21"/>
        <w:szCs w:val="21"/>
      </w:rPr>
      <w:t>共</w:t>
    </w:r>
    <w:r>
      <w:fldChar w:fldCharType="begin"/>
    </w:r>
    <w:r>
      <w:rPr>
        <w:rFonts w:ascii="Times New Roman" w:hAnsi="Times New Roman" w:eastAsia="Times New Roman"/>
        <w:sz w:val="21"/>
        <w:szCs w:val="21"/>
      </w:rPr>
      <w:instrText xml:space="preserve"> NUMPAGES </w:instrText>
    </w:r>
    <w:r>
      <w:fldChar w:fldCharType="end"/>
    </w:r>
    <w:r>
      <w:rPr>
        <w:rFonts w:ascii="宋体" w:hAnsi="宋体" w:eastAsia="宋体"/>
        <w:sz w:val="21"/>
        <w:szCs w:val="21"/>
      </w:rPr>
      <w:t>页</w:t>
    </w:r>
  </w:p>
</w:ftr>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05">
    <w:multiLevelType w:val="hybridMultilevel"/>
    <w:lvl w:ilvl="0">
      <w:start w:val="1"/>
      <w:numFmt w:val="bullet"/>
      <w:lvlText w:val=""/>
      <w:lvlJc w:val="left"/>
      <w:pPr>
        <w:ind w:left="420" w:hanging="420"/>
      </w:pPr>
      <w:rPr>
        <w:rFonts w:ascii="Wingdings" w:hAnsi="Wingdings" w:eastAsia="Wingdings"/>
        <w:sz w:val="20"/>
        <w:szCs w:val="20"/>
      </w:rPr>
    </w:lvl>
    <w:lvl w:ilvl="1">
      <w:start w:val="1"/>
      <w:numFmt w:val="bullet"/>
      <w:lvlText w:val=""/>
      <w:lvlJc w:val="left"/>
      <w:pPr>
        <w:ind w:left="840" w:hanging="420"/>
      </w:pPr>
      <w:rPr>
        <w:rFonts w:hint="default" w:ascii="Wingdings" w:hAnsi="Wingdings"/>
      </w:rPr>
    </w:lvl>
    <w:lvl w:ilvl="2">
      <w:start w:val="1"/>
      <w:numFmt w:val="bullet"/>
      <w:lvlText w:val=""/>
      <w:lvlJc w:val="left"/>
      <w:pPr>
        <w:ind w:left="1260" w:hanging="420"/>
      </w:pPr>
      <w:rPr>
        <w:rFonts w:hint="default" w:ascii="Wingdings" w:hAnsi="Wingdings"/>
      </w:rPr>
    </w:lvl>
    <w:lvl w:ilvl="3">
      <w:start w:val="1"/>
      <w:numFmt w:val="bullet"/>
      <w:lvlText w:val=""/>
      <w:lvlJc w:val="left"/>
      <w:pPr>
        <w:ind w:left="1680" w:hanging="420"/>
      </w:pPr>
      <w:rPr>
        <w:rFonts w:hint="default" w:ascii="Wingdings" w:hAnsi="Wingdings"/>
      </w:rPr>
    </w:lvl>
    <w:lvl w:ilvl="4">
      <w:start w:val="1"/>
      <w:numFmt w:val="bullet"/>
      <w:lvlText w:val=""/>
      <w:lvlJc w:val="left"/>
      <w:pPr>
        <w:ind w:left="2100" w:hanging="420"/>
      </w:pPr>
      <w:rPr>
        <w:rFonts w:hint="default" w:ascii="Wingdings" w:hAnsi="Wingdings"/>
      </w:rPr>
    </w:lvl>
    <w:lvl w:ilvl="5">
      <w:start w:val="1"/>
      <w:numFmt w:val="bullet"/>
      <w:lvlText w:val=""/>
      <w:lvlJc w:val="left"/>
      <w:pPr>
        <w:ind w:left="2520" w:hanging="420"/>
      </w:pPr>
      <w:rPr>
        <w:rFonts w:hint="default" w:ascii="Wingdings" w:hAnsi="Wingdings"/>
      </w:rPr>
    </w:lvl>
    <w:lvl w:ilvl="6">
      <w:start w:val="1"/>
      <w:numFmt w:val="bullet"/>
      <w:lvlText w:val=""/>
      <w:lvlJc w:val="left"/>
      <w:pPr>
        <w:ind w:left="2940" w:hanging="420"/>
      </w:pPr>
      <w:rPr>
        <w:rFonts w:hint="default" w:ascii="Wingdings" w:hAnsi="Wingdings"/>
      </w:rPr>
    </w:lvl>
    <w:lvl w:ilvl="7">
      <w:start w:val="1"/>
      <w:numFmt w:val="bullet"/>
      <w:lvlText w:val=""/>
      <w:lvlJc w:val="left"/>
      <w:pPr>
        <w:ind w:left="3360" w:hanging="420"/>
      </w:pPr>
      <w:rPr>
        <w:rFonts w:hint="default" w:ascii="Wingdings" w:hAnsi="Wingdings"/>
      </w:rPr>
    </w:lvl>
    <w:lvl w:ilvl="8">
      <w:start w:val="1"/>
      <w:numFmt w:val="bullet"/>
      <w:lvlText w:val=""/>
      <w:lvlJc w:val="left"/>
      <w:pPr>
        <w:ind w:left="3780" w:hanging="420"/>
      </w:pPr>
      <w:rPr>
        <w:rFonts w:hint="default" w:ascii="Wingdings" w:hAnsi="Wingdings"/>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1005">
    <w:abstractNumId w:val="1005"/>
  </w:num>
</w:numbering>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mc:Ignorable=" w15">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spidmax="1026" v:ext="edit">
      <o:colormru colors="white" v:ext="edit"/>
    </o:shapedefaults>
    <o:shapelayout v:ext="edit">
      <o:idmap data="1" v:ext="edit"/>
    </o:shapelayout>
  </w:shapeDefaults>
  <w:decimalSymbol w:val="."/>
  <w:listSeparator w:val=","/>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 Target="media/document_image_rId9.png" Type="http://schemas.openxmlformats.org/officeDocument/2006/relationships/image" Id="rId9"/><Relationship Target="media/document_image_rId10.png" Type="http://schemas.openxmlformats.org/officeDocument/2006/relationships/image" Id="rId10"/><Relationship Target="media/document_image_rId11.png" Type="http://schemas.openxmlformats.org/officeDocument/2006/relationships/image" Id="rId11"/><Relationship Target="media/document_image_rId12.png" Type="http://schemas.openxmlformats.org/officeDocument/2006/relationships/image" Id="rId12"/><Relationship Target="media/document_image_rId13.png" Type="http://schemas.openxmlformats.org/officeDocument/2006/relationships/image" Id="rId13"/><Relationship Target="media/document_image_rId14.png" Type="http://schemas.openxmlformats.org/officeDocument/2006/relationships/image" Id="rId14"/><Relationship Target="media/document_image_rId15.png" Type="http://schemas.openxmlformats.org/officeDocument/2006/relationships/image" Id="rId15"/><Relationship Target="media/document_image_rId16.png" Type="http://schemas.openxmlformats.org/officeDocument/2006/relationships/image" Id="rId16"/><Relationship Target="media/document_image_rId17.png" Type="http://schemas.openxmlformats.org/officeDocument/2006/relationships/image" Id="rId17"/><Relationship Target="media/document_image_rId18.png" Type="http://schemas.openxmlformats.org/officeDocument/2006/relationships/image" Id="rId18"/><Relationship Target="footer.xml" Type="http://schemas.openxmlformats.org/officeDocument/2006/relationships/footer" Id="rId19"/></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