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rPr>
          <w:rFonts w:ascii="Times New Roman" w:hAnsi="Times New Roman" w:eastAsia="宋体"/>
        </w:rPr>
        <w:t>林知远</w:t>
      </w:r>
    </w:p>
    <w:p>
      <w:pPr>
        <w:pStyle w:val="ResumeContactInformation"/>
      </w:pPr>
      <w:hyperlink r:id="rId9">
        <w:r>
          <w:rPr>
            <w:rFonts w:ascii="Times New Roman" w:hAnsi="Times New Roman" w:eastAsia="宋体"/>
            <w:color w:val="000000"/>
            <w:u w:val="single"/>
          </w:rPr>
          <w:t>mailto:lin.zhiyuan@example.com</w:t>
        </w:r>
      </w:hyperlink>
      <w:r>
        <w:rPr>
          <w:rFonts w:ascii="Times New Roman" w:hAnsi="Times New Roman" w:eastAsia="宋体"/>
        </w:rPr>
        <w:t xml:space="preserve"> | </w:t>
      </w:r>
      <w:hyperlink r:id="rId10">
        <w:r>
          <w:rPr>
            <w:rFonts w:ascii="Times New Roman" w:hAnsi="Times New Roman" w:eastAsia="宋体"/>
            <w:color w:val="000000"/>
            <w:u w:val="single"/>
          </w:rPr>
          <w:t>+86 138 0000 0000</w:t>
        </w:r>
      </w:hyperlink>
      <w:r>
        <w:rPr>
          <w:rFonts w:ascii="Times New Roman" w:hAnsi="Times New Roman" w:eastAsia="宋体"/>
        </w:rPr>
        <w:t xml:space="preserve"> | </w:t>
      </w:r>
      <w:hyperlink r:id="rId11">
        <w:r>
          <w:rPr>
            <w:rFonts w:ascii="Times New Roman" w:hAnsi="Times New Roman" w:eastAsia="宋体"/>
            <w:color w:val="000000"/>
            <w:u w:val="single"/>
          </w:rPr>
          <w:t>GitHub</w:t>
        </w:r>
      </w:hyperlink>
    </w:p>
    <w:p>
      <w:pPr>
        <w:pStyle w:val="ResumeSectionHeading"/>
      </w:pPr>
      <w:r>
        <w:rPr>
          <w:rFonts w:ascii="Times New Roman" w:hAnsi="Times New Roman" w:eastAsia="宋体"/>
        </w:rPr>
        <w:t>教育经历</w:t>
      </w:r>
    </w:p>
    <w:tbl>
      <w:tblPr>
        <w:tblStyle w:val="ResumeEntryTable"/>
        <w:tblW w:type="dxa" w:w="10466"/>
        <w:tblLook w:firstColumn="1" w:firstRow="1" w:lastColumn="0" w:lastRow="0" w:noHBand="0" w:noVBand="1" w:val="04A0"/>
      </w:tblPr>
      <w:tblGrid>
        <w:gridCol w:w="6280"/>
        <w:gridCol w:w="4186"/>
      </w:tblGrid>
      <w:tr>
        <w:tc>
          <w:tcPr>
            <w:tcW w:type="dxa" w:w="6280"/>
          </w:tcPr>
          <w:p>
            <w:pPr>
              <w:pStyle w:val="ResumeEntryHeading"/>
            </w:pPr>
            <w:r>
              <w:rPr>
                <w:rFonts w:ascii="Times New Roman" w:hAnsi="Times New Roman" w:eastAsia="宋体"/>
              </w:rPr>
              <w:t>虚构城市大学 | 金融工程学士</w:t>
            </w:r>
          </w:p>
        </w:tc>
        <w:tc>
          <w:tcPr>
            <w:tcW w:type="dxa" w:w="4186"/>
          </w:tcPr>
          <w:p>
            <w:pPr>
              <w:pStyle w:val="ResumeEntryMetadata"/>
            </w:pPr>
            <w:r>
              <w:rPr>
                <w:rFonts w:ascii="Times New Roman" w:hAnsi="Times New Roman" w:eastAsia="宋体"/>
              </w:rPr>
              <w:t>上海 | 2020.09 - 2024.06</w:t>
            </w:r>
          </w:p>
        </w:tc>
      </w:tr>
    </w:tbl>
    <w:p>
      <w:pPr>
        <w:pStyle w:val="ResumeBullet"/>
      </w:pPr>
      <w:r>
        <w:rPr>
          <w:rFonts w:ascii="Times New Roman" w:hAnsi="Times New Roman" w:eastAsia="宋体"/>
        </w:rPr>
        <w:t>主修资产定价、统计建模与计算金融；以 Python、SQL 和 Excel 完成课程研究及案例分析。</w:t>
      </w:r>
    </w:p>
    <w:p>
      <w:pPr>
        <w:pStyle w:val="ResumeSectionHeading"/>
      </w:pPr>
      <w:r>
        <w:rPr>
          <w:rFonts w:ascii="Times New Roman" w:hAnsi="Times New Roman" w:eastAsia="宋体"/>
        </w:rPr>
        <w:t>工作经历</w:t>
      </w:r>
    </w:p>
    <w:tbl>
      <w:tblPr>
        <w:tblStyle w:val="ResumeEntryTable"/>
        <w:tblW w:type="dxa" w:w="10466"/>
        <w:tblLook w:firstColumn="1" w:firstRow="1" w:lastColumn="0" w:lastRow="0" w:noHBand="0" w:noVBand="1" w:val="04A0"/>
      </w:tblPr>
      <w:tblGrid>
        <w:gridCol w:w="6280"/>
        <w:gridCol w:w="4186"/>
      </w:tblGrid>
      <w:tr>
        <w:tc>
          <w:tcPr>
            <w:tcW w:type="dxa" w:w="6280"/>
          </w:tcPr>
          <w:p>
            <w:pPr>
              <w:pStyle w:val="ResumeEntryHeading"/>
            </w:pPr>
            <w:r>
              <w:rPr>
                <w:rFonts w:ascii="Times New Roman" w:hAnsi="Times New Roman" w:eastAsia="宋体"/>
              </w:rPr>
              <w:t>北辰数据实验室 | 数据分析师</w:t>
            </w:r>
          </w:p>
        </w:tc>
        <w:tc>
          <w:tcPr>
            <w:tcW w:type="dxa" w:w="4186"/>
          </w:tcPr>
          <w:p>
            <w:pPr>
              <w:pStyle w:val="ResumeEntryMetadata"/>
            </w:pPr>
            <w:r>
              <w:rPr>
                <w:rFonts w:ascii="Times New Roman" w:hAnsi="Times New Roman" w:eastAsia="宋体"/>
              </w:rPr>
              <w:t>上海 | 2024.07 - 至今</w:t>
            </w:r>
          </w:p>
        </w:tc>
      </w:tr>
    </w:tbl>
    <w:p>
      <w:pPr>
        <w:pStyle w:val="ResumeBullet"/>
      </w:pPr>
      <w:r>
        <w:rPr>
          <w:rFonts w:ascii="Times New Roman" w:hAnsi="Times New Roman" w:eastAsia="宋体"/>
        </w:rPr>
        <w:t>为消费与工业客户搭建月度经营分析数据集，统一销售、渠道和库存口径，并通过 SQL 自动生成可追溯的明细表。</w:t>
      </w:r>
    </w:p>
    <w:p>
      <w:pPr>
        <w:pStyle w:val="ResumeBullet"/>
      </w:pPr>
      <w:r>
        <w:rPr>
          <w:rFonts w:ascii="Times New Roman" w:hAnsi="Times New Roman" w:eastAsia="宋体"/>
        </w:rPr>
        <w:t>使用 Python 清洗多来源交易记录、识别异常波动并撰写周度洞察，帮助项目团队将复核时间集中在高优先级问题上。</w:t>
      </w:r>
    </w:p>
    <w:p>
      <w:pPr>
        <w:pStyle w:val="ResumeBullet"/>
      </w:pPr>
      <w:r>
        <w:rPr>
          <w:rFonts w:ascii="Times New Roman" w:hAnsi="Times New Roman" w:eastAsia="宋体"/>
        </w:rPr>
        <w:t>与项目经理共同维护指标口径说明和交付检查清单，确保分析结论能够回溯至原始数据与业务假设。</w:t>
      </w:r>
    </w:p>
    <w:tbl>
      <w:tblPr>
        <w:tblStyle w:val="ResumeEntryTable"/>
        <w:tblW w:type="dxa" w:w="10466"/>
        <w:tblLook w:firstColumn="1" w:firstRow="1" w:lastColumn="0" w:lastRow="0" w:noHBand="0" w:noVBand="1" w:val="04A0"/>
      </w:tblPr>
      <w:tblGrid>
        <w:gridCol w:w="6280"/>
        <w:gridCol w:w="4186"/>
      </w:tblGrid>
      <w:tr>
        <w:tc>
          <w:tcPr>
            <w:tcW w:type="dxa" w:w="6280"/>
          </w:tcPr>
          <w:p>
            <w:pPr>
              <w:pStyle w:val="ResumeEntryHeading"/>
            </w:pPr>
            <w:r>
              <w:rPr>
                <w:rFonts w:ascii="Times New Roman" w:hAnsi="Times New Roman" w:eastAsia="宋体"/>
              </w:rPr>
              <w:t>澄川科技 | 商业分析实习生</w:t>
            </w:r>
          </w:p>
        </w:tc>
        <w:tc>
          <w:tcPr>
            <w:tcW w:type="dxa" w:w="4186"/>
          </w:tcPr>
          <w:p>
            <w:pPr>
              <w:pStyle w:val="ResumeEntryMetadata"/>
            </w:pPr>
            <w:r>
              <w:rPr>
                <w:rFonts w:ascii="Times New Roman" w:hAnsi="Times New Roman" w:eastAsia="宋体"/>
              </w:rPr>
              <w:t>杭州 | 2023.06 - 2024.06</w:t>
            </w:r>
          </w:p>
        </w:tc>
      </w:tr>
    </w:tbl>
    <w:p>
      <w:pPr>
        <w:pStyle w:val="ResumeBullet"/>
      </w:pPr>
      <w:r>
        <w:rPr>
          <w:rFonts w:ascii="Times New Roman" w:hAnsi="Times New Roman" w:eastAsia="宋体"/>
        </w:rPr>
        <w:t>参与订阅产品留存分析，整理用户生命周期、功能使用与客服标签数据，为季度复盘提供分层观察维度。</w:t>
      </w:r>
    </w:p>
    <w:p>
      <w:pPr>
        <w:pStyle w:val="ResumeBullet"/>
      </w:pPr>
      <w:r>
        <w:rPr>
          <w:rFonts w:ascii="Times New Roman" w:hAnsi="Times New Roman" w:eastAsia="宋体"/>
        </w:rPr>
        <w:t>维护 Excel 模型与汇报图表模板，将手工汇总步骤改为参数化刷新流程，提升跨团队数据沟通的一致性。</w:t>
      </w:r>
    </w:p>
    <w:tbl>
      <w:tblPr>
        <w:tblStyle w:val="ResumeEntryTable"/>
        <w:tblW w:type="dxa" w:w="10466"/>
        <w:tblLook w:firstColumn="1" w:firstRow="1" w:lastColumn="0" w:lastRow="0" w:noHBand="0" w:noVBand="1" w:val="04A0"/>
      </w:tblPr>
      <w:tblGrid>
        <w:gridCol w:w="6280"/>
        <w:gridCol w:w="4186"/>
      </w:tblGrid>
      <w:tr>
        <w:tc>
          <w:tcPr>
            <w:tcW w:type="dxa" w:w="6280"/>
          </w:tcPr>
          <w:p>
            <w:pPr>
              <w:pStyle w:val="ResumeEntryHeading"/>
            </w:pPr>
            <w:r>
              <w:rPr>
                <w:rFonts w:ascii="Times New Roman" w:hAnsi="Times New Roman" w:eastAsia="宋体"/>
              </w:rPr>
              <w:t>星港研究咨询 | 行业研究实习生</w:t>
            </w:r>
          </w:p>
        </w:tc>
        <w:tc>
          <w:tcPr>
            <w:tcW w:type="dxa" w:w="4186"/>
          </w:tcPr>
          <w:p>
            <w:pPr>
              <w:pStyle w:val="ResumeEntryMetadata"/>
            </w:pPr>
            <w:r>
              <w:rPr>
                <w:rFonts w:ascii="Times New Roman" w:hAnsi="Times New Roman" w:eastAsia="宋体"/>
              </w:rPr>
              <w:t>北京 | 2022.07 - 2022.09</w:t>
            </w:r>
          </w:p>
        </w:tc>
      </w:tr>
    </w:tbl>
    <w:p>
      <w:pPr>
        <w:pStyle w:val="ResumeBullet"/>
      </w:pPr>
      <w:r>
        <w:rPr>
          <w:rFonts w:ascii="Times New Roman" w:hAnsi="Times New Roman" w:eastAsia="宋体"/>
        </w:rPr>
        <w:t>协助整理新能源产业链公司公告、产能规划和公开市场数据，建立覆盖上下游环节的可检索研究底稿。</w:t>
      </w:r>
    </w:p>
    <w:p>
      <w:pPr>
        <w:pStyle w:val="ResumeBullet"/>
      </w:pPr>
      <w:r>
        <w:rPr>
          <w:rFonts w:ascii="Times New Roman" w:hAnsi="Times New Roman" w:eastAsia="宋体"/>
        </w:rPr>
        <w:t>根据访谈纪要与公开信息更新行业周报图表，核对引用来源和计算口径，支持研究员完成主题讨论材料。</w:t>
      </w:r>
    </w:p>
    <w:p>
      <w:pPr>
        <w:pStyle w:val="ResumeBullet"/>
      </w:pPr>
      <w:r>
        <w:rPr>
          <w:rFonts w:ascii="Times New Roman" w:hAnsi="Times New Roman" w:eastAsia="宋体"/>
        </w:rPr>
        <w:t>将重复出现的产业链术语和公司别名整理为对照表，提升跨来源资料检索与后续数据合并的准确性。</w:t>
      </w:r>
    </w:p>
    <w:p>
      <w:pPr>
        <w:pStyle w:val="ResumeSectionHeading"/>
      </w:pPr>
      <w:r>
        <w:rPr>
          <w:rFonts w:ascii="Times New Roman" w:hAnsi="Times New Roman" w:eastAsia="宋体"/>
        </w:rPr>
        <w:t>项目经历</w:t>
      </w:r>
    </w:p>
    <w:tbl>
      <w:tblPr>
        <w:tblStyle w:val="ResumeEntryTable"/>
        <w:tblW w:type="dxa" w:w="10466"/>
        <w:tblLook w:firstColumn="1" w:firstRow="1" w:lastColumn="0" w:lastRow="0" w:noHBand="0" w:noVBand="1" w:val="04A0"/>
      </w:tblPr>
      <w:tblGrid>
        <w:gridCol w:w="6280"/>
        <w:gridCol w:w="4186"/>
      </w:tblGrid>
      <w:tr>
        <w:tc>
          <w:tcPr>
            <w:tcW w:type="dxa" w:w="6280"/>
          </w:tcPr>
          <w:p>
            <w:pPr>
              <w:pStyle w:val="ResumeEntryHeading"/>
            </w:pPr>
            <w:r>
              <w:rPr>
                <w:rFonts w:ascii="Times New Roman" w:hAnsi="Times New Roman" w:eastAsia="宋体"/>
              </w:rPr>
              <w:t>零售需求信号平台 | 后端开发负责人</w:t>
            </w:r>
          </w:p>
        </w:tc>
        <w:tc>
          <w:tcPr>
            <w:tcW w:type="dxa" w:w="4186"/>
          </w:tcPr>
          <w:p>
            <w:pPr>
              <w:pStyle w:val="ResumeEntryMetadata"/>
            </w:pPr>
            <w:r>
              <w:rPr>
                <w:rFonts w:ascii="Times New Roman" w:hAnsi="Times New Roman" w:eastAsia="宋体"/>
              </w:rPr>
              <w:t>2024.02 - 2024.05</w:t>
            </w:r>
          </w:p>
        </w:tc>
      </w:tr>
    </w:tbl>
    <w:p>
      <w:pPr>
        <w:pStyle w:val="ResumeBullet"/>
      </w:pPr>
      <w:r>
        <w:rPr>
          <w:rFonts w:ascii="Times New Roman" w:hAnsi="Times New Roman" w:eastAsia="宋体"/>
        </w:rPr>
        <w:t>使用 FastAPI 与 PostgreSQL 设计订单、商品和需求信号的数据模型及 REST API，提供按品类、时间窗口和门店筛选的查询接口。</w:t>
      </w:r>
    </w:p>
    <w:p>
      <w:pPr>
        <w:pStyle w:val="ResumeBullet"/>
      </w:pPr>
      <w:r>
        <w:rPr>
          <w:rFonts w:ascii="Times New Roman" w:hAnsi="Times New Roman" w:eastAsia="宋体"/>
        </w:rPr>
        <w:t>实现异步数据导入与聚合任务，按批次记录处理状态、异常原因和版本信息；通过 Redis 缓存高频查询，降低重复计算开销。</w:t>
      </w:r>
    </w:p>
    <w:p>
      <w:pPr>
        <w:pStyle w:val="ResumeBullet"/>
      </w:pPr>
      <w:r>
        <w:rPr>
          <w:rFonts w:ascii="Times New Roman" w:hAnsi="Times New Roman" w:eastAsia="宋体"/>
        </w:rPr>
        <w:t>以 Docker Compose 统一 API、数据库和任务队列的本地运行环境，并补充 pytest 接口测试与 GitHub Actions 检查，保证核心查询和导入流程可回归验证。</w:t>
      </w:r>
    </w:p>
    <w:tbl>
      <w:tblPr>
        <w:tblStyle w:val="ResumeEntryTable"/>
        <w:tblW w:type="dxa" w:w="10466"/>
        <w:tblLook w:firstColumn="1" w:firstRow="1" w:lastColumn="0" w:lastRow="0" w:noHBand="0" w:noVBand="1" w:val="04A0"/>
      </w:tblPr>
      <w:tblGrid>
        <w:gridCol w:w="6280"/>
        <w:gridCol w:w="4186"/>
      </w:tblGrid>
      <w:tr>
        <w:tc>
          <w:tcPr>
            <w:tcW w:type="dxa" w:w="6280"/>
          </w:tcPr>
          <w:p>
            <w:pPr>
              <w:pStyle w:val="ResumeEntryHeading"/>
            </w:pPr>
            <w:r>
              <w:rPr>
                <w:rFonts w:ascii="Times New Roman" w:hAnsi="Times New Roman" w:eastAsia="宋体"/>
              </w:rPr>
              <w:t>产业研究知识库 | 全栈开发者</w:t>
            </w:r>
          </w:p>
        </w:tc>
        <w:tc>
          <w:tcPr>
            <w:tcW w:type="dxa" w:w="4186"/>
          </w:tcPr>
          <w:p>
            <w:pPr>
              <w:pStyle w:val="ResumeEntryMetadata"/>
            </w:pPr>
            <w:r>
              <w:rPr>
                <w:rFonts w:ascii="Times New Roman" w:hAnsi="Times New Roman" w:eastAsia="宋体"/>
              </w:rPr>
              <w:t>2023.10 - 2024.01</w:t>
            </w:r>
          </w:p>
        </w:tc>
      </w:tr>
    </w:tbl>
    <w:p>
      <w:pPr>
        <w:pStyle w:val="ResumeBullet"/>
      </w:pPr>
      <w:r>
        <w:rPr>
          <w:rFonts w:ascii="Times New Roman" w:hAnsi="Times New Roman" w:eastAsia="宋体"/>
        </w:rPr>
        <w:t>使用 Next.js 与 TypeScript 构建研究资料检索界面，支持关键词、行业、发布日期和标签组合筛选，并提供来源跳转与结果分页。</w:t>
      </w:r>
    </w:p>
    <w:p>
      <w:pPr>
        <w:pStyle w:val="ResumeBullet"/>
      </w:pPr>
      <w:r>
        <w:rPr>
          <w:rFonts w:ascii="Times New Roman" w:hAnsi="Times New Roman" w:eastAsia="宋体"/>
        </w:rPr>
        <w:t>设计 PostgreSQL 关系模型和 Python 抓取脚本，完成文档元数据、摘要、标签与来源链接的入库、去重和全文检索索引。</w:t>
      </w:r>
    </w:p>
    <w:p>
      <w:pPr>
        <w:pStyle w:val="ResumeBullet"/>
      </w:pPr>
      <w:r>
        <w:rPr>
          <w:rFonts w:ascii="Times New Roman" w:hAnsi="Times New Roman" w:eastAsia="宋体"/>
        </w:rPr>
        <w:t>实现资料上传、编辑和删除的服务端校验与操作日志，并为检索、分页和权限边界编写组件测试与接口测试。</w:t>
      </w:r>
    </w:p>
    <w:tbl>
      <w:tblPr>
        <w:tblStyle w:val="ResumeEntryTable"/>
        <w:tblW w:type="dxa" w:w="10466"/>
        <w:tblLook w:firstColumn="1" w:firstRow="1" w:lastColumn="0" w:lastRow="0" w:noHBand="0" w:noVBand="1" w:val="04A0"/>
      </w:tblPr>
      <w:tblGrid>
        <w:gridCol w:w="6280"/>
        <w:gridCol w:w="4186"/>
      </w:tblGrid>
      <w:tr>
        <w:tc>
          <w:tcPr>
            <w:tcW w:type="dxa" w:w="6280"/>
          </w:tcPr>
          <w:p>
            <w:pPr>
              <w:pStyle w:val="ResumeEntryHeading"/>
            </w:pPr>
            <w:r>
              <w:rPr>
                <w:rFonts w:ascii="Times New Roman" w:hAnsi="Times New Roman" w:eastAsia="宋体"/>
              </w:rPr>
              <w:t>城市公共预算模拟器 | 独立开发者</w:t>
            </w:r>
          </w:p>
        </w:tc>
        <w:tc>
          <w:tcPr>
            <w:tcW w:type="dxa" w:w="4186"/>
          </w:tcPr>
          <w:p>
            <w:pPr>
              <w:pStyle w:val="ResumeEntryMetadata"/>
            </w:pPr>
            <w:r>
              <w:rPr>
                <w:rFonts w:ascii="Times New Roman" w:hAnsi="Times New Roman" w:eastAsia="宋体"/>
              </w:rPr>
              <w:t>2023.04 - 2023.07</w:t>
            </w:r>
          </w:p>
        </w:tc>
      </w:tr>
    </w:tbl>
    <w:p>
      <w:pPr>
        <w:pStyle w:val="ResumeBullet"/>
      </w:pPr>
      <w:r>
        <w:rPr>
          <w:rFonts w:ascii="Times New Roman" w:hAnsi="Times New Roman" w:eastAsia="宋体"/>
        </w:rPr>
        <w:t>使用 Python、Streamlit 和 Plotly 开发交互式预算模拟 Web 应用，将人口、税收和公共服务参数封装为可实时调整的输入控件。</w:t>
      </w:r>
    </w:p>
    <w:p>
      <w:pPr>
        <w:pStyle w:val="ResumeBullet"/>
      </w:pPr>
      <w:r>
        <w:rPr>
          <w:rFonts w:ascii="Times New Roman" w:hAnsi="Times New Roman" w:eastAsia="宋体"/>
        </w:rPr>
        <w:t>实现预算计算模块与输入校验规则，明确区分历史数据、用户假设和模型输出，并在异常参数下返回可读的错误提示。</w:t>
      </w:r>
    </w:p>
    <w:p>
      <w:pPr>
        <w:pStyle w:val="ResumeBullet"/>
      </w:pPr>
      <w:r>
        <w:rPr>
          <w:rFonts w:ascii="Times New Roman" w:hAnsi="Times New Roman" w:eastAsia="宋体"/>
        </w:rPr>
        <w:t>构建情景对比图表和 CSV 导出功能，使用 Git 管理版本并编写部署说明，使他人能够在本地复现和扩展模拟逻辑。</w:t>
      </w:r>
    </w:p>
    <w:p>
      <w:pPr>
        <w:pStyle w:val="ResumeSectionHeading"/>
      </w:pPr>
      <w:r>
        <w:rPr>
          <w:rFonts w:ascii="Times New Roman" w:hAnsi="Times New Roman" w:eastAsia="宋体"/>
        </w:rPr>
        <w:t>技能</w:t>
      </w:r>
    </w:p>
    <w:p>
      <w:pPr>
        <w:pStyle w:val="ResumeBullet"/>
      </w:pPr>
      <w:r>
        <w:rPr>
          <w:rFonts w:ascii="Times New Roman" w:hAnsi="Times New Roman" w:eastAsia="宋体"/>
        </w:rPr>
        <w:t>数据与编程：Python（pandas、NumPy、matplotlib）、SQL、Git；能够编写清晰的数据清洗、校验与可复现分析脚本。</w:t>
      </w:r>
    </w:p>
    <w:p>
      <w:pPr>
        <w:pStyle w:val="ResumeBullet"/>
      </w:pPr>
      <w:r>
        <w:rPr>
          <w:rFonts w:ascii="Times New Roman" w:hAnsi="Times New Roman" w:eastAsia="宋体"/>
        </w:rPr>
        <w:t>分析与表达：Excel 建模、PowerPoint、基础统计推断、经营分析与行业研究；重视口径定义、可追溯性与结论边界。</w:t>
      </w:r>
    </w:p>
    <w:p>
      <w:pPr>
        <w:pStyle w:val="ResumeBullet"/>
      </w:pPr>
      <w:r>
        <w:rPr>
          <w:rFonts w:ascii="Times New Roman" w:hAnsi="Times New Roman" w:eastAsia="宋体"/>
        </w:rPr>
        <w:t>语言：中文（母语）、英语（专业工作阅读与书面沟通）。</w:t>
      </w:r>
    </w:p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ResumeSub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Resume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qFormat/>
    <w:pPr>
      <w:keepNext w:val="0"/>
      <w:spacing w:line="240" w:lineRule="auto" w:before="0" w:after="0"/>
      <w:jc w:val="center"/>
    </w:pPr>
    <w:rPr>
      <w:rFonts w:ascii="Times New Roman" w:hAnsi="Times New Roman" w:eastAsia="宋体"/>
      <w:b/>
      <w:color w:val="000000"/>
      <w:sz w:val="48"/>
    </w:rPr>
  </w:style>
  <w:style w:type="paragraph" w:customStyle="1" w:styleId="ResumeContactInformation">
    <w:name w:val="Resume Contact Information"/>
    <w:qFormat/>
    <w:pPr>
      <w:keepNext w:val="0"/>
      <w:spacing w:line="240" w:lineRule="auto" w:before="0" w:after="0"/>
      <w:jc w:val="center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ResumeSectionHeading">
    <w:name w:val="Resume Section Heading"/>
    <w:qFormat/>
    <w:pPr>
      <w:keepNext/>
      <w:spacing w:line="240" w:lineRule="auto" w:before="120" w:after="40"/>
      <w:jc w:val="left"/>
      <w:pBdr>
        <w:bottom w:val="single" w:sz="4" w:space="1" w:color="000000"/>
      </w:pBdr>
    </w:pPr>
    <w:rPr>
      <w:rFonts w:ascii="Times New Roman" w:hAnsi="Times New Roman" w:eastAsia="宋体"/>
      <w:b/>
      <w:smallCaps/>
      <w:color w:val="000000"/>
      <w:sz w:val="28"/>
    </w:rPr>
  </w:style>
  <w:style w:type="paragraph" w:customStyle="1" w:styleId="ResumeEntryHeading">
    <w:name w:val="Resume Entry Heading"/>
    <w:qFormat/>
    <w:pPr>
      <w:keepNext w:val="0"/>
      <w:spacing w:line="240" w:lineRule="auto" w:before="40" w:after="0"/>
      <w:jc w:val="left"/>
    </w:pPr>
    <w:rPr>
      <w:rFonts w:ascii="Times New Roman" w:hAnsi="Times New Roman" w:eastAsia="宋体"/>
      <w:b/>
      <w:color w:val="000000"/>
      <w:sz w:val="22"/>
    </w:rPr>
  </w:style>
  <w:style w:type="paragraph" w:customStyle="1" w:styleId="ResumeEntryMetadata">
    <w:name w:val="Resume Entry Metadata"/>
    <w:qFormat/>
    <w:pPr>
      <w:keepNext w:val="0"/>
      <w:spacing w:line="240" w:lineRule="auto" w:before="40" w:after="0"/>
      <w:jc w:val="right"/>
    </w:pPr>
    <w:rPr>
      <w:rFonts w:ascii="Times New Roman" w:hAnsi="Times New Roman" w:eastAsia="宋体"/>
      <w:b/>
      <w:color w:val="000000"/>
      <w:sz w:val="22"/>
    </w:rPr>
  </w:style>
  <w:style w:type="paragraph" w:customStyle="1" w:styleId="ResumeBullet">
    <w:name w:val="Resume Bullet"/>
    <w:qFormat/>
    <w:pPr>
      <w:keepNext w:val="0"/>
      <w:numPr>
        <w:ilvl w:val="0"/>
        <w:numId w:val="1"/>
      </w:numPr>
      <w:spacing w:line="240" w:lineRule="auto" w:before="0" w:after="0"/>
      <w:jc w:val="left"/>
    </w:pPr>
    <w:rPr>
      <w:rFonts w:ascii="Times New Roman" w:hAnsi="Times New Roman" w:eastAsia="宋体"/>
      <w:b w:val="0"/>
      <w:color w:val="000000"/>
      <w:sz w:val="22"/>
    </w:rPr>
  </w:style>
  <w:style w:type="paragraph" w:customStyle="1" w:styleId="ResumeSubBullet">
    <w:name w:val="Resume Sub Bullet"/>
    <w:qFormat/>
    <w:pPr>
      <w:keepNext w:val="0"/>
      <w:numPr>
        <w:ilvl w:val="0"/>
        <w:numId w:val="3"/>
      </w:numPr>
      <w:spacing w:line="240" w:lineRule="auto" w:before="0" w:after="0"/>
      <w:jc w:val="left"/>
    </w:pPr>
    <w:rPr>
      <w:rFonts w:ascii="Times New Roman" w:hAnsi="Times New Roman" w:eastAsia="宋体"/>
      <w:b w:val="0"/>
      <w:color w:val="000000"/>
      <w:sz w:val="21"/>
    </w:rPr>
  </w:style>
  <w:style w:type="table" w:customStyle="1" w:styleId="ResumeEntryTable">
    <w:name w:val="Resume Entry Table"/>
    <w:basedOn w:val="TableNormal"/>
    <w:qFormat/>
    <w:tblPr>
      <w:jc w:val="center"/>
      <w:tblLayout w:type="fixed"/>
      <w:tblInd w:type="dxa" w:w="0"/>
      <w:tblCellMar>
        <w:top w:type="dxa" w:w="0"/>
        <w:left w:type="dxa" w:w="0"/>
        <w:bottom w:type="dxa" w:w="0"/>
        <w:right w:type="dxa" w:w="0"/>
      </w:tblCellMar>
      <w:tblBorders>
        <w:top w:val="nil"/>
        <w:left w:val="nil"/>
        <w:bottom w:val="nil"/>
        <w:right w:val="nil"/>
        <w:insideH w:val="nil"/>
        <w:insideV w:val="nil"/>
      </w:tblBorders>
    </w:tblPr>
    <w:trPr>
      <w:cantSplit/>
    </w:trPr>
    <w:tcPr>
      <w:vAlign w:val="center"/>
    </w:tc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lin.zhiyuan@example.com" TargetMode="External"/><Relationship Id="rId10" Type="http://schemas.openxmlformats.org/officeDocument/2006/relationships/hyperlink" Target="tel:+8613800000000" TargetMode="External"/><Relationship Id="rId11" Type="http://schemas.openxmlformats.org/officeDocument/2006/relationships/hyperlink" Target="https://github.com/example/zhiyuan-l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  <cp:contentStatus/>
  <dc:identifier/>
  <dc:language/>
  <cp:version/>
  <cp:lastPrinted>2000-01-01T00:00:00Z</cp:lastPrinted>
</cp:coreProperties>
</file>