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Times New Roman" w:hAnsi="Times New Roman" w:eastAsia="宋体"/>
        </w:rPr>
        <w:t>Avery Lin</w:t>
      </w:r>
    </w:p>
    <w:p>
      <w:pPr>
        <w:pStyle w:val="ResumeContactInformation"/>
      </w:pPr>
      <w:hyperlink r:id="rId9">
        <w:r>
          <w:rPr>
            <w:rFonts w:ascii="Times New Roman" w:hAnsi="Times New Roman" w:eastAsia="宋体"/>
            <w:color w:val="000000"/>
            <w:u w:val="none"/>
          </w:rPr>
          <w:t>avery.lin@example.com</w:t>
        </w:r>
      </w:hyperlink>
      <w:r>
        <w:rPr>
          <w:rFonts w:ascii="Times New Roman" w:hAnsi="Times New Roman" w:eastAsia="宋体"/>
        </w:rPr>
        <w:t xml:space="preserve"> | </w:t>
      </w:r>
      <w:hyperlink r:id="rId10">
        <w:r>
          <w:rPr>
            <w:rFonts w:ascii="Times New Roman" w:hAnsi="Times New Roman" w:eastAsia="宋体"/>
            <w:color w:val="000000"/>
            <w:u w:val="none"/>
          </w:rPr>
          <w:t>+1 202 555 0147</w:t>
        </w:r>
      </w:hyperlink>
      <w:r>
        <w:rPr>
          <w:rFonts w:ascii="Times New Roman" w:hAnsi="Times New Roman" w:eastAsia="宋体"/>
        </w:rPr>
        <w:t xml:space="preserve"> | </w:t>
      </w:r>
      <w:hyperlink r:id="rId11">
        <w:r>
          <w:rPr>
            <w:rFonts w:ascii="Times New Roman" w:hAnsi="Times New Roman" w:eastAsia="宋体"/>
            <w:color w:val="000000"/>
            <w:u w:val="none"/>
          </w:rPr>
          <w:t>GitHub</w:t>
        </w:r>
      </w:hyperlink>
    </w:p>
    <w:p>
      <w:pPr>
        <w:pStyle w:val="ResumeSectionHeading"/>
      </w:pPr>
      <w:r>
        <w:rPr>
          <w:rFonts w:ascii="Times New Roman" w:hAnsi="Times New Roman" w:eastAsia="宋体"/>
        </w:rPr>
        <w:t>Education</w:t>
      </w:r>
    </w:p>
    <w:tbl>
      <w:tblPr>
        <w:tblStyle w:val="ResumeEntryTable"/>
        <w:tblW w:type="dxa" w:w="10800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Fictional City University | BSc in Financial Engineering</w:t>
            </w:r>
          </w:p>
        </w:tc>
        <w:tc>
          <w:tcPr>
            <w:tcW w:type="dxa" w:w="4320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Shanghai, China | 2020.09 - 2024.06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Studied asset pricing, statistical modeling, and computational finance; used Python, SQL, and Excel in research assignments and case analyses.</w:t>
      </w:r>
    </w:p>
    <w:p>
      <w:pPr>
        <w:pStyle w:val="ResumeSectionHeading"/>
      </w:pPr>
      <w:r>
        <w:rPr>
          <w:rFonts w:ascii="Times New Roman" w:hAnsi="Times New Roman" w:eastAsia="宋体"/>
        </w:rPr>
        <w:t>Experience</w:t>
      </w:r>
    </w:p>
    <w:tbl>
      <w:tblPr>
        <w:tblStyle w:val="ResumeEntryTable"/>
        <w:tblW w:type="dxa" w:w="10800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Northstar Data Lab | Data Analyst</w:t>
            </w:r>
          </w:p>
        </w:tc>
        <w:tc>
          <w:tcPr>
            <w:tcW w:type="dxa" w:w="4320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Shanghai, China | 2024.07 - Present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Built monthly operating-analysis datasets for consumer and industrial clients, standardizing sales, channel, and inventory definitions into traceable SQL detail tables.</w:t>
      </w:r>
    </w:p>
    <w:p>
      <w:pPr>
        <w:pStyle w:val="ResumeBullet"/>
      </w:pPr>
      <w:r>
        <w:rPr>
          <w:rFonts w:ascii="Times New Roman" w:hAnsi="Times New Roman" w:eastAsia="宋体"/>
        </w:rPr>
        <w:t>Cleaned multi-source transaction records with Python, identified unusual movements, and drafted weekly insights that focused project reviews on the highest-priority questions.</w:t>
      </w:r>
    </w:p>
    <w:tbl>
      <w:tblPr>
        <w:tblStyle w:val="ResumeEntryTable"/>
        <w:tblW w:type="dxa" w:w="10800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Harborline Systems | Business Analytics Intern</w:t>
            </w:r>
          </w:p>
        </w:tc>
        <w:tc>
          <w:tcPr>
            <w:tcW w:type="dxa" w:w="4320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Hangzhou, China | 2023.06 - 2024.06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Contributed to subscription-retention analysis by organizing customer lifecycle, feature-usage, and support-tag data into practical segmentation views for quarterly reviews.</w:t>
      </w:r>
    </w:p>
    <w:p>
      <w:pPr>
        <w:pStyle w:val="ResumeBullet"/>
      </w:pPr>
      <w:r>
        <w:rPr>
          <w:rFonts w:ascii="Times New Roman" w:hAnsi="Times New Roman" w:eastAsia="宋体"/>
        </w:rPr>
        <w:t>Maintained Excel models and presentation templates, replacing manual consolidation steps with parameterized refresh workflows for more consistent cross-team reporting.</w:t>
      </w:r>
    </w:p>
    <w:tbl>
      <w:tblPr>
        <w:tblStyle w:val="ResumeEntryTable"/>
        <w:tblW w:type="dxa" w:w="10800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Starlane Research Advisory | Industry Research Intern</w:t>
            </w:r>
          </w:p>
        </w:tc>
        <w:tc>
          <w:tcPr>
            <w:tcW w:type="dxa" w:w="4320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Beijing, China | 2022.07 - 2022.09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Organized company disclosures, capacity plans, and public-market data across a fictional clean-energy supply chain into a searchable research workpaper.</w:t>
      </w:r>
    </w:p>
    <w:p>
      <w:pPr>
        <w:pStyle w:val="ResumeBullet"/>
      </w:pPr>
      <w:r>
        <w:rPr>
          <w:rFonts w:ascii="Times New Roman" w:hAnsi="Times New Roman" w:eastAsia="宋体"/>
        </w:rPr>
        <w:t>Updated weekly industry charts from interview notes and public sources, checking citations and calculation definitions for analyst discussion materials.</w:t>
      </w:r>
    </w:p>
    <w:p>
      <w:pPr>
        <w:pStyle w:val="ResumeSectionHeading"/>
      </w:pPr>
      <w:r>
        <w:rPr>
          <w:rFonts w:ascii="Times New Roman" w:hAnsi="Times New Roman" w:eastAsia="宋体"/>
        </w:rPr>
        <w:t>Projects</w:t>
      </w:r>
    </w:p>
    <w:tbl>
      <w:tblPr>
        <w:tblStyle w:val="ResumeEntryTable"/>
        <w:tblW w:type="dxa" w:w="10800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Retail Demand Signal Platform | Backend Developer</w:t>
            </w:r>
          </w:p>
        </w:tc>
        <w:tc>
          <w:tcPr>
            <w:tcW w:type="dxa" w:w="4320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2024.02 - 2024.05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Designed data models and REST APIs with FastAPI and PostgreSQL for orders, products, and demand signals, supporting queries by category, time window, and store.</w:t>
      </w:r>
    </w:p>
    <w:p>
      <w:pPr>
        <w:pStyle w:val="ResumeBullet"/>
      </w:pPr>
      <w:r>
        <w:rPr>
          <w:rFonts w:ascii="Times New Roman" w:hAnsi="Times New Roman" w:eastAsia="宋体"/>
        </w:rPr>
        <w:t>Implemented asynchronous ingestion and aggregation jobs with batch-level status, error, and version tracking; added Redis caching for frequently requested queries.</w:t>
      </w:r>
    </w:p>
    <w:p>
      <w:pPr>
        <w:pStyle w:val="ResumeBullet"/>
      </w:pPr>
      <w:r>
        <w:rPr>
          <w:rFonts w:ascii="Times New Roman" w:hAnsi="Times New Roman" w:eastAsia="宋体"/>
        </w:rPr>
        <w:t>Containerized the API, database, and worker services with Docker Compose, then added pytest coverage and GitHub Actions checks for core import and query paths.</w:t>
      </w:r>
    </w:p>
    <w:tbl>
      <w:tblPr>
        <w:tblStyle w:val="ResumeEntryTable"/>
        <w:tblW w:type="dxa" w:w="10800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Industry Research Knowledge Base | Full-Stack Developer</w:t>
            </w:r>
          </w:p>
        </w:tc>
        <w:tc>
          <w:tcPr>
            <w:tcW w:type="dxa" w:w="4320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2023.10 - 2024.01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Built a Next.js and TypeScript search interface for research materials, with composable filters for keywords, industry, publication date, and tags plus source links and pagination.</w:t>
      </w:r>
    </w:p>
    <w:p>
      <w:pPr>
        <w:pStyle w:val="ResumeBullet"/>
      </w:pPr>
      <w:r>
        <w:rPr>
          <w:rFonts w:ascii="Times New Roman" w:hAnsi="Times New Roman" w:eastAsia="宋体"/>
        </w:rPr>
        <w:t>Designed a PostgreSQL schema and Python ingestion scripts for document metadata, summaries, tags, and source URLs, including deduplication and full-text search indexing.</w:t>
      </w:r>
    </w:p>
    <w:p>
      <w:pPr>
        <w:pStyle w:val="ResumeBullet"/>
      </w:pPr>
      <w:r>
        <w:rPr>
          <w:rFonts w:ascii="Times New Roman" w:hAnsi="Times New Roman" w:eastAsia="宋体"/>
        </w:rPr>
        <w:t>Implemented server-side validation and audit logging for material uploads, edits, and deletions, with component and API tests for search, pagination, and authorization boundaries.</w:t>
      </w:r>
    </w:p>
    <w:tbl>
      <w:tblPr>
        <w:tblStyle w:val="ResumeEntryTable"/>
        <w:tblW w:type="dxa" w:w="10800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City Budget Scenario Simulator | Independent Developer</w:t>
            </w:r>
          </w:p>
        </w:tc>
        <w:tc>
          <w:tcPr>
            <w:tcW w:type="dxa" w:w="4320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2023.04 - 2023.07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Developed an interactive budget-simulation web app with Python, Streamlit, and Plotly, exposing population, tax, and public-service assumptions as real-time controls.</w:t>
      </w:r>
    </w:p>
    <w:p>
      <w:pPr>
        <w:pStyle w:val="ResumeBullet"/>
      </w:pPr>
      <w:r>
        <w:rPr>
          <w:rFonts w:ascii="Times New Roman" w:hAnsi="Times New Roman" w:eastAsia="宋体"/>
        </w:rPr>
        <w:t>Implemented the budget-calculation module and input-validation rules, clearly separating historical data, user assumptions, and model outputs with readable error handling.</w:t>
      </w:r>
    </w:p>
    <w:p>
      <w:pPr>
        <w:pStyle w:val="ResumeBullet"/>
      </w:pPr>
      <w:r>
        <w:rPr>
          <w:rFonts w:ascii="Times New Roman" w:hAnsi="Times New Roman" w:eastAsia="宋体"/>
        </w:rPr>
        <w:t>Built scenario-comparison charts and CSV export, documented local deployment, and managed versions with Git so others could reproduce and extend the simulation logic.</w:t>
      </w:r>
    </w:p>
    <w:p>
      <w:pPr>
        <w:pStyle w:val="ResumeSectionHeading"/>
      </w:pPr>
      <w:r>
        <w:rPr>
          <w:rFonts w:ascii="Times New Roman" w:hAnsi="Times New Roman" w:eastAsia="宋体"/>
        </w:rPr>
        <w:t>Skills And Interests</w:t>
      </w:r>
    </w:p>
    <w:p>
      <w:pPr>
        <w:pStyle w:val="ResumeBullet"/>
      </w:pPr>
      <w:r>
        <w:rPr>
          <w:rFonts w:ascii="Times New Roman" w:hAnsi="Times New Roman" w:eastAsia="宋体"/>
        </w:rPr>
        <w:t>Data and programming: Python (pandas, NumPy, matplotlib), SQL, and Git; comfortable building clear data-cleaning, validation, and reproducible-analysis scripts.</w:t>
      </w:r>
    </w:p>
    <w:p>
      <w:pPr>
        <w:pStyle w:val="ResumeBullet"/>
      </w:pPr>
      <w:r>
        <w:rPr>
          <w:rFonts w:ascii="Times New Roman" w:hAnsi="Times New Roman" w:eastAsia="宋体"/>
        </w:rPr>
        <w:t>Languages: Mandarin Chinese (native) and English (professional reading and written communication).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ResumeSub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Resume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qFormat/>
    <w:pPr>
      <w:keepNext w:val="0"/>
      <w:spacing w:line="240" w:lineRule="auto" w:before="0" w:after="0"/>
      <w:jc w:val="center"/>
    </w:pPr>
    <w:rPr>
      <w:rFonts w:ascii="Times New Roman" w:hAnsi="Times New Roman" w:eastAsia="宋体"/>
      <w:b/>
      <w:color w:val="000000"/>
      <w:sz w:val="48"/>
    </w:rPr>
  </w:style>
  <w:style w:type="paragraph" w:customStyle="1" w:styleId="ResumeContactInformation">
    <w:name w:val="Resume Contact Information"/>
    <w:qFormat/>
    <w:pPr>
      <w:keepNext w:val="0"/>
      <w:spacing w:line="240" w:lineRule="auto" w:before="0" w:after="0"/>
      <w:jc w:val="center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ResumeSectionHeading">
    <w:name w:val="Resume Section Heading"/>
    <w:qFormat/>
    <w:pPr>
      <w:keepNext/>
      <w:spacing w:line="240" w:lineRule="auto" w:before="120" w:after="40"/>
      <w:jc w:val="left"/>
      <w:pBdr>
        <w:bottom w:val="single" w:sz="4" w:space="1" w:color="000000"/>
      </w:pBdr>
    </w:pPr>
    <w:rPr>
      <w:rFonts w:ascii="Times New Roman" w:hAnsi="Times New Roman" w:eastAsia="宋体"/>
      <w:b/>
      <w:smallCaps/>
      <w:color w:val="000000"/>
      <w:sz w:val="28"/>
    </w:rPr>
  </w:style>
  <w:style w:type="paragraph" w:customStyle="1" w:styleId="ResumeEntryHeading">
    <w:name w:val="Resume Entry Heading"/>
    <w:qFormat/>
    <w:pPr>
      <w:keepNext w:val="0"/>
      <w:spacing w:line="240" w:lineRule="auto" w:before="40" w:after="0"/>
      <w:jc w:val="left"/>
    </w:pPr>
    <w:rPr>
      <w:rFonts w:ascii="Times New Roman" w:hAnsi="Times New Roman" w:eastAsia="宋体"/>
      <w:b/>
      <w:color w:val="000000"/>
      <w:sz w:val="22"/>
    </w:rPr>
  </w:style>
  <w:style w:type="paragraph" w:customStyle="1" w:styleId="ResumeEntryMetadata">
    <w:name w:val="Resume Entry Metadata"/>
    <w:qFormat/>
    <w:pPr>
      <w:keepNext w:val="0"/>
      <w:spacing w:line="240" w:lineRule="auto" w:before="40" w:after="0"/>
      <w:jc w:val="right"/>
    </w:pPr>
    <w:rPr>
      <w:rFonts w:ascii="Times New Roman" w:hAnsi="Times New Roman" w:eastAsia="宋体"/>
      <w:b/>
      <w:color w:val="000000"/>
      <w:sz w:val="22"/>
    </w:rPr>
  </w:style>
  <w:style w:type="paragraph" w:customStyle="1" w:styleId="ResumeBullet">
    <w:name w:val="Resume Bullet"/>
    <w:qFormat/>
    <w:pPr>
      <w:keepNext w:val="0"/>
      <w:numPr>
        <w:ilvl w:val="0"/>
        <w:numId w:val="1"/>
      </w:numPr>
      <w:spacing w:line="240" w:lineRule="auto" w:before="0" w:after="0"/>
      <w:jc w:val="left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ResumeSubBullet">
    <w:name w:val="Resume Sub Bullet"/>
    <w:qFormat/>
    <w:pPr>
      <w:keepNext w:val="0"/>
      <w:numPr>
        <w:ilvl w:val="0"/>
        <w:numId w:val="3"/>
      </w:numPr>
      <w:spacing w:line="240" w:lineRule="auto" w:before="0" w:after="0"/>
      <w:jc w:val="left"/>
    </w:pPr>
    <w:rPr>
      <w:rFonts w:ascii="Times New Roman" w:hAnsi="Times New Roman" w:eastAsia="宋体"/>
      <w:b w:val="0"/>
      <w:color w:val="000000"/>
      <w:sz w:val="21"/>
    </w:rPr>
  </w:style>
  <w:style w:type="table" w:customStyle="1" w:styleId="ResumeEntryTable">
    <w:name w:val="Resume Entry Table"/>
    <w:basedOn w:val="TableNormal"/>
    <w:qFormat/>
    <w:tblPr>
      <w:jc w:val="center"/>
      <w:tblLayout w:type="fixed"/>
      <w:tblInd w:type="dxa" w:w="0"/>
      <w:tblCellMar>
        <w:top w:type="dxa" w:w="0"/>
        <w:left w:type="dxa" w:w="0"/>
        <w:bottom w:type="dxa" w:w="0"/>
        <w:right w:type="dxa" w:w="0"/>
      </w:tblCellMar>
      <w:tblBorders>
        <w:top w:val="nil"/>
        <w:left w:val="nil"/>
        <w:bottom w:val="nil"/>
        <w:right w:val="nil"/>
        <w:insideH w:val="nil"/>
        <w:insideV w:val="nil"/>
      </w:tblBorders>
    </w:tblPr>
    <w:trPr>
      <w:cantSplit/>
    </w:trPr>
    <w:tcPr>
      <w:vAlign w:val="center"/>
    </w:tc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very.lin@example.com" TargetMode="External"/><Relationship Id="rId10" Type="http://schemas.openxmlformats.org/officeDocument/2006/relationships/hyperlink" Target="tel:+12025550147" TargetMode="External"/><Relationship Id="rId11" Type="http://schemas.openxmlformats.org/officeDocument/2006/relationships/hyperlink" Target="https://github.com/example/avery-l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cp:contentStatus/>
  <dc:identifier/>
  <dc:language/>
  <cp:version/>
  <cp:lastPrinted>2000-01-01T00:00:00Z</cp:lastPrinted>
</cp:coreProperties>
</file>