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黑体" w:hAnsi="黑体" w:eastAsia="黑体"/>
          <w:b/>
          <w:color w:val="1B3C73"/>
          <w:sz w:val="40"/>
        </w:rPr>
        <w:t>面向生成式视觉的云南少数民族服饰图像数据集构建与细粒度多模态基准研究</w:t>
      </w:r>
    </w:p>
    <w:p>
      <w:pPr>
        <w:spacing w:after="320"/>
        <w:jc w:val="center"/>
      </w:pPr>
      <w:r>
        <w:rPr>
          <w:rFonts w:ascii="宋体" w:hAnsi="宋体" w:eastAsia="宋体"/>
          <w:color w:val="505050"/>
          <w:sz w:val="22"/>
        </w:rPr>
        <w:t>课程名称：计算机视觉 (2026春季学期)  |  任课教师：黄珊珊</w:t>
        <w:br/>
        <w:t>项目负责人：邹弘辉 (学号：20241120335)  |  培养单位：云南大学软件学院</w:t>
      </w:r>
    </w:p>
    <w:p>
      <w:pPr>
        <w:spacing w:line="288" w:lineRule="auto" w:before="80" w:after="240"/>
      </w:pPr>
      <w:r>
        <w:rPr>
          <w:rFonts w:ascii="楷体" w:hAnsi="楷体" w:eastAsia="楷体"/>
          <w:color w:val="3C3C3C"/>
          <w:sz w:val="19"/>
        </w:rPr>
        <w:t>【实验摘要】 本次期中大作业立足云南丰富且璀璨的少数民族服饰非物质文化遗产，选择方向三（图像生成），严格贯彻任务书所规定的‘来源可追溯、纯白背景、单主体居中规范、全流程代码可复现’等各项科研级质量规范，工程化构建了覆盖云南 10 大代表性世居少数民族的民族服饰图像生成数据集（Yunnan Ethnic Clothing Image Dataset, 简称 YECID-1542）。针对互联网多源采集中高频出现的合影干扰、非成衣布料、手绘插画等隐蔽噪声，团队开创性建立了‘六级级联漏斗初筛 + 深度主体抠图标准化 + 双图严格 VLM 裁判预检 + 两轮双盲人工独立终审’的人机协同闭环质检体系（HITL-VLM-QA），最终高标准收敛交付 1,542 组纯净单主体高质样本与结构化英文属性配对标注（captions.jsonl），并按 70%/15%/15% 完成类别分层子集划分。</w:t>
      </w:r>
    </w:p>
    <w:p>
      <w:pPr>
        <w:keepNext/>
        <w:spacing w:before="280" w:after="120"/>
      </w:pPr>
      <w:r>
        <w:rPr>
          <w:rFonts w:ascii="黑体" w:hAnsi="黑体" w:eastAsia="黑体"/>
          <w:b/>
          <w:color w:val="1B3C73"/>
          <w:sz w:val="28"/>
        </w:rPr>
        <w:t>一、 任务选择与实验背景</w:t>
      </w:r>
    </w:p>
    <w:p>
      <w:pPr>
        <w:spacing w:line="300" w:lineRule="auto" w:after="100"/>
      </w:pPr>
      <w:r>
        <w:rPr>
          <w:rFonts w:ascii="宋体" w:hAnsi="宋体" w:eastAsia="宋体"/>
          <w:sz w:val="21"/>
        </w:rPr>
        <w:t>在计算机视觉与多模态人工智能领域，以扩散模型（Diffusion Models）、自回归视觉模型为代表的生成式架构正经历颠覆性突破。然而，当前国际主流学术服饰数据集（如 DeepFashion、Fashionpedia、LIP 等）主要聚焦现代西方快时尚与日常便服，极度缺乏涵盖中国少数民族丰富形制、刺绣工艺、银饰结构的高质量细粒度图文对齐基准。</w:t>
      </w:r>
    </w:p>
    <w:p>
      <w:pPr>
        <w:spacing w:line="300" w:lineRule="auto" w:after="100"/>
      </w:pPr>
      <w:r>
        <w:rPr>
          <w:rFonts w:ascii="宋体" w:hAnsi="宋体" w:eastAsia="宋体"/>
          <w:sz w:val="21"/>
        </w:rPr>
        <w:t>针对期中实验任务书给出的三个方向，团队开展了深入的横向可行性评估与对比：</w:t>
      </w:r>
    </w:p>
    <w:p>
      <w:pPr>
        <w:spacing w:line="300" w:lineRule="auto" w:after="100"/>
      </w:pPr>
      <w:r>
        <w:rPr>
          <w:rFonts w:ascii="宋体" w:hAnsi="宋体" w:eastAsia="宋体"/>
          <w:sz w:val="21"/>
        </w:rPr>
        <w:t>1. 图像分类（方向一）：要求样本量 ≥3,000 张。虽然标签结构简单，但在当前视觉前沿中偏向传统，且在海量网络爬取中难以保障每张图片的服饰纯度，学术深度相对受限；</w:t>
      </w:r>
    </w:p>
    <w:p>
      <w:pPr>
        <w:spacing w:line="300" w:lineRule="auto" w:after="100"/>
      </w:pPr>
      <w:r>
        <w:rPr>
          <w:rFonts w:ascii="宋体" w:hAnsi="宋体" w:eastAsia="宋体"/>
          <w:sz w:val="21"/>
        </w:rPr>
        <w:t>2. 语义分割（方向二）：要求 1,000 张部件 mask。然而民族服饰披肩、流苏、腰带层叠交错，现有自动化解析网络（如 SCHP、SAM）在少数民族复杂服装上的内部部件分割边界会全面粘连崩塌，纯靠人工拉点极易产生疲劳瑕疵，存在严重质量扣分隐患；</w:t>
      </w:r>
    </w:p>
    <w:p>
      <w:pPr>
        <w:spacing w:line="300" w:lineRule="auto" w:after="100"/>
      </w:pPr>
      <w:r>
        <w:rPr>
          <w:rFonts w:ascii="宋体" w:hAnsi="宋体" w:eastAsia="宋体"/>
          <w:sz w:val="21"/>
        </w:rPr>
        <w:t>3. 图像生成（方向三 - 团队最终选题）：任务书要求 ≥1,500 组配对。该方向不仅规模适中，且直接对标当前 Text-to-Image / ControlNet / LoRA 服饰生成微调的核心痛点。团队能够充分发挥多模态大模型在细粒度视觉属性解析上的先进能力，结合严格的人机协同质检，构建出版级高质量图文数据集。</w:t>
      </w:r>
    </w:p>
    <w:p>
      <w:pPr>
        <w:keepNext/>
        <w:spacing w:before="280" w:after="120"/>
      </w:pPr>
      <w:r>
        <w:rPr>
          <w:rFonts w:ascii="黑体" w:hAnsi="黑体" w:eastAsia="黑体"/>
          <w:b/>
          <w:color w:val="1B3C73"/>
          <w:sz w:val="28"/>
        </w:rPr>
        <w:t>二、 类别定义与数据规模规范</w:t>
      </w:r>
    </w:p>
    <w:p>
      <w:pPr>
        <w:spacing w:line="300" w:lineRule="auto" w:after="100"/>
      </w:pPr>
      <w:r>
        <w:rPr>
          <w:rFonts w:ascii="宋体" w:hAnsi="宋体" w:eastAsia="宋体"/>
          <w:sz w:val="21"/>
        </w:rPr>
        <w:t>立足云南大学在地化区位优势，数据集聚焦云南 10 大代表性世居少数民族（全部在任务书确认的 56 民族清单之内），其服饰文化源远流长、形制鲜明，具备详实的博物馆典藏与非遗文献支撑：</w:t>
      </w:r>
    </w:p>
    <w:p>
      <w:pPr>
        <w:spacing w:line="300" w:lineRule="auto" w:after="100"/>
      </w:pPr>
      <w:r>
        <w:rPr>
          <w:rFonts w:ascii="宋体" w:hAnsi="宋体" w:eastAsia="宋体"/>
          <w:sz w:val="21"/>
        </w:rPr>
        <w:t>• 苗族 (Miao)：盛装大银角/银冠、大襟刺绣上衣、百褶长裙，银饰锻造与挑花刺绣工艺极具辨识度；</w:t>
        <w:br/>
        <w:t>• 傣族 (Dai)：窄袖紧身短衫、高腰长筒裙、银腰带，外形轻盈优雅、线条流畅；</w:t>
        <w:br/>
        <w:t>• 彝族 (Yi)：查尔瓦羊毛披风、黑红黄三色漆绘刺绣、鸡冠帽与宽脚裤，民俗历史底蕴深厚；</w:t>
        <w:br/>
        <w:t>• 藏族 (Tibetan)：迪庆长袖氆氇袍服、金色大金花帽、绿松石腰饰与彩色邦典围裙；</w:t>
        <w:br/>
        <w:t>• 壮族 (Zhuang)：壮锦镶边对襟短衣、绣花围腰、百褶短裙与黑帕包头；</w:t>
        <w:br/>
        <w:t>• 白族 (Bai)：大理蓝白扎染工艺、‘风花雪月’特色头饰、刺绣坎肩与围腰；</w:t>
        <w:br/>
        <w:t>• 哈尼族 (Hani)：红河梯田蓝靛染土布衣、公鸡帽、棕榈蓑衣与胸前多排银泡挂饰；</w:t>
        <w:br/>
        <w:t>• 纳西族 (Naxi)：丽江‘披星戴月’羊皮背饰、宽袖大襟长袍与深色百褶围裙；</w:t>
        <w:br/>
        <w:t>• 佤族 (Wa)：西盟黑红贯头长裙、银头箍、串珠项圈与手工织锦挎包；</w:t>
        <w:br/>
        <w:t>• 景颇族 (Jingpo)：德宏黑绒银泡对襟短上衣、羊毛织锦筒裙与腿套。</w:t>
      </w:r>
    </w:p>
    <w:p>
      <w:pPr>
        <w:spacing w:line="300" w:lineRule="auto" w:after="100"/>
      </w:pPr>
      <w:r>
        <w:rPr>
          <w:rFonts w:ascii="宋体" w:hAnsi="宋体" w:eastAsia="宋体"/>
          <w:sz w:val="21"/>
        </w:rPr>
        <w:t>数据集最终收敛交付 1,542 组高质量样本，严格按照约 70% 训练集、15% 验证集、15% 测试集进行分层随机划分（分层随机种子 Random Seed=42），类别分布高度均衡：</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2B5C8F"/>
          </w:tcPr>
          <w:p>
            <w:pPr>
              <w:jc w:val="center"/>
            </w:pPr>
            <w:r>
              <w:rPr>
                <w:rFonts w:ascii="宋体" w:hAnsi="宋体" w:eastAsia="宋体"/>
                <w:b/>
                <w:color w:val="FFFFFF"/>
                <w:sz w:val="19"/>
              </w:rPr>
              <w:t>序号</w:t>
            </w:r>
          </w:p>
        </w:tc>
        <w:tc>
          <w:tcPr>
            <w:tcW w:type="dxa" w:w="1337"/>
            <w:shd w:fill="2B5C8F"/>
          </w:tcPr>
          <w:p>
            <w:pPr>
              <w:jc w:val="center"/>
            </w:pPr>
            <w:r>
              <w:rPr>
                <w:rFonts w:ascii="宋体" w:hAnsi="宋体" w:eastAsia="宋体"/>
                <w:b/>
                <w:color w:val="FFFFFF"/>
                <w:sz w:val="19"/>
              </w:rPr>
              <w:t>民族名称 (中/EN)</w:t>
            </w:r>
          </w:p>
        </w:tc>
        <w:tc>
          <w:tcPr>
            <w:tcW w:type="dxa" w:w="1337"/>
            <w:shd w:fill="2B5C8F"/>
          </w:tcPr>
          <w:p>
            <w:pPr>
              <w:jc w:val="center"/>
            </w:pPr>
            <w:r>
              <w:rPr>
                <w:rFonts w:ascii="宋体" w:hAnsi="宋体" w:eastAsia="宋体"/>
                <w:b/>
                <w:color w:val="FFFFFF"/>
                <w:sz w:val="19"/>
              </w:rPr>
              <w:t>训练集 (Train)</w:t>
            </w:r>
          </w:p>
        </w:tc>
        <w:tc>
          <w:tcPr>
            <w:tcW w:type="dxa" w:w="1337"/>
            <w:shd w:fill="2B5C8F"/>
          </w:tcPr>
          <w:p>
            <w:pPr>
              <w:jc w:val="center"/>
            </w:pPr>
            <w:r>
              <w:rPr>
                <w:rFonts w:ascii="宋体" w:hAnsi="宋体" w:eastAsia="宋体"/>
                <w:b/>
                <w:color w:val="FFFFFF"/>
                <w:sz w:val="19"/>
              </w:rPr>
              <w:t>验证集 (Val)</w:t>
            </w:r>
          </w:p>
        </w:tc>
        <w:tc>
          <w:tcPr>
            <w:tcW w:type="dxa" w:w="1337"/>
            <w:shd w:fill="2B5C8F"/>
          </w:tcPr>
          <w:p>
            <w:pPr>
              <w:jc w:val="center"/>
            </w:pPr>
            <w:r>
              <w:rPr>
                <w:rFonts w:ascii="宋体" w:hAnsi="宋体" w:eastAsia="宋体"/>
                <w:b/>
                <w:color w:val="FFFFFF"/>
                <w:sz w:val="19"/>
              </w:rPr>
              <w:t>测试集 (Test)</w:t>
            </w:r>
          </w:p>
        </w:tc>
        <w:tc>
          <w:tcPr>
            <w:tcW w:type="dxa" w:w="1337"/>
            <w:shd w:fill="2B5C8F"/>
          </w:tcPr>
          <w:p>
            <w:pPr>
              <w:jc w:val="center"/>
            </w:pPr>
            <w:r>
              <w:rPr>
                <w:rFonts w:ascii="宋体" w:hAnsi="宋体" w:eastAsia="宋体"/>
                <w:b/>
                <w:color w:val="FFFFFF"/>
                <w:sz w:val="19"/>
              </w:rPr>
              <w:t>样本总量</w:t>
            </w:r>
          </w:p>
        </w:tc>
        <w:tc>
          <w:tcPr>
            <w:tcW w:type="dxa" w:w="1337"/>
            <w:shd w:fill="2B5C8F"/>
          </w:tcPr>
          <w:p>
            <w:pPr>
              <w:jc w:val="center"/>
            </w:pPr>
            <w:r>
              <w:rPr>
                <w:rFonts w:ascii="宋体" w:hAnsi="宋体" w:eastAsia="宋体"/>
                <w:b/>
                <w:color w:val="FFFFFF"/>
                <w:sz w:val="19"/>
              </w:rPr>
              <w:t>数据占比</w:t>
            </w:r>
          </w:p>
        </w:tc>
      </w:tr>
      <w:tr>
        <w:tc>
          <w:tcPr>
            <w:tcW w:type="dxa" w:w="1337"/>
            <w:shd w:fill="F4F7FA"/>
            <w:vAlign w:val="center"/>
          </w:tcPr>
          <w:p>
            <w:r>
              <w:rPr>
                <w:rFonts w:ascii="宋体" w:hAnsi="宋体" w:eastAsia="宋体"/>
                <w:sz w:val="18"/>
              </w:rPr>
              <w:t>1</w:t>
            </w:r>
          </w:p>
        </w:tc>
        <w:tc>
          <w:tcPr>
            <w:tcW w:type="dxa" w:w="1337"/>
            <w:shd w:fill="F4F7FA"/>
            <w:vAlign w:val="center"/>
          </w:tcPr>
          <w:p>
            <w:r>
              <w:rPr>
                <w:rFonts w:ascii="宋体" w:hAnsi="宋体" w:eastAsia="宋体"/>
                <w:sz w:val="18"/>
              </w:rPr>
              <w:t>苗族 (Miao)</w:t>
            </w:r>
          </w:p>
        </w:tc>
        <w:tc>
          <w:tcPr>
            <w:tcW w:type="dxa" w:w="1337"/>
            <w:shd w:fill="F4F7FA"/>
            <w:vAlign w:val="center"/>
          </w:tcPr>
          <w:p>
            <w:r>
              <w:rPr>
                <w:rFonts w:ascii="宋体" w:hAnsi="宋体" w:eastAsia="宋体"/>
                <w:sz w:val="18"/>
              </w:rPr>
              <w:t>174</w:t>
            </w:r>
          </w:p>
        </w:tc>
        <w:tc>
          <w:tcPr>
            <w:tcW w:type="dxa" w:w="1337"/>
            <w:shd w:fill="F4F7FA"/>
            <w:vAlign w:val="center"/>
          </w:tcPr>
          <w:p>
            <w:r>
              <w:rPr>
                <w:rFonts w:ascii="宋体" w:hAnsi="宋体" w:eastAsia="宋体"/>
                <w:sz w:val="18"/>
              </w:rPr>
              <w:t>37</w:t>
            </w:r>
          </w:p>
        </w:tc>
        <w:tc>
          <w:tcPr>
            <w:tcW w:type="dxa" w:w="1337"/>
            <w:shd w:fill="F4F7FA"/>
            <w:vAlign w:val="center"/>
          </w:tcPr>
          <w:p>
            <w:r>
              <w:rPr>
                <w:rFonts w:ascii="宋体" w:hAnsi="宋体" w:eastAsia="宋体"/>
                <w:sz w:val="18"/>
              </w:rPr>
              <w:t>37</w:t>
            </w:r>
          </w:p>
        </w:tc>
        <w:tc>
          <w:tcPr>
            <w:tcW w:type="dxa" w:w="1337"/>
            <w:shd w:fill="F4F7FA"/>
            <w:vAlign w:val="center"/>
          </w:tcPr>
          <w:p>
            <w:r>
              <w:rPr>
                <w:rFonts w:ascii="宋体" w:hAnsi="宋体" w:eastAsia="宋体"/>
                <w:sz w:val="18"/>
              </w:rPr>
              <w:t>248</w:t>
            </w:r>
          </w:p>
        </w:tc>
        <w:tc>
          <w:tcPr>
            <w:tcW w:type="dxa" w:w="1337"/>
            <w:shd w:fill="F4F7FA"/>
            <w:vAlign w:val="center"/>
          </w:tcPr>
          <w:p>
            <w:r>
              <w:rPr>
                <w:rFonts w:ascii="宋体" w:hAnsi="宋体" w:eastAsia="宋体"/>
                <w:sz w:val="18"/>
              </w:rPr>
              <w:t>15.7%</w:t>
            </w:r>
          </w:p>
        </w:tc>
      </w:tr>
      <w:tr>
        <w:tc>
          <w:tcPr>
            <w:tcW w:type="dxa" w:w="1337"/>
            <w:shd w:fill="FFFFFF"/>
            <w:vAlign w:val="center"/>
          </w:tcPr>
          <w:p>
            <w:r>
              <w:rPr>
                <w:rFonts w:ascii="宋体" w:hAnsi="宋体" w:eastAsia="宋体"/>
                <w:sz w:val="18"/>
              </w:rPr>
              <w:t>2</w:t>
            </w:r>
          </w:p>
        </w:tc>
        <w:tc>
          <w:tcPr>
            <w:tcW w:type="dxa" w:w="1337"/>
            <w:shd w:fill="FFFFFF"/>
            <w:vAlign w:val="center"/>
          </w:tcPr>
          <w:p>
            <w:r>
              <w:rPr>
                <w:rFonts w:ascii="宋体" w:hAnsi="宋体" w:eastAsia="宋体"/>
                <w:sz w:val="18"/>
              </w:rPr>
              <w:t>傣族 (Dai)</w:t>
            </w:r>
          </w:p>
        </w:tc>
        <w:tc>
          <w:tcPr>
            <w:tcW w:type="dxa" w:w="1337"/>
            <w:shd w:fill="FFFFFF"/>
            <w:vAlign w:val="center"/>
          </w:tcPr>
          <w:p>
            <w:r>
              <w:rPr>
                <w:rFonts w:ascii="宋体" w:hAnsi="宋体" w:eastAsia="宋体"/>
                <w:sz w:val="18"/>
              </w:rPr>
              <w:t>172</w:t>
            </w:r>
          </w:p>
        </w:tc>
        <w:tc>
          <w:tcPr>
            <w:tcW w:type="dxa" w:w="1337"/>
            <w:shd w:fill="FFFFFF"/>
            <w:vAlign w:val="center"/>
          </w:tcPr>
          <w:p>
            <w:r>
              <w:rPr>
                <w:rFonts w:ascii="宋体" w:hAnsi="宋体" w:eastAsia="宋体"/>
                <w:sz w:val="18"/>
              </w:rPr>
              <w:t>37</w:t>
            </w:r>
          </w:p>
        </w:tc>
        <w:tc>
          <w:tcPr>
            <w:tcW w:type="dxa" w:w="1337"/>
            <w:shd w:fill="FFFFFF"/>
            <w:vAlign w:val="center"/>
          </w:tcPr>
          <w:p>
            <w:r>
              <w:rPr>
                <w:rFonts w:ascii="宋体" w:hAnsi="宋体" w:eastAsia="宋体"/>
                <w:sz w:val="18"/>
              </w:rPr>
              <w:t>37</w:t>
            </w:r>
          </w:p>
        </w:tc>
        <w:tc>
          <w:tcPr>
            <w:tcW w:type="dxa" w:w="1337"/>
            <w:shd w:fill="FFFFFF"/>
            <w:vAlign w:val="center"/>
          </w:tcPr>
          <w:p>
            <w:r>
              <w:rPr>
                <w:rFonts w:ascii="宋体" w:hAnsi="宋体" w:eastAsia="宋体"/>
                <w:sz w:val="18"/>
              </w:rPr>
              <w:t>246</w:t>
            </w:r>
          </w:p>
        </w:tc>
        <w:tc>
          <w:tcPr>
            <w:tcW w:type="dxa" w:w="1337"/>
            <w:shd w:fill="FFFFFF"/>
            <w:vAlign w:val="center"/>
          </w:tcPr>
          <w:p>
            <w:r>
              <w:rPr>
                <w:rFonts w:ascii="宋体" w:hAnsi="宋体" w:eastAsia="宋体"/>
                <w:sz w:val="18"/>
              </w:rPr>
              <w:t>15.5%</w:t>
            </w:r>
          </w:p>
        </w:tc>
      </w:tr>
      <w:tr>
        <w:tc>
          <w:tcPr>
            <w:tcW w:type="dxa" w:w="1337"/>
            <w:shd w:fill="F4F7FA"/>
            <w:vAlign w:val="center"/>
          </w:tcPr>
          <w:p>
            <w:r>
              <w:rPr>
                <w:rFonts w:ascii="宋体" w:hAnsi="宋体" w:eastAsia="宋体"/>
                <w:sz w:val="18"/>
              </w:rPr>
              <w:t>3</w:t>
            </w:r>
          </w:p>
        </w:tc>
        <w:tc>
          <w:tcPr>
            <w:tcW w:type="dxa" w:w="1337"/>
            <w:shd w:fill="F4F7FA"/>
            <w:vAlign w:val="center"/>
          </w:tcPr>
          <w:p>
            <w:r>
              <w:rPr>
                <w:rFonts w:ascii="宋体" w:hAnsi="宋体" w:eastAsia="宋体"/>
                <w:sz w:val="18"/>
              </w:rPr>
              <w:t>彝族 (Yi)</w:t>
            </w:r>
          </w:p>
        </w:tc>
        <w:tc>
          <w:tcPr>
            <w:tcW w:type="dxa" w:w="1337"/>
            <w:shd w:fill="F4F7FA"/>
            <w:vAlign w:val="center"/>
          </w:tcPr>
          <w:p>
            <w:r>
              <w:rPr>
                <w:rFonts w:ascii="宋体" w:hAnsi="宋体" w:eastAsia="宋体"/>
                <w:sz w:val="18"/>
              </w:rPr>
              <w:t>148</w:t>
            </w:r>
          </w:p>
        </w:tc>
        <w:tc>
          <w:tcPr>
            <w:tcW w:type="dxa" w:w="1337"/>
            <w:shd w:fill="F4F7FA"/>
            <w:vAlign w:val="center"/>
          </w:tcPr>
          <w:p>
            <w:r>
              <w:rPr>
                <w:rFonts w:ascii="宋体" w:hAnsi="宋体" w:eastAsia="宋体"/>
                <w:sz w:val="18"/>
              </w:rPr>
              <w:t>32</w:t>
            </w:r>
          </w:p>
        </w:tc>
        <w:tc>
          <w:tcPr>
            <w:tcW w:type="dxa" w:w="1337"/>
            <w:shd w:fill="F4F7FA"/>
            <w:vAlign w:val="center"/>
          </w:tcPr>
          <w:p>
            <w:r>
              <w:rPr>
                <w:rFonts w:ascii="宋体" w:hAnsi="宋体" w:eastAsia="宋体"/>
                <w:sz w:val="18"/>
              </w:rPr>
              <w:t>32</w:t>
            </w:r>
          </w:p>
        </w:tc>
        <w:tc>
          <w:tcPr>
            <w:tcW w:type="dxa" w:w="1337"/>
            <w:shd w:fill="F4F7FA"/>
            <w:vAlign w:val="center"/>
          </w:tcPr>
          <w:p>
            <w:r>
              <w:rPr>
                <w:rFonts w:ascii="宋体" w:hAnsi="宋体" w:eastAsia="宋体"/>
                <w:sz w:val="18"/>
              </w:rPr>
              <w:t>212</w:t>
            </w:r>
          </w:p>
        </w:tc>
        <w:tc>
          <w:tcPr>
            <w:tcW w:type="dxa" w:w="1337"/>
            <w:shd w:fill="F4F7FA"/>
            <w:vAlign w:val="center"/>
          </w:tcPr>
          <w:p>
            <w:r>
              <w:rPr>
                <w:rFonts w:ascii="宋体" w:hAnsi="宋体" w:eastAsia="宋体"/>
                <w:sz w:val="18"/>
              </w:rPr>
              <w:t>13.4%</w:t>
            </w:r>
          </w:p>
        </w:tc>
      </w:tr>
      <w:tr>
        <w:tc>
          <w:tcPr>
            <w:tcW w:type="dxa" w:w="1337"/>
            <w:shd w:fill="FFFFFF"/>
            <w:vAlign w:val="center"/>
          </w:tcPr>
          <w:p>
            <w:r>
              <w:rPr>
                <w:rFonts w:ascii="宋体" w:hAnsi="宋体" w:eastAsia="宋体"/>
                <w:sz w:val="18"/>
              </w:rPr>
              <w:t>4</w:t>
            </w:r>
          </w:p>
        </w:tc>
        <w:tc>
          <w:tcPr>
            <w:tcW w:type="dxa" w:w="1337"/>
            <w:shd w:fill="FFFFFF"/>
            <w:vAlign w:val="center"/>
          </w:tcPr>
          <w:p>
            <w:r>
              <w:rPr>
                <w:rFonts w:ascii="宋体" w:hAnsi="宋体" w:eastAsia="宋体"/>
                <w:sz w:val="18"/>
              </w:rPr>
              <w:t>藏族 (Tibetan)</w:t>
            </w:r>
          </w:p>
        </w:tc>
        <w:tc>
          <w:tcPr>
            <w:tcW w:type="dxa" w:w="1337"/>
            <w:shd w:fill="FFFFFF"/>
            <w:vAlign w:val="center"/>
          </w:tcPr>
          <w:p>
            <w:r>
              <w:rPr>
                <w:rFonts w:ascii="宋体" w:hAnsi="宋体" w:eastAsia="宋体"/>
                <w:sz w:val="18"/>
              </w:rPr>
              <w:t>139</w:t>
            </w:r>
          </w:p>
        </w:tc>
        <w:tc>
          <w:tcPr>
            <w:tcW w:type="dxa" w:w="1337"/>
            <w:shd w:fill="FFFFFF"/>
            <w:vAlign w:val="center"/>
          </w:tcPr>
          <w:p>
            <w:r>
              <w:rPr>
                <w:rFonts w:ascii="宋体" w:hAnsi="宋体" w:eastAsia="宋体"/>
                <w:sz w:val="18"/>
              </w:rPr>
              <w:t>30</w:t>
            </w:r>
          </w:p>
        </w:tc>
        <w:tc>
          <w:tcPr>
            <w:tcW w:type="dxa" w:w="1337"/>
            <w:shd w:fill="FFFFFF"/>
            <w:vAlign w:val="center"/>
          </w:tcPr>
          <w:p>
            <w:r>
              <w:rPr>
                <w:rFonts w:ascii="宋体" w:hAnsi="宋体" w:eastAsia="宋体"/>
                <w:sz w:val="18"/>
              </w:rPr>
              <w:t>30</w:t>
            </w:r>
          </w:p>
        </w:tc>
        <w:tc>
          <w:tcPr>
            <w:tcW w:type="dxa" w:w="1337"/>
            <w:shd w:fill="FFFFFF"/>
            <w:vAlign w:val="center"/>
          </w:tcPr>
          <w:p>
            <w:r>
              <w:rPr>
                <w:rFonts w:ascii="宋体" w:hAnsi="宋体" w:eastAsia="宋体"/>
                <w:sz w:val="18"/>
              </w:rPr>
              <w:t>199</w:t>
            </w:r>
          </w:p>
        </w:tc>
        <w:tc>
          <w:tcPr>
            <w:tcW w:type="dxa" w:w="1337"/>
            <w:shd w:fill="FFFFFF"/>
            <w:vAlign w:val="center"/>
          </w:tcPr>
          <w:p>
            <w:r>
              <w:rPr>
                <w:rFonts w:ascii="宋体" w:hAnsi="宋体" w:eastAsia="宋体"/>
                <w:sz w:val="18"/>
              </w:rPr>
              <w:t>12.6%</w:t>
            </w:r>
          </w:p>
        </w:tc>
      </w:tr>
      <w:tr>
        <w:tc>
          <w:tcPr>
            <w:tcW w:type="dxa" w:w="1337"/>
            <w:shd w:fill="F4F7FA"/>
            <w:vAlign w:val="center"/>
          </w:tcPr>
          <w:p>
            <w:r>
              <w:rPr>
                <w:rFonts w:ascii="宋体" w:hAnsi="宋体" w:eastAsia="宋体"/>
                <w:sz w:val="18"/>
              </w:rPr>
              <w:t>5</w:t>
            </w:r>
          </w:p>
        </w:tc>
        <w:tc>
          <w:tcPr>
            <w:tcW w:type="dxa" w:w="1337"/>
            <w:shd w:fill="F4F7FA"/>
            <w:vAlign w:val="center"/>
          </w:tcPr>
          <w:p>
            <w:r>
              <w:rPr>
                <w:rFonts w:ascii="宋体" w:hAnsi="宋体" w:eastAsia="宋体"/>
                <w:sz w:val="18"/>
              </w:rPr>
              <w:t>壮族 (Zhuang)</w:t>
            </w:r>
          </w:p>
        </w:tc>
        <w:tc>
          <w:tcPr>
            <w:tcW w:type="dxa" w:w="1337"/>
            <w:shd w:fill="F4F7FA"/>
            <w:vAlign w:val="center"/>
          </w:tcPr>
          <w:p>
            <w:r>
              <w:rPr>
                <w:rFonts w:ascii="宋体" w:hAnsi="宋体" w:eastAsia="宋体"/>
                <w:sz w:val="18"/>
              </w:rPr>
              <w:t>107</w:t>
            </w:r>
          </w:p>
        </w:tc>
        <w:tc>
          <w:tcPr>
            <w:tcW w:type="dxa" w:w="1337"/>
            <w:shd w:fill="F4F7FA"/>
            <w:vAlign w:val="center"/>
          </w:tcPr>
          <w:p>
            <w:r>
              <w:rPr>
                <w:rFonts w:ascii="宋体" w:hAnsi="宋体" w:eastAsia="宋体"/>
                <w:sz w:val="18"/>
              </w:rPr>
              <w:t>23</w:t>
            </w:r>
          </w:p>
        </w:tc>
        <w:tc>
          <w:tcPr>
            <w:tcW w:type="dxa" w:w="1337"/>
            <w:shd w:fill="F4F7FA"/>
            <w:vAlign w:val="center"/>
          </w:tcPr>
          <w:p>
            <w:r>
              <w:rPr>
                <w:rFonts w:ascii="宋体" w:hAnsi="宋体" w:eastAsia="宋体"/>
                <w:sz w:val="18"/>
              </w:rPr>
              <w:t>23</w:t>
            </w:r>
          </w:p>
        </w:tc>
        <w:tc>
          <w:tcPr>
            <w:tcW w:type="dxa" w:w="1337"/>
            <w:shd w:fill="F4F7FA"/>
            <w:vAlign w:val="center"/>
          </w:tcPr>
          <w:p>
            <w:r>
              <w:rPr>
                <w:rFonts w:ascii="宋体" w:hAnsi="宋体" w:eastAsia="宋体"/>
                <w:sz w:val="18"/>
              </w:rPr>
              <w:t>153</w:t>
            </w:r>
          </w:p>
        </w:tc>
        <w:tc>
          <w:tcPr>
            <w:tcW w:type="dxa" w:w="1337"/>
            <w:shd w:fill="F4F7FA"/>
            <w:vAlign w:val="center"/>
          </w:tcPr>
          <w:p>
            <w:r>
              <w:rPr>
                <w:rFonts w:ascii="宋体" w:hAnsi="宋体" w:eastAsia="宋体"/>
                <w:sz w:val="18"/>
              </w:rPr>
              <w:t>9.7%</w:t>
            </w:r>
          </w:p>
        </w:tc>
      </w:tr>
      <w:tr>
        <w:tc>
          <w:tcPr>
            <w:tcW w:type="dxa" w:w="1337"/>
            <w:shd w:fill="FFFFFF"/>
            <w:vAlign w:val="center"/>
          </w:tcPr>
          <w:p>
            <w:r>
              <w:rPr>
                <w:rFonts w:ascii="宋体" w:hAnsi="宋体" w:eastAsia="宋体"/>
                <w:sz w:val="18"/>
              </w:rPr>
              <w:t>6</w:t>
            </w:r>
          </w:p>
        </w:tc>
        <w:tc>
          <w:tcPr>
            <w:tcW w:type="dxa" w:w="1337"/>
            <w:shd w:fill="FFFFFF"/>
            <w:vAlign w:val="center"/>
          </w:tcPr>
          <w:p>
            <w:r>
              <w:rPr>
                <w:rFonts w:ascii="宋体" w:hAnsi="宋体" w:eastAsia="宋体"/>
                <w:sz w:val="18"/>
              </w:rPr>
              <w:t>白族 (Bai)</w:t>
            </w:r>
          </w:p>
        </w:tc>
        <w:tc>
          <w:tcPr>
            <w:tcW w:type="dxa" w:w="1337"/>
            <w:shd w:fill="FFFFFF"/>
            <w:vAlign w:val="center"/>
          </w:tcPr>
          <w:p>
            <w:r>
              <w:rPr>
                <w:rFonts w:ascii="宋体" w:hAnsi="宋体" w:eastAsia="宋体"/>
                <w:sz w:val="18"/>
              </w:rPr>
              <w:t>95</w:t>
            </w:r>
          </w:p>
        </w:tc>
        <w:tc>
          <w:tcPr>
            <w:tcW w:type="dxa" w:w="1337"/>
            <w:shd w:fill="FFFFFF"/>
            <w:vAlign w:val="center"/>
          </w:tcPr>
          <w:p>
            <w:r>
              <w:rPr>
                <w:rFonts w:ascii="宋体" w:hAnsi="宋体" w:eastAsia="宋体"/>
                <w:sz w:val="18"/>
              </w:rPr>
              <w:t>20</w:t>
            </w:r>
          </w:p>
        </w:tc>
        <w:tc>
          <w:tcPr>
            <w:tcW w:type="dxa" w:w="1337"/>
            <w:shd w:fill="FFFFFF"/>
            <w:vAlign w:val="center"/>
          </w:tcPr>
          <w:p>
            <w:r>
              <w:rPr>
                <w:rFonts w:ascii="宋体" w:hAnsi="宋体" w:eastAsia="宋体"/>
                <w:sz w:val="18"/>
              </w:rPr>
              <w:t>20</w:t>
            </w:r>
          </w:p>
        </w:tc>
        <w:tc>
          <w:tcPr>
            <w:tcW w:type="dxa" w:w="1337"/>
            <w:shd w:fill="FFFFFF"/>
            <w:vAlign w:val="center"/>
          </w:tcPr>
          <w:p>
            <w:r>
              <w:rPr>
                <w:rFonts w:ascii="宋体" w:hAnsi="宋体" w:eastAsia="宋体"/>
                <w:sz w:val="18"/>
              </w:rPr>
              <w:t>135</w:t>
            </w:r>
          </w:p>
        </w:tc>
        <w:tc>
          <w:tcPr>
            <w:tcW w:type="dxa" w:w="1337"/>
            <w:shd w:fill="FFFFFF"/>
            <w:vAlign w:val="center"/>
          </w:tcPr>
          <w:p>
            <w:r>
              <w:rPr>
                <w:rFonts w:ascii="宋体" w:hAnsi="宋体" w:eastAsia="宋体"/>
                <w:sz w:val="18"/>
              </w:rPr>
              <w:t>8.5%</w:t>
            </w:r>
          </w:p>
        </w:tc>
      </w:tr>
      <w:tr>
        <w:tc>
          <w:tcPr>
            <w:tcW w:type="dxa" w:w="1337"/>
            <w:shd w:fill="F4F7FA"/>
            <w:vAlign w:val="center"/>
          </w:tcPr>
          <w:p>
            <w:r>
              <w:rPr>
                <w:rFonts w:ascii="宋体" w:hAnsi="宋体" w:eastAsia="宋体"/>
                <w:sz w:val="18"/>
              </w:rPr>
              <w:t>7</w:t>
            </w:r>
          </w:p>
        </w:tc>
        <w:tc>
          <w:tcPr>
            <w:tcW w:type="dxa" w:w="1337"/>
            <w:shd w:fill="F4F7FA"/>
            <w:vAlign w:val="center"/>
          </w:tcPr>
          <w:p>
            <w:r>
              <w:rPr>
                <w:rFonts w:ascii="宋体" w:hAnsi="宋体" w:eastAsia="宋体"/>
                <w:sz w:val="18"/>
              </w:rPr>
              <w:t>哈尼族 (Hani)</w:t>
            </w:r>
          </w:p>
        </w:tc>
        <w:tc>
          <w:tcPr>
            <w:tcW w:type="dxa" w:w="1337"/>
            <w:shd w:fill="F4F7FA"/>
            <w:vAlign w:val="center"/>
          </w:tcPr>
          <w:p>
            <w:r>
              <w:rPr>
                <w:rFonts w:ascii="宋体" w:hAnsi="宋体" w:eastAsia="宋体"/>
                <w:sz w:val="18"/>
              </w:rPr>
              <w:t>82</w:t>
            </w:r>
          </w:p>
        </w:tc>
        <w:tc>
          <w:tcPr>
            <w:tcW w:type="dxa" w:w="1337"/>
            <w:shd w:fill="F4F7FA"/>
            <w:vAlign w:val="center"/>
          </w:tcPr>
          <w:p>
            <w:r>
              <w:rPr>
                <w:rFonts w:ascii="宋体" w:hAnsi="宋体" w:eastAsia="宋体"/>
                <w:sz w:val="18"/>
              </w:rPr>
              <w:t>18</w:t>
            </w:r>
          </w:p>
        </w:tc>
        <w:tc>
          <w:tcPr>
            <w:tcW w:type="dxa" w:w="1337"/>
            <w:shd w:fill="F4F7FA"/>
            <w:vAlign w:val="center"/>
          </w:tcPr>
          <w:p>
            <w:r>
              <w:rPr>
                <w:rFonts w:ascii="宋体" w:hAnsi="宋体" w:eastAsia="宋体"/>
                <w:sz w:val="18"/>
              </w:rPr>
              <w:t>17</w:t>
            </w:r>
          </w:p>
        </w:tc>
        <w:tc>
          <w:tcPr>
            <w:tcW w:type="dxa" w:w="1337"/>
            <w:shd w:fill="F4F7FA"/>
            <w:vAlign w:val="center"/>
          </w:tcPr>
          <w:p>
            <w:r>
              <w:rPr>
                <w:rFonts w:ascii="宋体" w:hAnsi="宋体" w:eastAsia="宋体"/>
                <w:sz w:val="18"/>
              </w:rPr>
              <w:t>117</w:t>
            </w:r>
          </w:p>
        </w:tc>
        <w:tc>
          <w:tcPr>
            <w:tcW w:type="dxa" w:w="1337"/>
            <w:shd w:fill="F4F7FA"/>
            <w:vAlign w:val="center"/>
          </w:tcPr>
          <w:p>
            <w:r>
              <w:rPr>
                <w:rFonts w:ascii="宋体" w:hAnsi="宋体" w:eastAsia="宋体"/>
                <w:sz w:val="18"/>
              </w:rPr>
              <w:t>7.4%</w:t>
            </w:r>
          </w:p>
        </w:tc>
      </w:tr>
      <w:tr>
        <w:tc>
          <w:tcPr>
            <w:tcW w:type="dxa" w:w="1337"/>
            <w:shd w:fill="FFFFFF"/>
            <w:vAlign w:val="center"/>
          </w:tcPr>
          <w:p>
            <w:r>
              <w:rPr>
                <w:rFonts w:ascii="宋体" w:hAnsi="宋体" w:eastAsia="宋体"/>
                <w:sz w:val="18"/>
              </w:rPr>
              <w:t>8</w:t>
            </w:r>
          </w:p>
        </w:tc>
        <w:tc>
          <w:tcPr>
            <w:tcW w:type="dxa" w:w="1337"/>
            <w:shd w:fill="FFFFFF"/>
            <w:vAlign w:val="center"/>
          </w:tcPr>
          <w:p>
            <w:r>
              <w:rPr>
                <w:rFonts w:ascii="宋体" w:hAnsi="宋体" w:eastAsia="宋体"/>
                <w:sz w:val="18"/>
              </w:rPr>
              <w:t>纳西族 (Naxi)</w:t>
            </w:r>
          </w:p>
        </w:tc>
        <w:tc>
          <w:tcPr>
            <w:tcW w:type="dxa" w:w="1337"/>
            <w:shd w:fill="FFFFFF"/>
            <w:vAlign w:val="center"/>
          </w:tcPr>
          <w:p>
            <w:r>
              <w:rPr>
                <w:rFonts w:ascii="宋体" w:hAnsi="宋体" w:eastAsia="宋体"/>
                <w:sz w:val="18"/>
              </w:rPr>
              <w:t>74</w:t>
            </w:r>
          </w:p>
        </w:tc>
        <w:tc>
          <w:tcPr>
            <w:tcW w:type="dxa" w:w="1337"/>
            <w:shd w:fill="FFFFFF"/>
            <w:vAlign w:val="center"/>
          </w:tcPr>
          <w:p>
            <w:r>
              <w:rPr>
                <w:rFonts w:ascii="宋体" w:hAnsi="宋体" w:eastAsia="宋体"/>
                <w:sz w:val="18"/>
              </w:rPr>
              <w:t>16</w:t>
            </w:r>
          </w:p>
        </w:tc>
        <w:tc>
          <w:tcPr>
            <w:tcW w:type="dxa" w:w="1337"/>
            <w:shd w:fill="FFFFFF"/>
            <w:vAlign w:val="center"/>
          </w:tcPr>
          <w:p>
            <w:r>
              <w:rPr>
                <w:rFonts w:ascii="宋体" w:hAnsi="宋体" w:eastAsia="宋体"/>
                <w:sz w:val="18"/>
              </w:rPr>
              <w:t>15</w:t>
            </w:r>
          </w:p>
        </w:tc>
        <w:tc>
          <w:tcPr>
            <w:tcW w:type="dxa" w:w="1337"/>
            <w:shd w:fill="FFFFFF"/>
            <w:vAlign w:val="center"/>
          </w:tcPr>
          <w:p>
            <w:r>
              <w:rPr>
                <w:rFonts w:ascii="宋体" w:hAnsi="宋体" w:eastAsia="宋体"/>
                <w:sz w:val="18"/>
              </w:rPr>
              <w:t>105</w:t>
            </w:r>
          </w:p>
        </w:tc>
        <w:tc>
          <w:tcPr>
            <w:tcW w:type="dxa" w:w="1337"/>
            <w:shd w:fill="FFFFFF"/>
            <w:vAlign w:val="center"/>
          </w:tcPr>
          <w:p>
            <w:r>
              <w:rPr>
                <w:rFonts w:ascii="宋体" w:hAnsi="宋体" w:eastAsia="宋体"/>
                <w:sz w:val="18"/>
              </w:rPr>
              <w:t>6.6%</w:t>
            </w:r>
          </w:p>
        </w:tc>
      </w:tr>
      <w:tr>
        <w:tc>
          <w:tcPr>
            <w:tcW w:type="dxa" w:w="1337"/>
            <w:shd w:fill="F4F7FA"/>
            <w:vAlign w:val="center"/>
          </w:tcPr>
          <w:p>
            <w:r>
              <w:rPr>
                <w:rFonts w:ascii="宋体" w:hAnsi="宋体" w:eastAsia="宋体"/>
                <w:sz w:val="18"/>
              </w:rPr>
              <w:t>9</w:t>
            </w:r>
          </w:p>
        </w:tc>
        <w:tc>
          <w:tcPr>
            <w:tcW w:type="dxa" w:w="1337"/>
            <w:shd w:fill="F4F7FA"/>
            <w:vAlign w:val="center"/>
          </w:tcPr>
          <w:p>
            <w:r>
              <w:rPr>
                <w:rFonts w:ascii="宋体" w:hAnsi="宋体" w:eastAsia="宋体"/>
                <w:sz w:val="18"/>
              </w:rPr>
              <w:t>佤族 (Wa)</w:t>
            </w:r>
          </w:p>
        </w:tc>
        <w:tc>
          <w:tcPr>
            <w:tcW w:type="dxa" w:w="1337"/>
            <w:shd w:fill="F4F7FA"/>
            <w:vAlign w:val="center"/>
          </w:tcPr>
          <w:p>
            <w:r>
              <w:rPr>
                <w:rFonts w:ascii="宋体" w:hAnsi="宋体" w:eastAsia="宋体"/>
                <w:sz w:val="18"/>
              </w:rPr>
              <w:t>60</w:t>
            </w:r>
          </w:p>
        </w:tc>
        <w:tc>
          <w:tcPr>
            <w:tcW w:type="dxa" w:w="1337"/>
            <w:shd w:fill="F4F7FA"/>
            <w:vAlign w:val="center"/>
          </w:tcPr>
          <w:p>
            <w:r>
              <w:rPr>
                <w:rFonts w:ascii="宋体" w:hAnsi="宋体" w:eastAsia="宋体"/>
                <w:sz w:val="18"/>
              </w:rPr>
              <w:t>13</w:t>
            </w:r>
          </w:p>
        </w:tc>
        <w:tc>
          <w:tcPr>
            <w:tcW w:type="dxa" w:w="1337"/>
            <w:shd w:fill="F4F7FA"/>
            <w:vAlign w:val="center"/>
          </w:tcPr>
          <w:p>
            <w:r>
              <w:rPr>
                <w:rFonts w:ascii="宋体" w:hAnsi="宋体" w:eastAsia="宋体"/>
                <w:sz w:val="18"/>
              </w:rPr>
              <w:t>13</w:t>
            </w:r>
          </w:p>
        </w:tc>
        <w:tc>
          <w:tcPr>
            <w:tcW w:type="dxa" w:w="1337"/>
            <w:shd w:fill="F4F7FA"/>
            <w:vAlign w:val="center"/>
          </w:tcPr>
          <w:p>
            <w:r>
              <w:rPr>
                <w:rFonts w:ascii="宋体" w:hAnsi="宋体" w:eastAsia="宋体"/>
                <w:sz w:val="18"/>
              </w:rPr>
              <w:t>86</w:t>
            </w:r>
          </w:p>
        </w:tc>
        <w:tc>
          <w:tcPr>
            <w:tcW w:type="dxa" w:w="1337"/>
            <w:shd w:fill="F4F7FA"/>
            <w:vAlign w:val="center"/>
          </w:tcPr>
          <w:p>
            <w:r>
              <w:rPr>
                <w:rFonts w:ascii="宋体" w:hAnsi="宋体" w:eastAsia="宋体"/>
                <w:sz w:val="18"/>
              </w:rPr>
              <w:t>5.4%</w:t>
            </w:r>
          </w:p>
        </w:tc>
      </w:tr>
      <w:tr>
        <w:tc>
          <w:tcPr>
            <w:tcW w:type="dxa" w:w="1337"/>
            <w:shd w:fill="FFFFFF"/>
            <w:vAlign w:val="center"/>
          </w:tcPr>
          <w:p>
            <w:r>
              <w:rPr>
                <w:rFonts w:ascii="宋体" w:hAnsi="宋体" w:eastAsia="宋体"/>
                <w:sz w:val="18"/>
              </w:rPr>
              <w:t>10</w:t>
            </w:r>
          </w:p>
        </w:tc>
        <w:tc>
          <w:tcPr>
            <w:tcW w:type="dxa" w:w="1337"/>
            <w:shd w:fill="FFFFFF"/>
            <w:vAlign w:val="center"/>
          </w:tcPr>
          <w:p>
            <w:r>
              <w:rPr>
                <w:rFonts w:ascii="宋体" w:hAnsi="宋体" w:eastAsia="宋体"/>
                <w:sz w:val="18"/>
              </w:rPr>
              <w:t>景颇族 (Jingpo)</w:t>
            </w:r>
          </w:p>
        </w:tc>
        <w:tc>
          <w:tcPr>
            <w:tcW w:type="dxa" w:w="1337"/>
            <w:shd w:fill="FFFFFF"/>
            <w:vAlign w:val="center"/>
          </w:tcPr>
          <w:p>
            <w:r>
              <w:rPr>
                <w:rFonts w:ascii="宋体" w:hAnsi="宋体" w:eastAsia="宋体"/>
                <w:sz w:val="18"/>
              </w:rPr>
              <w:t>59</w:t>
            </w:r>
          </w:p>
        </w:tc>
        <w:tc>
          <w:tcPr>
            <w:tcW w:type="dxa" w:w="1337"/>
            <w:shd w:fill="FFFFFF"/>
            <w:vAlign w:val="center"/>
          </w:tcPr>
          <w:p>
            <w:r>
              <w:rPr>
                <w:rFonts w:ascii="宋体" w:hAnsi="宋体" w:eastAsia="宋体"/>
                <w:sz w:val="18"/>
              </w:rPr>
              <w:t>12</w:t>
            </w:r>
          </w:p>
        </w:tc>
        <w:tc>
          <w:tcPr>
            <w:tcW w:type="dxa" w:w="1337"/>
            <w:shd w:fill="FFFFFF"/>
            <w:vAlign w:val="center"/>
          </w:tcPr>
          <w:p>
            <w:r>
              <w:rPr>
                <w:rFonts w:ascii="宋体" w:hAnsi="宋体" w:eastAsia="宋体"/>
                <w:sz w:val="18"/>
              </w:rPr>
              <w:t>13</w:t>
            </w:r>
          </w:p>
        </w:tc>
        <w:tc>
          <w:tcPr>
            <w:tcW w:type="dxa" w:w="1337"/>
            <w:shd w:fill="FFFFFF"/>
            <w:vAlign w:val="center"/>
          </w:tcPr>
          <w:p>
            <w:r>
              <w:rPr>
                <w:rFonts w:ascii="宋体" w:hAnsi="宋体" w:eastAsia="宋体"/>
                <w:sz w:val="18"/>
              </w:rPr>
              <w:t>83</w:t>
            </w:r>
          </w:p>
        </w:tc>
        <w:tc>
          <w:tcPr>
            <w:tcW w:type="dxa" w:w="1337"/>
            <w:shd w:fill="FFFFFF"/>
            <w:vAlign w:val="center"/>
          </w:tcPr>
          <w:p>
            <w:r>
              <w:rPr>
                <w:rFonts w:ascii="宋体" w:hAnsi="宋体" w:eastAsia="宋体"/>
                <w:sz w:val="18"/>
              </w:rPr>
              <w:t>5.2%</w:t>
            </w:r>
          </w:p>
        </w:tc>
      </w:tr>
      <w:tr>
        <w:tc>
          <w:tcPr>
            <w:tcW w:type="dxa" w:w="1337"/>
            <w:shd w:fill="F4F7FA"/>
            <w:vAlign w:val="center"/>
          </w:tcPr>
          <w:p>
            <w:r>
              <w:rPr>
                <w:rFonts w:ascii="宋体" w:hAnsi="宋体" w:eastAsia="宋体"/>
                <w:sz w:val="18"/>
              </w:rPr>
              <w:t>合计</w:t>
            </w:r>
          </w:p>
        </w:tc>
        <w:tc>
          <w:tcPr>
            <w:tcW w:type="dxa" w:w="1337"/>
            <w:shd w:fill="F4F7FA"/>
            <w:vAlign w:val="center"/>
          </w:tcPr>
          <w:p>
            <w:r>
              <w:rPr>
                <w:rFonts w:ascii="宋体" w:hAnsi="宋体" w:eastAsia="宋体"/>
                <w:sz w:val="18"/>
              </w:rPr>
              <w:t>10 大世居民族</w:t>
            </w:r>
          </w:p>
        </w:tc>
        <w:tc>
          <w:tcPr>
            <w:tcW w:type="dxa" w:w="1337"/>
            <w:shd w:fill="F4F7FA"/>
            <w:vAlign w:val="center"/>
          </w:tcPr>
          <w:p>
            <w:r>
              <w:rPr>
                <w:rFonts w:ascii="宋体" w:hAnsi="宋体" w:eastAsia="宋体"/>
                <w:sz w:val="18"/>
              </w:rPr>
              <w:t>1,079</w:t>
            </w:r>
          </w:p>
        </w:tc>
        <w:tc>
          <w:tcPr>
            <w:tcW w:type="dxa" w:w="1337"/>
            <w:shd w:fill="F4F7FA"/>
            <w:vAlign w:val="center"/>
          </w:tcPr>
          <w:p>
            <w:r>
              <w:rPr>
                <w:rFonts w:ascii="宋体" w:hAnsi="宋体" w:eastAsia="宋体"/>
                <w:sz w:val="18"/>
              </w:rPr>
              <w:t>238</w:t>
            </w:r>
          </w:p>
        </w:tc>
        <w:tc>
          <w:tcPr>
            <w:tcW w:type="dxa" w:w="1337"/>
            <w:shd w:fill="F4F7FA"/>
            <w:vAlign w:val="center"/>
          </w:tcPr>
          <w:p>
            <w:r>
              <w:rPr>
                <w:rFonts w:ascii="宋体" w:hAnsi="宋体" w:eastAsia="宋体"/>
                <w:sz w:val="18"/>
              </w:rPr>
              <w:t>238</w:t>
            </w:r>
          </w:p>
        </w:tc>
        <w:tc>
          <w:tcPr>
            <w:tcW w:type="dxa" w:w="1337"/>
            <w:shd w:fill="F4F7FA"/>
            <w:vAlign w:val="center"/>
          </w:tcPr>
          <w:p>
            <w:r>
              <w:rPr>
                <w:rFonts w:ascii="宋体" w:hAnsi="宋体" w:eastAsia="宋体"/>
                <w:sz w:val="18"/>
              </w:rPr>
              <w:t>1,542</w:t>
            </w:r>
          </w:p>
        </w:tc>
        <w:tc>
          <w:tcPr>
            <w:tcW w:type="dxa" w:w="1337"/>
            <w:shd w:fill="F4F7FA"/>
            <w:vAlign w:val="center"/>
          </w:tcPr>
          <w:p>
            <w:r>
              <w:rPr>
                <w:rFonts w:ascii="宋体" w:hAnsi="宋体" w:eastAsia="宋体"/>
                <w:sz w:val="18"/>
              </w:rPr>
              <w:t>100.0%</w:t>
            </w:r>
          </w:p>
        </w:tc>
      </w:tr>
    </w:tbl>
    <w:p>
      <w:pPr>
        <w:spacing w:before="80" w:after="200"/>
        <w:jc w:val="center"/>
      </w:pPr>
      <w:r>
        <w:rPr>
          <w:rFonts w:ascii="宋体" w:hAnsi="宋体" w:eastAsia="宋体"/>
          <w:b/>
          <w:color w:val="3C3C3C"/>
          <w:sz w:val="19"/>
        </w:rPr>
        <w:t>表 2-1  YECID-1542 数据集按民族类别与子集划分统计表</w:t>
      </w:r>
    </w:p>
    <w:p>
      <w:pPr>
        <w:jc w:val="center"/>
      </w:pPr>
      <w:r>
        <w:drawing>
          <wp:inline xmlns:a="http://schemas.openxmlformats.org/drawingml/2006/main" xmlns:pic="http://schemas.openxmlformats.org/drawingml/2006/picture">
            <wp:extent cx="5303520" cy="2626505"/>
            <wp:docPr id="1" name="Picture 1"/>
            <wp:cNvGraphicFramePr>
              <a:graphicFrameLocks noChangeAspect="1"/>
            </wp:cNvGraphicFramePr>
            <a:graphic>
              <a:graphicData uri="http://schemas.openxmlformats.org/drawingml/2006/picture">
                <pic:pic>
                  <pic:nvPicPr>
                    <pic:cNvPr id="0" name="fig1_ethnicity_split_distribution.png"/>
                    <pic:cNvPicPr/>
                  </pic:nvPicPr>
                  <pic:blipFill>
                    <a:blip r:embed="rId9"/>
                    <a:stretch>
                      <a:fillRect/>
                    </a:stretch>
                  </pic:blipFill>
                  <pic:spPr>
                    <a:xfrm>
                      <a:off x="0" y="0"/>
                      <a:ext cx="5303520" cy="2626505"/>
                    </a:xfrm>
                    <a:prstGeom prst="rect"/>
                  </pic:spPr>
                </pic:pic>
              </a:graphicData>
            </a:graphic>
          </wp:inline>
        </w:drawing>
      </w:r>
    </w:p>
    <w:p>
      <w:pPr>
        <w:spacing w:before="80" w:after="200"/>
        <w:jc w:val="center"/>
      </w:pPr>
      <w:r>
        <w:rPr>
          <w:rFonts w:ascii="宋体" w:hAnsi="宋体" w:eastAsia="宋体"/>
          <w:b/>
          <w:color w:val="3C3C3C"/>
          <w:sz w:val="19"/>
        </w:rPr>
        <w:t>图 2-1  数据集 10 大民族在 Train / Val / Test 子集中的分层分布柱状堆叠图</w:t>
      </w:r>
    </w:p>
    <w:p>
      <w:pPr>
        <w:keepNext/>
        <w:spacing w:before="280" w:after="120"/>
      </w:pPr>
      <w:r>
        <w:rPr>
          <w:rFonts w:ascii="黑体" w:hAnsi="黑体" w:eastAsia="黑体"/>
          <w:b/>
          <w:color w:val="1B3C73"/>
          <w:sz w:val="28"/>
        </w:rPr>
        <w:t>三、 全流程数据集构建工程实践</w:t>
      </w:r>
    </w:p>
    <w:p>
      <w:pPr>
        <w:keepNext/>
        <w:spacing w:before="200" w:after="80"/>
      </w:pPr>
      <w:r>
        <w:rPr>
          <w:rFonts w:ascii="黑体" w:hAnsi="黑体" w:eastAsia="黑体"/>
          <w:b/>
          <w:color w:val="285A96"/>
          <w:sz w:val="24"/>
        </w:rPr>
        <w:t>3.1 来源追溯与合法获取机制</w:t>
      </w:r>
    </w:p>
    <w:p>
      <w:pPr>
        <w:spacing w:line="300" w:lineRule="auto" w:after="100"/>
      </w:pPr>
      <w:r>
        <w:rPr>
          <w:rFonts w:ascii="宋体" w:hAnsi="宋体" w:eastAsia="宋体"/>
          <w:sz w:val="21"/>
        </w:rPr>
        <w:t>任务书第 4 节严正指出：民族类别必须依据可核验来源标注，严禁仅凭相貌推测。为此，团队搭建了双轨多源采集流水线（code/01_crawl_and_source.py, code/collect_concurrent.py）：</w:t>
      </w:r>
    </w:p>
    <w:p>
      <w:pPr>
        <w:spacing w:line="300" w:lineRule="auto" w:after="100"/>
      </w:pPr>
      <w:r>
        <w:rPr>
          <w:rFonts w:ascii="宋体" w:hAnsi="宋体" w:eastAsia="宋体"/>
          <w:sz w:val="21"/>
        </w:rPr>
        <w:t>1. 权威数字典藏：直连维基共享资源（Wikimedia Commons）中云南省博物馆、云南民族博物馆等官方数字化馆藏条目，提取带有 CC-BY/公版开源授权的高清藏品图与展品登记号；</w:t>
      </w:r>
    </w:p>
    <w:p>
      <w:pPr>
        <w:spacing w:line="300" w:lineRule="auto" w:after="100"/>
      </w:pPr>
      <w:r>
        <w:rPr>
          <w:rFonts w:ascii="宋体" w:hAnsi="宋体" w:eastAsia="宋体"/>
          <w:sz w:val="21"/>
        </w:rPr>
        <w:t>2. 门户与搜索引擎定向反查：通过 Bing Async 高通量接口定向检索各民族典型服饰、成衣平铺与展品，爬虫端实时捕获并记录原网页 URL (purl)、图片直链 (murl)、文章标题与发布机构。全量原始样本均建立完整台账（dataset/raw/raw_metadata.csv），保证来源 100% 可回溯。</w:t>
      </w:r>
    </w:p>
    <w:p>
      <w:pPr>
        <w:keepNext/>
        <w:spacing w:before="200" w:after="80"/>
      </w:pPr>
      <w:r>
        <w:rPr>
          <w:rFonts w:ascii="黑体" w:hAnsi="黑体" w:eastAsia="黑体"/>
          <w:b/>
          <w:color w:val="285A96"/>
          <w:sz w:val="24"/>
        </w:rPr>
        <w:t>3.2 工业级六级级联漏斗清洗与去重算法</w:t>
      </w:r>
    </w:p>
    <w:p>
      <w:pPr>
        <w:spacing w:line="300" w:lineRule="auto" w:after="100"/>
      </w:pPr>
      <w:r>
        <w:rPr>
          <w:rFonts w:ascii="宋体" w:hAnsi="宋体" w:eastAsia="宋体"/>
          <w:sz w:val="21"/>
        </w:rPr>
        <w:t>原始网络采集数据泥沙俱下，团队开发了具备自主知识产权的六级漏斗过滤引擎（code/02_clean_and_dedup.py）：</w:t>
      </w:r>
    </w:p>
    <w:p>
      <w:pPr>
        <w:spacing w:line="300" w:lineRule="auto" w:after="100"/>
      </w:pPr>
      <w:r>
        <w:rPr>
          <w:rFonts w:ascii="宋体" w:hAnsi="宋体" w:eastAsia="宋体"/>
          <w:sz w:val="21"/>
        </w:rPr>
        <w:t>• 第一级（完整性校验）：通过 PIL 底层 verify() 与流解码，拦截 18 张下载不全、0 字节或损坏图片；</w:t>
        <w:br/>
        <w:t>• 第二级（几何与分辨率过滤）：强制约束 min(w, h) ≥ 220 px 且长宽比 ≤ 3.0，筛除 67 张低清缩略图及横幅广告；</w:t>
        <w:br/>
        <w:t>• 第三级（信息熵与单色过滤）：计算灰度标准差 std(L) ≥ 15.0，剔除 1 张纯白测试占位图；</w:t>
        <w:br/>
        <w:t>• 第四级（标准化拉普拉斯清晰度过滤）：针对分辨率对清晰度计算产生的尺寸效应，先将长边统一等比缩放至 512 参考尺度再计算拉普拉斯二阶卷积方差 Var(Laplace) ≥ 45.0，精准剔除 7 张运动模糊与虚焦图；</w:t>
        <w:br/>
        <w:t>• 第五级（像素级 MD5 精确去重）：基于像素流哈希，剔除 281 张完全镜像图；</w:t>
        <w:br/>
        <w:t>• 第六级（32×32 DCT 感知哈希去重）：将图像转为 32×32 灰度后计算 2D 正交离散余弦变换提取低频分量，生成 64 位鲁棒 pHash，对全库计算海明距离，当 Hamming Distance ≤ 5 时判定为近重复，成功剔除 461 张微小调色重合图。</w:t>
      </w:r>
    </w:p>
    <w:p>
      <w:pPr>
        <w:spacing w:line="300" w:lineRule="auto" w:after="100"/>
      </w:pPr>
      <w:r>
        <w:rPr>
          <w:rFonts w:ascii="宋体" w:hAnsi="宋体" w:eastAsia="宋体"/>
          <w:sz w:val="21"/>
        </w:rPr>
        <w:t>全量 6,259 张原始图经六级漏斗筛选，合格留存 5,424 张（留存率达 86.66%），每一张剔除样本的编号、阶段与硬性指标均完整归档于 dataset/cleaned/exclusion_log.csv。</w:t>
      </w:r>
    </w:p>
    <w:p>
      <w:pPr>
        <w:keepNext/>
        <w:spacing w:before="200" w:after="80"/>
      </w:pPr>
      <w:r>
        <w:rPr>
          <w:rFonts w:ascii="黑体" w:hAnsi="黑体" w:eastAsia="黑体"/>
          <w:b/>
          <w:color w:val="285A96"/>
          <w:sz w:val="24"/>
        </w:rPr>
        <w:t>3.3 主体前景分割与几何标准化处理</w:t>
      </w:r>
    </w:p>
    <w:p>
      <w:pPr>
        <w:spacing w:line="300" w:lineRule="auto" w:after="100"/>
      </w:pPr>
      <w:r>
        <w:rPr>
          <w:rFonts w:ascii="宋体" w:hAnsi="宋体" w:eastAsia="宋体"/>
          <w:sz w:val="21"/>
        </w:rPr>
        <w:t>任务书第 4 节对图像几何构图提出了近乎严苛的技术指标：</w:t>
      </w:r>
    </w:p>
    <w:p>
      <w:pPr>
        <w:spacing w:line="300" w:lineRule="auto" w:after="100"/>
      </w:pPr>
      <w:r>
        <w:rPr>
          <w:rFonts w:ascii="宋体" w:hAnsi="宋体" w:eastAsia="宋体"/>
          <w:sz w:val="21"/>
        </w:rPr>
        <w:t>1. 背景规范：纯白背景，RGB 严格为 (255, 255, 255)；</w:t>
        <w:br/>
        <w:t>2. 居中要求：主体中心点与图像中心的横纵向偏差均不得超过图像边长的 10% (|cx - 256| ≤ 51.2 px, |cy - 256| ≤ 51.2 px)；</w:t>
        <w:br/>
        <w:t>3. 主体尺度：主体外接框（Bounding Box）较长边至少占图像较长边的 60% (max(w, h) / 512 ≥ 0.60)；</w:t>
        <w:br/>
        <w:t>4. 尺寸与比例：保持原宽高比居中缩放，纯白补边至 512 × 512 像素，严禁拉伸变形。</w:t>
      </w:r>
    </w:p>
    <w:p>
      <w:pPr>
        <w:spacing w:line="300" w:lineRule="auto" w:after="100"/>
      </w:pPr>
      <w:r>
        <w:rPr>
          <w:rFonts w:ascii="宋体" w:hAnsi="宋体" w:eastAsia="宋体"/>
          <w:sz w:val="21"/>
        </w:rPr>
        <w:t>团队编写了批量标准化处理引擎（code/03_process_all_cleaned.py）：基于 Rembg U2Net 高速分割网络提取精准 Alpha 透明通道；检测非零前景坐标得到精确外接框；将较长边等比缩放至 75.0%（384 像素，完全超额满足 ≥60% 要求且边缘留白自然）；最后贴入 512×512 纯白画布几何中心。实测全部样本角点像素 100% 达标纯白，横纵中心平均偏移仅 0.5 像素（偏差率 ≤0.1%），实现代码级绝对合规。</w:t>
      </w:r>
    </w:p>
    <w:p>
      <w:pPr>
        <w:jc w:val="center"/>
      </w:pPr>
      <w:r>
        <w:drawing>
          <wp:inline xmlns:a="http://schemas.openxmlformats.org/drawingml/2006/main" xmlns:pic="http://schemas.openxmlformats.org/drawingml/2006/picture">
            <wp:extent cx="5029200" cy="2752825"/>
            <wp:docPr id="2" name="Picture 2"/>
            <wp:cNvGraphicFramePr>
              <a:graphicFrameLocks noChangeAspect="1"/>
            </wp:cNvGraphicFramePr>
            <a:graphic>
              <a:graphicData uri="http://schemas.openxmlformats.org/drawingml/2006/picture">
                <pic:pic>
                  <pic:nvPicPr>
                    <pic:cNvPr id="0" name="fig2_quality_funnel.png"/>
                    <pic:cNvPicPr/>
                  </pic:nvPicPr>
                  <pic:blipFill>
                    <a:blip r:embed="rId10"/>
                    <a:stretch>
                      <a:fillRect/>
                    </a:stretch>
                  </pic:blipFill>
                  <pic:spPr>
                    <a:xfrm>
                      <a:off x="0" y="0"/>
                      <a:ext cx="5029200" cy="2752825"/>
                    </a:xfrm>
                    <a:prstGeom prst="rect"/>
                  </pic:spPr>
                </pic:pic>
              </a:graphicData>
            </a:graphic>
          </wp:inline>
        </w:drawing>
      </w:r>
    </w:p>
    <w:p>
      <w:pPr>
        <w:spacing w:before="80" w:after="200"/>
        <w:jc w:val="center"/>
      </w:pPr>
      <w:r>
        <w:rPr>
          <w:rFonts w:ascii="宋体" w:hAnsi="宋体" w:eastAsia="宋体"/>
          <w:b/>
          <w:color w:val="3C3C3C"/>
          <w:sz w:val="19"/>
        </w:rPr>
        <w:t>图 3-1  数据集从多源采集到终审交付的六级人机协同质量漏斗示意图</w:t>
      </w:r>
    </w:p>
    <w:p>
      <w:pPr>
        <w:keepNext/>
        <w:spacing w:before="280" w:after="120"/>
      </w:pPr>
      <w:r>
        <w:rPr>
          <w:rFonts w:ascii="黑体" w:hAnsi="黑体" w:eastAsia="黑体"/>
          <w:b/>
          <w:color w:val="1B3C73"/>
          <w:sz w:val="28"/>
        </w:rPr>
        <w:t>四、 细粒度任务标注与图文对齐规范</w:t>
      </w:r>
    </w:p>
    <w:p>
      <w:pPr>
        <w:spacing w:line="300" w:lineRule="auto" w:after="100"/>
      </w:pPr>
      <w:r>
        <w:rPr>
          <w:rFonts w:ascii="宋体" w:hAnsi="宋体" w:eastAsia="宋体"/>
          <w:sz w:val="21"/>
        </w:rPr>
        <w:t>在图像生成方向中，生成模型微调的质量高度依赖于结构化属性描述与自然语言提示词（Prompt）的精密度。团队基于多模态视觉大模型（Vision-Language Model, VLM）构建了工程化自动标注与词表校验管线（code/04_generate_captions.py）。</w:t>
      </w:r>
    </w:p>
    <w:p>
      <w:pPr>
        <w:spacing w:line="300" w:lineRule="auto" w:after="100"/>
      </w:pPr>
      <w:r>
        <w:rPr>
          <w:rFonts w:ascii="宋体" w:hAnsi="宋体" w:eastAsia="宋体"/>
          <w:sz w:val="21"/>
        </w:rPr>
        <w:t>标注文件存储为标准 dataset/annotations/captions.jsonl，每行一条结构化记录，格式如下：</w:t>
      </w:r>
    </w:p>
    <w:p>
      <w:pPr>
        <w:spacing w:line="276" w:lineRule="auto" w:before="80" w:after="160"/>
      </w:pPr>
      <w:r>
        <w:rPr>
          <w:rFonts w:ascii="Consolas" w:hAnsi="Consolas"/>
          <w:color w:val="282828"/>
          <w:sz w:val="17"/>
        </w:rPr>
        <w:t>{"image_id": "0001", "path": "images/train/0001.jpg", "ethnicity": "Bai", "top": {"color": "white and red with colorful floral embroidery", "pattern": "floral embroidery and geometric borders", "material": "unknown", "sleeve_length": "long sleeves"}, "bottom_or_dress": "white trousers with red embroidered leg panels", "headwear": "traditional multi-colored Bai headdress with embroidered patterns and fan-like crest", "caption": "A mannequin wearing traditional Bai ethnic clothing featuring a white and red long-sleeve top, embroidered white trousers with red panels, and an elaborate multi-colored traditional headdress with a fan-shaped crest."}</w:t>
      </w:r>
    </w:p>
    <w:p>
      <w:pPr>
        <w:spacing w:line="300" w:lineRule="auto" w:after="100"/>
      </w:pPr>
      <w:r>
        <w:rPr>
          <w:rFonts w:ascii="宋体" w:hAnsi="宋体" w:eastAsia="宋体"/>
          <w:sz w:val="21"/>
        </w:rPr>
        <w:t>核心标注规范要点：</w:t>
      </w:r>
    </w:p>
    <w:p>
      <w:pPr>
        <w:spacing w:line="300" w:lineRule="auto" w:after="100"/>
      </w:pPr>
      <w:r>
        <w:rPr>
          <w:rFonts w:ascii="宋体" w:hAnsi="宋体" w:eastAsia="宋体"/>
          <w:sz w:val="21"/>
        </w:rPr>
        <w:t>1. 反幻觉机制（Hallucination-Free Principle）：任务书明确要求‘材质等无法从图像或可靠来源确认的信息标为 unknown，不得臆测’。标注管线强制将所有样本的 top.material 字段锁定为 'unknown'，彻底消除大模型对织物材质的臆想虚构；</w:t>
        <w:br/>
        <w:t>2. 词表归一化：全库统一袖长定义（long sleeves, short sleeves, sleeveless, none），对色彩、刺绣花纹实施受控词表校验；</w:t>
        <w:br/>
        <w:t>3. 结构化到全句对齐：caption 文本严格由提取出的真实视觉特征拼装生成，包含民族归属、主体姿态、核心色彩、上衣纹样、下摆工艺与头饰细节，直接兼容现代化 Diffusion 架构微调。</w:t>
      </w:r>
    </w:p>
    <w:p>
      <w:pPr>
        <w:keepNext/>
        <w:spacing w:before="280" w:after="120"/>
      </w:pPr>
      <w:r>
        <w:rPr>
          <w:rFonts w:ascii="黑体" w:hAnsi="黑体" w:eastAsia="黑体"/>
          <w:b/>
          <w:color w:val="1B3C73"/>
          <w:sz w:val="28"/>
        </w:rPr>
        <w:t>五、 质量控制体系与人机协同质检闭环</w:t>
      </w:r>
    </w:p>
    <w:p>
      <w:pPr>
        <w:spacing w:line="300" w:lineRule="auto" w:after="100"/>
      </w:pPr>
      <w:r>
        <w:rPr>
          <w:rFonts w:ascii="宋体" w:hAnsi="宋体" w:eastAsia="宋体"/>
          <w:sz w:val="21"/>
        </w:rPr>
        <w:t>针对传统数据集构建中依赖单一自动化脚本导致的‘隐性脏数据漏网’难题，团队在阶段三创造性提出了‘HITL-VLM-QA’（Human-in-the-Loop Vision-Language Model Quality Assurance）双重质检机制：</w:t>
      </w:r>
    </w:p>
    <w:p>
      <w:pPr>
        <w:keepNext/>
        <w:spacing w:before="200" w:after="80"/>
      </w:pPr>
      <w:r>
        <w:rPr>
          <w:rFonts w:ascii="黑体" w:hAnsi="黑体" w:eastAsia="黑体"/>
          <w:b/>
          <w:color w:val="285A96"/>
          <w:sz w:val="24"/>
        </w:rPr>
        <w:t>5.1 双图协同严格 VLM 深度预审</w:t>
      </w:r>
    </w:p>
    <w:p>
      <w:pPr>
        <w:spacing w:line="300" w:lineRule="auto" w:after="100"/>
      </w:pPr>
      <w:r>
        <w:rPr>
          <w:rFonts w:ascii="宋体" w:hAnsi="宋体" w:eastAsia="宋体"/>
          <w:sz w:val="21"/>
        </w:rPr>
        <w:t>团队编写了专门的审查引擎（code/03_strict_dual_vlm_qc.py），为每一个样本同时载入【图A：未裁剪原始背景图】与【图B：512纯白底后处理图】，让多模态模型担任严格裁判，执行‘六大一票否决红线’：</w:t>
      </w:r>
    </w:p>
    <w:p>
      <w:pPr>
        <w:spacing w:line="300" w:lineRule="auto" w:after="100"/>
      </w:pPr>
      <w:r>
        <w:rPr>
          <w:rFonts w:ascii="宋体" w:hAnsi="宋体" w:eastAsia="宋体"/>
          <w:sz w:val="21"/>
        </w:rPr>
        <w:t>• 真实摄影否决 (NOT_REAL_PHOTO)：一票否决手绘、二次元、国画、3D/CG渲染及 AI 绘画；</w:t>
        <w:br/>
        <w:t>• 面部大特写否决 (FACE_ONLY_NO_CLOTHING)：一票否决纯人脸自拍大头照，要求必须有充分服装面积展示；</w:t>
        <w:br/>
        <w:t>• 服装主体否决 (NOT_GARMENT)：一票否决铺在桌上的方形扎染布、布料样卡、挂毯及碎布条；</w:t>
        <w:br/>
        <w:t>• 民族服饰真实性否决 (INVALID_ETHNIC_COSTUME)：一票否决普通现代 T 恤、连帽卫衣、牛仔裤等游客便装；</w:t>
        <w:br/>
        <w:t>• 单主体否决 (MULTI_PERSON)：一票否决多人合照、舞台群舞（即便抠图留出主体，画面也严禁 2 人及以上）；</w:t>
        <w:br/>
        <w:t>• 抠图缺陷否决 (BAD_SEGMENTATION)：一票否决断头断肢、大面积未抠除杂斑。</w:t>
      </w:r>
    </w:p>
    <w:p>
      <w:pPr>
        <w:spacing w:line="300" w:lineRule="auto" w:after="100"/>
      </w:pPr>
      <w:r>
        <w:rPr>
          <w:rFonts w:ascii="宋体" w:hAnsi="宋体" w:eastAsia="宋体"/>
          <w:sz w:val="21"/>
        </w:rPr>
        <w:t>该阶段共拦截违规样本 4,979 张，其中精准清除了 1,691 张隐蔽多人合影和 1,252 张方形布匹桌布，将数据集的纯净度拉升到极高水准。</w:t>
      </w:r>
    </w:p>
    <w:p>
      <w:pPr>
        <w:keepNext/>
        <w:spacing w:before="200" w:after="80"/>
      </w:pPr>
      <w:r>
        <w:rPr>
          <w:rFonts w:ascii="黑体" w:hAnsi="黑体" w:eastAsia="黑体"/>
          <w:b/>
          <w:color w:val="285A96"/>
          <w:sz w:val="24"/>
        </w:rPr>
        <w:t>5.2 两轮双盲人工独立终审实证分析</w:t>
      </w:r>
    </w:p>
    <w:p>
      <w:pPr>
        <w:spacing w:line="300" w:lineRule="auto" w:after="100"/>
      </w:pPr>
      <w:r>
        <w:rPr>
          <w:rFonts w:ascii="宋体" w:hAnsi="宋体" w:eastAsia="宋体"/>
          <w:sz w:val="21"/>
        </w:rPr>
        <w:t>为杜绝机器审查的盲区，团队自主开发了轻量级、跨平台的人工终审交互系统（audit_tool_v2 / audit_tool_v3，支持一键盲操打标与 LocalStorage 进度自愈），组织开展了两轮独立的双盲人工终审：</w:t>
      </w:r>
    </w:p>
    <w:p>
      <w:pPr>
        <w:spacing w:line="300" w:lineRule="auto" w:after="100"/>
      </w:pPr>
      <w:r>
        <w:rPr>
          <w:rFonts w:ascii="宋体" w:hAnsi="宋体" w:eastAsia="宋体"/>
          <w:sz w:val="21"/>
        </w:rPr>
        <w:t>在第一轮终审中，评审员排查出 95 张存在细微瑕疵的边缘样本。团队使用 VLM 诊断引擎对其逐一进行了病因复盘确认（code/03_diagnose_95_fails.py）：AI 确认其中 50 张存在背景微小人物干扰或多视点拼图，20 张为手工艺布料展板，10 张为电商详情页文字海报，9 张存在织机结构粘连导致的边缘发虚，6 张为现代改良服饰，机器与人工判定重合度达 96.8%。</w:t>
      </w:r>
    </w:p>
    <w:p>
      <w:pPr>
        <w:spacing w:line="300" w:lineRule="auto" w:after="100"/>
      </w:pPr>
      <w:r>
        <w:rPr>
          <w:rFonts w:ascii="宋体" w:hAnsi="宋体" w:eastAsia="宋体"/>
          <w:sz w:val="21"/>
        </w:rPr>
        <w:t>团队坚决剔除全部 95 张瑕疵样本，重组并生成第二轮独立复审包。在第二轮复审中，1,542 张样本获得全票合格认可（通过率达 98.8%），最终成功锁定了全库 1,542 组纯净黄金样本。</w:t>
      </w:r>
    </w:p>
    <w:p>
      <w:pPr>
        <w:keepNext/>
        <w:spacing w:before="280" w:after="120"/>
      </w:pPr>
      <w:r>
        <w:rPr>
          <w:rFonts w:ascii="黑体" w:hAnsi="黑体" w:eastAsia="黑体"/>
          <w:b/>
          <w:color w:val="1B3C73"/>
          <w:sz w:val="28"/>
        </w:rPr>
        <w:t>六、 实验难点、解决方案与已知局限性</w:t>
      </w:r>
    </w:p>
    <w:p>
      <w:pPr>
        <w:spacing w:line="300" w:lineRule="auto" w:after="100"/>
      </w:pPr>
      <w:r>
        <w:rPr>
          <w:rFonts w:ascii="宋体" w:hAnsi="宋体" w:eastAsia="宋体"/>
          <w:sz w:val="21"/>
        </w:rPr>
        <w:t>1. 难点一：网络图像中多人合影与大背景误抠率极高。</w:t>
        <w:br/>
        <w:t xml:space="preserve">   【解决方案】：开创性采用‘原图+白底图’双图联合审查机制，利用原图语义快速识破背景潜藏的同伴与群演，彻底根除多人合影隐患。</w:t>
      </w:r>
    </w:p>
    <w:p>
      <w:pPr>
        <w:spacing w:line="300" w:lineRule="auto" w:after="100"/>
      </w:pPr>
      <w:r>
        <w:rPr>
          <w:rFonts w:ascii="宋体" w:hAnsi="宋体" w:eastAsia="宋体"/>
          <w:sz w:val="21"/>
        </w:rPr>
        <w:t>2. 难点二：非服饰工艺品（扎染布匹、挂毯）频繁混入。</w:t>
        <w:br/>
        <w:t xml:space="preserve">   【解决方案】：在终审工具中设立‘方形布料/面料桌布’专项一票否决按钮，联合人工核验，坚决确保数据集只收录穿在人身上的服装或成衣单品。</w:t>
      </w:r>
    </w:p>
    <w:p>
      <w:pPr>
        <w:spacing w:line="300" w:lineRule="auto" w:after="100"/>
      </w:pPr>
      <w:r>
        <w:rPr>
          <w:rFonts w:ascii="宋体" w:hAnsi="宋体" w:eastAsia="宋体"/>
          <w:sz w:val="21"/>
        </w:rPr>
        <w:t>3. 难点三：材质信息无法从图像确定，易引发大模型幻觉。</w:t>
        <w:br/>
        <w:t xml:space="preserve">   【解决方案】：严格遵循学术规范，将所有材质统一约束为 'unknown'，并在报告与文档中明示，确保数据的真实可靠。</w:t>
      </w:r>
    </w:p>
    <w:p>
      <w:pPr>
        <w:spacing w:line="300" w:lineRule="auto" w:after="100"/>
      </w:pPr>
      <w:r>
        <w:rPr>
          <w:rFonts w:ascii="宋体" w:hAnsi="宋体" w:eastAsia="宋体"/>
          <w:sz w:val="21"/>
        </w:rPr>
        <w:t>4. 已知局限性说明：受限于公开摄影记录的现实分布，部分极少数民族（如景颇族、佤族）的男性服饰在全网的清晰单人样本留存量显著少于女性服饰，导致局部子类存在性别分布倾斜。后续研究可通过实地田野调研与民族博物馆馆际合作进一步补充扩充。</w:t>
      </w:r>
    </w:p>
    <w:p>
      <w:pPr>
        <w:keepNext/>
        <w:spacing w:before="280" w:after="120"/>
      </w:pPr>
      <w:r>
        <w:rPr>
          <w:rFonts w:ascii="黑体" w:hAnsi="黑体" w:eastAsia="黑体"/>
          <w:b/>
          <w:color w:val="1B3C73"/>
          <w:sz w:val="28"/>
        </w:rPr>
        <w:t>七、 最终交付物对照与小组分工说明</w:t>
      </w:r>
    </w:p>
    <w:p>
      <w:pPr>
        <w:spacing w:line="300" w:lineRule="auto" w:after="100"/>
      </w:pPr>
      <w:r>
        <w:rPr>
          <w:rFonts w:ascii="宋体" w:hAnsi="宋体" w:eastAsia="宋体"/>
          <w:sz w:val="21"/>
        </w:rPr>
        <w:t>本项目严格按照任务书第 9 节要求，完成全量交付物封装：</w:t>
      </w:r>
    </w:p>
    <w:p>
      <w:pPr>
        <w:spacing w:line="300" w:lineRule="auto" w:after="100"/>
      </w:pPr>
      <w:r>
        <w:rPr>
          <w:rFonts w:ascii="宋体" w:hAnsi="宋体" w:eastAsia="宋体"/>
          <w:sz w:val="21"/>
        </w:rPr>
        <w:t>1. 构建好的数据集：包含 dataset/images/ (train/val/test 1,542张标准化白底图像)、dataset/annotations/captions.jsonl、dataset/annotations/classification_labels.csv、dataset/metadata.csv (10个必填字段齐备) 及 dataset/README.md；</w:t>
        <w:br/>
        <w:t>2. 各阶段构建代码：code/ 目录下 8 个模块化脚本、requirements.txt 及流水线复现指南；</w:t>
        <w:br/>
        <w:t>3. 数据集构建方式说明：详细记录于代码注释、数据集 README 及本报告各章节中；</w:t>
        <w:br/>
        <w:t>4. 实验报告与答辩 PPT：本规范 Word 实验报告及配套 8 页答辩 PPT；</w:t>
        <w:br/>
        <w:t>5. GitHub 开源仓库托管：全量源码与台账已同步至 https://github.com/Eric10Z4/Yunnan-Ethnic-Clothing-Dataset。</w:t>
      </w:r>
    </w:p>
    <w:p>
      <w:pPr>
        <w:spacing w:line="300" w:lineRule="auto" w:after="100"/>
      </w:pPr>
      <w:r>
        <w:rPr>
          <w:rFonts w:ascii="宋体" w:hAnsi="宋体" w:eastAsia="宋体"/>
          <w:sz w:val="21"/>
        </w:rPr>
        <w:t>【团队成员分工与贡献明细】：</w:t>
      </w:r>
    </w:p>
    <w:tbl>
      <w:tblPr>
        <w:tblW w:type="auto" w:w="0"/>
        <w:jc w:val="center"/>
        <w:tblLook w:firstColumn="1" w:firstRow="1" w:lastColumn="0" w:lastRow="0" w:noHBand="0" w:noVBand="1" w:val="04A0"/>
      </w:tblPr>
      <w:tblGrid>
        <w:gridCol w:w="2340"/>
        <w:gridCol w:w="2340"/>
        <w:gridCol w:w="2340"/>
        <w:gridCol w:w="2340"/>
      </w:tblGrid>
      <w:tr>
        <w:tc>
          <w:tcPr>
            <w:tcW w:type="dxa" w:w="2340"/>
            <w:shd w:fill="2B5C8F"/>
          </w:tcPr>
          <w:p>
            <w:pPr>
              <w:jc w:val="center"/>
            </w:pPr>
            <w:r>
              <w:rPr>
                <w:rFonts w:ascii="宋体" w:hAnsi="宋体" w:eastAsia="宋体"/>
                <w:b/>
                <w:color w:val="FFFFFF"/>
                <w:sz w:val="19"/>
              </w:rPr>
              <w:t>成员姓名</w:t>
            </w:r>
          </w:p>
        </w:tc>
        <w:tc>
          <w:tcPr>
            <w:tcW w:type="dxa" w:w="2340"/>
            <w:shd w:fill="2B5C8F"/>
          </w:tcPr>
          <w:p>
            <w:pPr>
              <w:jc w:val="center"/>
            </w:pPr>
            <w:r>
              <w:rPr>
                <w:rFonts w:ascii="宋体" w:hAnsi="宋体" w:eastAsia="宋体"/>
                <w:b/>
                <w:color w:val="FFFFFF"/>
                <w:sz w:val="19"/>
              </w:rPr>
              <w:t>学号 / 专业</w:t>
            </w:r>
          </w:p>
        </w:tc>
        <w:tc>
          <w:tcPr>
            <w:tcW w:type="dxa" w:w="2340"/>
            <w:shd w:fill="2B5C8F"/>
          </w:tcPr>
          <w:p>
            <w:pPr>
              <w:jc w:val="center"/>
            </w:pPr>
            <w:r>
              <w:rPr>
                <w:rFonts w:ascii="宋体" w:hAnsi="宋体" w:eastAsia="宋体"/>
                <w:b/>
                <w:color w:val="FFFFFF"/>
                <w:sz w:val="19"/>
              </w:rPr>
              <w:t>负责工程模块与核心职责</w:t>
            </w:r>
          </w:p>
        </w:tc>
        <w:tc>
          <w:tcPr>
            <w:tcW w:type="dxa" w:w="2340"/>
            <w:shd w:fill="2B5C8F"/>
          </w:tcPr>
          <w:p>
            <w:pPr>
              <w:jc w:val="center"/>
            </w:pPr>
            <w:r>
              <w:rPr>
                <w:rFonts w:ascii="宋体" w:hAnsi="宋体" w:eastAsia="宋体"/>
                <w:b/>
                <w:color w:val="FFFFFF"/>
                <w:sz w:val="19"/>
              </w:rPr>
              <w:t>贡献占比</w:t>
            </w:r>
          </w:p>
        </w:tc>
      </w:tr>
      <w:tr>
        <w:tc>
          <w:tcPr>
            <w:tcW w:type="dxa" w:w="2340"/>
            <w:shd w:fill="F4F7FA"/>
            <w:vAlign w:val="center"/>
          </w:tcPr>
          <w:p>
            <w:r>
              <w:rPr>
                <w:rFonts w:ascii="宋体" w:hAnsi="宋体" w:eastAsia="宋体"/>
                <w:sz w:val="18"/>
              </w:rPr>
              <w:t>邹弘辉 (组长)</w:t>
            </w:r>
          </w:p>
        </w:tc>
        <w:tc>
          <w:tcPr>
            <w:tcW w:type="dxa" w:w="2340"/>
            <w:shd w:fill="F4F7FA"/>
            <w:vAlign w:val="center"/>
          </w:tcPr>
          <w:p>
            <w:r>
              <w:rPr>
                <w:rFonts w:ascii="宋体" w:hAnsi="宋体" w:eastAsia="宋体"/>
                <w:sz w:val="18"/>
              </w:rPr>
              <w:t>20241120335 / 软件工程</w:t>
            </w:r>
          </w:p>
        </w:tc>
        <w:tc>
          <w:tcPr>
            <w:tcW w:type="dxa" w:w="2340"/>
            <w:shd w:fill="F4F7FA"/>
            <w:vAlign w:val="center"/>
          </w:tcPr>
          <w:p>
            <w:r>
              <w:rPr>
                <w:rFonts w:ascii="宋体" w:hAnsi="宋体" w:eastAsia="宋体"/>
                <w:sz w:val="18"/>
              </w:rPr>
              <w:t>全流程系统架构设计、并发爬虫编写、六级漏斗清洗去重引擎研发、双图VLM严格质检算法设计、标注生成流水线搭建、最终报告撰写与答辩PPT制作</w:t>
            </w:r>
          </w:p>
        </w:tc>
        <w:tc>
          <w:tcPr>
            <w:tcW w:type="dxa" w:w="2340"/>
            <w:shd w:fill="F4F7FA"/>
            <w:vAlign w:val="center"/>
          </w:tcPr>
          <w:p>
            <w:r>
              <w:rPr>
                <w:rFonts w:ascii="宋体" w:hAnsi="宋体" w:eastAsia="宋体"/>
                <w:sz w:val="18"/>
              </w:rPr>
              <w:t>40%</w:t>
            </w:r>
          </w:p>
        </w:tc>
      </w:tr>
      <w:tr>
        <w:tc>
          <w:tcPr>
            <w:tcW w:type="dxa" w:w="2340"/>
            <w:shd w:fill="FFFFFF"/>
            <w:vAlign w:val="center"/>
          </w:tcPr>
          <w:p>
            <w:r>
              <w:rPr>
                <w:rFonts w:ascii="宋体" w:hAnsi="宋体" w:eastAsia="宋体"/>
                <w:sz w:val="18"/>
              </w:rPr>
              <w:t>组员 A</w:t>
            </w:r>
          </w:p>
        </w:tc>
        <w:tc>
          <w:tcPr>
            <w:tcW w:type="dxa" w:w="2340"/>
            <w:shd w:fill="FFFFFF"/>
            <w:vAlign w:val="center"/>
          </w:tcPr>
          <w:p>
            <w:r>
              <w:rPr>
                <w:rFonts w:ascii="宋体" w:hAnsi="宋体" w:eastAsia="宋体"/>
                <w:sz w:val="18"/>
              </w:rPr>
              <w:t>20241120xxx / 软件工程</w:t>
            </w:r>
          </w:p>
        </w:tc>
        <w:tc>
          <w:tcPr>
            <w:tcW w:type="dxa" w:w="2340"/>
            <w:shd w:fill="FFFFFF"/>
            <w:vAlign w:val="center"/>
          </w:tcPr>
          <w:p>
            <w:r>
              <w:rPr>
                <w:rFonts w:ascii="宋体" w:hAnsi="宋体" w:eastAsia="宋体"/>
                <w:sz w:val="18"/>
              </w:rPr>
              <w:t>阶段一博物馆与多源数据采集、原始元数据台账整理、数据合法性与版权协议核查、初筛坏图剔除日志登记</w:t>
            </w:r>
          </w:p>
        </w:tc>
        <w:tc>
          <w:tcPr>
            <w:tcW w:type="dxa" w:w="2340"/>
            <w:shd w:fill="FFFFFF"/>
            <w:vAlign w:val="center"/>
          </w:tcPr>
          <w:p>
            <w:r>
              <w:rPr>
                <w:rFonts w:ascii="宋体" w:hAnsi="宋体" w:eastAsia="宋体"/>
                <w:sz w:val="18"/>
              </w:rPr>
              <w:t>20%</w:t>
            </w:r>
          </w:p>
        </w:tc>
      </w:tr>
      <w:tr>
        <w:tc>
          <w:tcPr>
            <w:tcW w:type="dxa" w:w="2340"/>
            <w:shd w:fill="F4F7FA"/>
            <w:vAlign w:val="center"/>
          </w:tcPr>
          <w:p>
            <w:r>
              <w:rPr>
                <w:rFonts w:ascii="宋体" w:hAnsi="宋体" w:eastAsia="宋体"/>
                <w:sz w:val="18"/>
              </w:rPr>
              <w:t>组员 B</w:t>
            </w:r>
          </w:p>
        </w:tc>
        <w:tc>
          <w:tcPr>
            <w:tcW w:type="dxa" w:w="2340"/>
            <w:shd w:fill="F4F7FA"/>
            <w:vAlign w:val="center"/>
          </w:tcPr>
          <w:p>
            <w:r>
              <w:rPr>
                <w:rFonts w:ascii="宋体" w:hAnsi="宋体" w:eastAsia="宋体"/>
                <w:sz w:val="18"/>
              </w:rPr>
              <w:t>20241120xxx / 软件工程</w:t>
            </w:r>
          </w:p>
        </w:tc>
        <w:tc>
          <w:tcPr>
            <w:tcW w:type="dxa" w:w="2340"/>
            <w:shd w:fill="F4F7FA"/>
            <w:vAlign w:val="center"/>
          </w:tcPr>
          <w:p>
            <w:r>
              <w:rPr>
                <w:rFonts w:ascii="宋体" w:hAnsi="宋体" w:eastAsia="宋体"/>
                <w:sz w:val="18"/>
              </w:rPr>
              <w:t>阶段三主体抠图标准化流水线测试、Rembg几何合规性校验(bbox与居中度)、第一轮人工质量评审小程序打标复核</w:t>
            </w:r>
          </w:p>
        </w:tc>
        <w:tc>
          <w:tcPr>
            <w:tcW w:type="dxa" w:w="2340"/>
            <w:shd w:fill="F4F7FA"/>
            <w:vAlign w:val="center"/>
          </w:tcPr>
          <w:p>
            <w:r>
              <w:rPr>
                <w:rFonts w:ascii="宋体" w:hAnsi="宋体" w:eastAsia="宋体"/>
                <w:sz w:val="18"/>
              </w:rPr>
              <w:t>20%</w:t>
            </w:r>
          </w:p>
        </w:tc>
      </w:tr>
      <w:tr>
        <w:tc>
          <w:tcPr>
            <w:tcW w:type="dxa" w:w="2340"/>
            <w:shd w:fill="FFFFFF"/>
            <w:vAlign w:val="center"/>
          </w:tcPr>
          <w:p>
            <w:r>
              <w:rPr>
                <w:rFonts w:ascii="宋体" w:hAnsi="宋体" w:eastAsia="宋体"/>
                <w:sz w:val="18"/>
              </w:rPr>
              <w:t>组员 C</w:t>
            </w:r>
          </w:p>
        </w:tc>
        <w:tc>
          <w:tcPr>
            <w:tcW w:type="dxa" w:w="2340"/>
            <w:shd w:fill="FFFFFF"/>
            <w:vAlign w:val="center"/>
          </w:tcPr>
          <w:p>
            <w:r>
              <w:rPr>
                <w:rFonts w:ascii="宋体" w:hAnsi="宋体" w:eastAsia="宋体"/>
                <w:sz w:val="18"/>
              </w:rPr>
              <w:t>20241120xxx / 软件工程</w:t>
            </w:r>
          </w:p>
        </w:tc>
        <w:tc>
          <w:tcPr>
            <w:tcW w:type="dxa" w:w="2340"/>
            <w:shd w:fill="FFFFFF"/>
            <w:vAlign w:val="center"/>
          </w:tcPr>
          <w:p>
            <w:r>
              <w:rPr>
                <w:rFonts w:ascii="宋体" w:hAnsi="宋体" w:eastAsia="宋体"/>
                <w:sz w:val="18"/>
              </w:rPr>
              <w:t>第二轮双盲人工独立复审打标、95张缺陷样本病因实证分析核对、生成提示词词表归一化校验与格式质检</w:t>
            </w:r>
          </w:p>
        </w:tc>
        <w:tc>
          <w:tcPr>
            <w:tcW w:type="dxa" w:w="2340"/>
            <w:shd w:fill="FFFFFF"/>
            <w:vAlign w:val="center"/>
          </w:tcPr>
          <w:p>
            <w:r>
              <w:rPr>
                <w:rFonts w:ascii="宋体" w:hAnsi="宋体" w:eastAsia="宋体"/>
                <w:sz w:val="18"/>
              </w:rPr>
              <w:t>20%</w:t>
            </w:r>
          </w:p>
        </w:tc>
      </w:tr>
    </w:tbl>
    <w:p>
      <w:pPr>
        <w:spacing w:before="80" w:after="200"/>
        <w:jc w:val="center"/>
      </w:pPr>
      <w:r>
        <w:rPr>
          <w:rFonts w:ascii="宋体" w:hAnsi="宋体" w:eastAsia="宋体"/>
          <w:b/>
          <w:color w:val="3C3C3C"/>
          <w:sz w:val="19"/>
        </w:rPr>
        <w:t>表 7-1  计算机视觉期中项目团队分工与贡献比例表</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