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Agentic 问数项目（skill+自主规划）技术架构沉淀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技术方案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本技术方案围绕“</w:t>
      </w:r>
      <w:r>
        <w:rPr>
          <w:rFonts w:eastAsia="等线" w:ascii="Arial" w:cs="Arial" w:hAnsi="Arial"/>
          <w:b w:val="true"/>
          <w:sz w:val="22"/>
        </w:rPr>
        <w:t>Agent + Skills</w:t>
      </w:r>
      <w:r>
        <w:rPr>
          <w:rFonts w:eastAsia="等线" w:ascii="Arial" w:cs="Arial" w:hAnsi="Arial"/>
          <w:sz w:val="22"/>
        </w:rPr>
        <w:t>”的智能系统架构展开，核心目标是构建一套具备</w:t>
      </w:r>
      <w:r>
        <w:rPr>
          <w:rFonts w:eastAsia="等线" w:ascii="Arial" w:cs="Arial" w:hAnsi="Arial"/>
          <w:b w:val="true"/>
          <w:sz w:val="22"/>
        </w:rPr>
        <w:t>自主规划、工具调用、状态感知与任务闭环能力</w:t>
      </w:r>
      <w:r>
        <w:rPr>
          <w:rFonts w:eastAsia="等线" w:ascii="Arial" w:cs="Arial" w:hAnsi="Arial"/>
          <w:sz w:val="22"/>
        </w:rPr>
        <w:t>的通用智能体系统。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并且，在长期上可以将该架构复用到其他智能体开发上，在智能体统一管理平台上开发、登记、运维全量Agent。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Agent的内部架构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Agentic 问数项目整体能力基于 </w:t>
      </w:r>
      <w:r>
        <w:rPr>
          <w:rFonts w:eastAsia="等线" w:ascii="Arial" w:cs="Arial" w:hAnsi="Arial"/>
          <w:b w:val="true"/>
          <w:sz w:val="22"/>
        </w:rPr>
        <w:t>Agent Harness 智能体能力承载框架</w:t>
      </w:r>
      <w:r>
        <w:rPr>
          <w:rFonts w:eastAsia="等线" w:ascii="Arial" w:cs="Arial" w:hAnsi="Arial"/>
          <w:sz w:val="22"/>
        </w:rPr>
        <w:t>统一构建与运行。Harness并非单一独立技术组件，而是整套赋能大模型LLM具备专业化数据分析、智能问数、自主任务执行能力的核心基础框架，也是串联智能体决策规划、多Agent协同调度、技能工具调用、记忆状态管理、数据资产访问的统一工程化载体。该框架核心作用是</w:t>
      </w:r>
      <w:r>
        <w:rPr>
          <w:rFonts w:eastAsia="等线" w:ascii="Arial" w:cs="Arial" w:hAnsi="Arial"/>
          <w:b w:val="true"/>
          <w:sz w:val="22"/>
        </w:rPr>
        <w:t>把大模型原生语义理解能力，转化为企业级可用、可管控、可落地、可演进的专业问数与数据分析实操能力</w:t>
      </w:r>
      <w:r>
        <w:rPr>
          <w:rFonts w:eastAsia="等线" w:ascii="Arial" w:cs="Arial" w:hAnsi="Arial"/>
          <w:sz w:val="22"/>
        </w:rPr>
        <w:t>，解决纯大模型仅靠Prompt无法落地生产、工具调用无序、取数适配混乱、任务执行不可控、运维迭代无依托等核心问题。通过Harness框架标准化封装各类底层技术能力与数据取数能力，让LLM专注于自然语言意图理解与业务推理，由Harness全权负责任务拆解、流程调度、工具路由、数据适配、执行管控与状态闭环，为后续分层架构落地、多类型取数技能适配、智能体长期运维迭代提供统一底座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整体架构采用分层解耦设计，顶部的</w:t>
      </w:r>
      <w:r>
        <w:rPr>
          <w:rFonts w:eastAsia="等线" w:ascii="Arial" w:cs="Arial" w:hAnsi="Arial"/>
          <w:b w:val="true"/>
          <w:sz w:val="22"/>
        </w:rPr>
        <w:t>呈现层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网关层</w:t>
      </w:r>
      <w:r>
        <w:rPr>
          <w:rFonts w:eastAsia="等线" w:ascii="Arial" w:cs="Arial" w:hAnsi="Arial"/>
          <w:sz w:val="22"/>
        </w:rPr>
        <w:t>，底部的</w:t>
      </w:r>
      <w:r>
        <w:rPr>
          <w:rFonts w:eastAsia="等线" w:ascii="Arial" w:cs="Arial" w:hAnsi="Arial"/>
          <w:b w:val="true"/>
          <w:sz w:val="22"/>
        </w:rPr>
        <w:t>基建层</w:t>
      </w:r>
      <w:r>
        <w:rPr>
          <w:rFonts w:eastAsia="等线" w:ascii="Arial" w:cs="Arial" w:hAnsi="Arial"/>
          <w:sz w:val="22"/>
        </w:rPr>
        <w:t>主要复用现有的IT架构体系。中间的</w:t>
      </w:r>
      <w:r>
        <w:rPr>
          <w:rFonts w:eastAsia="等线" w:ascii="Arial" w:cs="Arial" w:hAnsi="Arial"/>
          <w:b w:val="true"/>
          <w:sz w:val="22"/>
        </w:rPr>
        <w:t>Agent定义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A2A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技能&amp;工具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记忆层</w:t>
      </w:r>
      <w:r>
        <w:rPr>
          <w:rFonts w:eastAsia="等线" w:ascii="Arial" w:cs="Arial" w:hAnsi="Arial"/>
          <w:sz w:val="22"/>
        </w:rPr>
        <w:t>，是构建Agent的核心技术架构。</w:t>
      </w:r>
      <w:r>
        <w:rPr>
          <w:rFonts w:eastAsia="等线" w:ascii="Arial" w:cs="Arial" w:hAnsi="Arial"/>
          <w:b w:val="true"/>
          <w:sz w:val="22"/>
        </w:rPr>
        <w:t>数据资产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运维后台</w:t>
      </w:r>
      <w:r>
        <w:rPr>
          <w:rFonts w:eastAsia="等线" w:ascii="Arial" w:cs="Arial" w:hAnsi="Arial"/>
          <w:sz w:val="22"/>
        </w:rPr>
        <w:t>，用于确保智能体能够长期服务用户。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技术方案，方案借鉴了 </w:t>
      </w:r>
      <w:r>
        <w:rPr>
          <w:rFonts w:eastAsia="等线" w:ascii="Arial" w:cs="Arial" w:hAnsi="Arial"/>
          <w:b w:val="true"/>
          <w:sz w:val="22"/>
        </w:rPr>
        <w:t>ReAct（Reason + Act）</w:t>
      </w:r>
      <w:r>
        <w:rPr>
          <w:rFonts w:eastAsia="等线" w:ascii="Arial" w:cs="Arial" w:hAnsi="Arial"/>
          <w:sz w:val="22"/>
        </w:rPr>
        <w:t xml:space="preserve"> 框架，将推理过程与工具执行过程显式解耦；同时参考 </w:t>
      </w:r>
      <w:r>
        <w:rPr>
          <w:rFonts w:eastAsia="等线" w:ascii="Arial" w:cs="Arial" w:hAnsi="Arial"/>
          <w:b w:val="true"/>
          <w:sz w:val="22"/>
        </w:rPr>
        <w:t>Toolformer</w:t>
      </w:r>
      <w:r>
        <w:rPr>
          <w:rFonts w:eastAsia="等线" w:ascii="Arial" w:cs="Arial" w:hAnsi="Arial"/>
          <w:sz w:val="22"/>
        </w:rPr>
        <w:t xml:space="preserve"> 的“模型驱动工具调用”思想，将工具能力作为模型外延的一部分；在系统级设计上，融合 </w:t>
      </w:r>
      <w:r>
        <w:rPr>
          <w:rFonts w:eastAsia="等线" w:ascii="Arial" w:cs="Arial" w:hAnsi="Arial"/>
          <w:b w:val="true"/>
          <w:sz w:val="22"/>
        </w:rPr>
        <w:t>Planning-Acting-Reflecting</w:t>
      </w:r>
      <w:r>
        <w:rPr>
          <w:rFonts w:eastAsia="等线" w:ascii="Arial" w:cs="Arial" w:hAnsi="Arial"/>
          <w:sz w:val="22"/>
        </w:rPr>
        <w:t xml:space="preserve"> 的循环式 Agent 模型，使 Agent 具备持续优化与自我修正能力。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具体而言：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Agent定义：</w:t>
      </w:r>
      <w:r>
        <w:rPr>
          <w:rFonts w:eastAsia="等线" w:ascii="Arial" w:cs="Arial" w:hAnsi="Arial"/>
          <w:sz w:val="22"/>
        </w:rPr>
        <w:t>Agent Core，负责高层决策与任务拆解，通过 Prompt 或中间表示（如 JSON Plan / DSL）输出结构化行动计划；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技能&amp;工具：</w:t>
      </w:r>
      <w:r>
        <w:rPr>
          <w:rFonts w:eastAsia="等线" w:ascii="Arial" w:cs="Arial" w:hAnsi="Arial"/>
          <w:sz w:val="22"/>
        </w:rPr>
        <w:t>Skill &amp; Tool Layer ，以插件化方式封装外部能力（API、脚本、模型、数据</w:t>
      </w:r>
      <w:r>
        <w:rPr>
          <w:rFonts w:eastAsia="等线" w:ascii="Arial" w:cs="Arial" w:hAnsi="Arial"/>
          <w:sz w:val="22"/>
        </w:rPr>
        <w:t>库、知识库</w:t>
      </w:r>
      <w:r>
        <w:rPr>
          <w:rFonts w:eastAsia="等线" w:ascii="Arial" w:cs="Arial" w:hAnsi="Arial"/>
          <w:sz w:val="22"/>
        </w:rPr>
        <w:t>等），提供统一的调用协议，从而形成Tool；</w:t>
      </w:r>
      <w:r>
        <w:rPr>
          <w:rFonts w:eastAsia="等线" w:ascii="Arial" w:cs="Arial" w:hAnsi="Arial"/>
          <w:sz w:val="22"/>
        </w:rPr>
        <w:t>基于单个或多个Tool，再进行进一步的技能描述总结形成 Skill，以此支持Agent在自主规划行动中在适当的场景调用合适的Tool。</w:t>
      </w:r>
      <w:r>
        <w:rPr>
          <w:rFonts w:eastAsia="等线" w:ascii="Arial" w:cs="Arial" w:hAnsi="Arial"/>
          <w:b w:val="true"/>
          <w:sz w:val="22"/>
        </w:rPr>
        <w:t>Skill是harness框架的核心，承载了指导LLM推理决策、执行动作的知识，是对于LLM在此框架下的核心约束，让LLM能够根据业务规范执行取数、计算、分析等一系列动作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特别地，在取数技能中，NL2SQL/NL2METRICS/ONTOLOGY等能力，需要根据客户数据条件选择，都可以适配。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如果客户跟帆软深度合作，我们有自带的取数技能，NL2DSL即可。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如果客户数据都在帆软以外的数仓，有指标层，可以顺着指标层去找数据NL2METRICS。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如果客户数据没有指标层，但是整理好了hive宽表，就用NL2SQL。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如果客户宽表也没有，都是散落在小表里面，就要采用ONTOLOGY做好对象关联，通过找对象的方式找数据。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A2A</w:t>
      </w:r>
      <w:r>
        <w:rPr>
          <w:rFonts w:eastAsia="等线" w:ascii="Arial" w:cs="Arial" w:hAnsi="Arial"/>
          <w:sz w:val="22"/>
        </w:rPr>
        <w:t>：Orchestrator 作为调度中枢，负责计划执行、错误捕获、重试策略与流程控制；同时也可以作为主Agent，将任务分发给其他专业领域的Sub-Agent进行专业处理，从而尽可能规避对话窗口上下文带来的约束。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记忆层</w:t>
      </w:r>
      <w:r>
        <w:rPr>
          <w:rFonts w:eastAsia="等线" w:ascii="Arial" w:cs="Arial" w:hAnsi="Arial"/>
          <w:sz w:val="22"/>
        </w:rPr>
        <w:t>：Memory &amp; State Layer 负责短期上下文、长期知识与执行状态的管理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整个方案在工程上强调 </w:t>
      </w:r>
      <w:r>
        <w:rPr>
          <w:rFonts w:eastAsia="等线" w:ascii="Arial" w:cs="Arial" w:hAnsi="Arial"/>
          <w:b w:val="true"/>
          <w:sz w:val="22"/>
        </w:rPr>
        <w:t>可扩展性、可控性与可观测性</w:t>
      </w:r>
      <w:r>
        <w:rPr>
          <w:rFonts w:eastAsia="等线" w:ascii="Arial" w:cs="Arial" w:hAnsi="Arial"/>
          <w:sz w:val="22"/>
        </w:rPr>
        <w:t>，避免将 Agent 简单等同于“自动化 Prompt”，而是构建一个可演进的智能系统。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智能体统一管理平台的架构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95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在完成领域DataAgent的试点落地之后，我们还希望在长期上能够开发落地更多Agent。因此，会需要一个统一的Agent管理平台，提供可复用的Agent构建资源、构建技术、运维能力。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向上复用</w:t>
      </w:r>
      <w:r>
        <w:rPr>
          <w:rFonts w:eastAsia="等线" w:ascii="Arial" w:cs="Arial" w:hAnsi="Arial"/>
          <w:sz w:val="22"/>
        </w:rPr>
        <w:t>：构建上层应用时，可以逐层向下调用和组装下一层已封装好的能力（预制Agent、原子技能、数据知识、技术组件）。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向下沉淀</w:t>
      </w:r>
      <w:r>
        <w:rPr>
          <w:rFonts w:eastAsia="等线" w:ascii="Arial" w:cs="Arial" w:hAnsi="Arial"/>
          <w:sz w:val="22"/>
        </w:rPr>
        <w:t>：通用的技术、数据、知识和能力被不断标准化、服务化，沉淀到底层，成为可供全平台复用的资产。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具体而言：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智能应用中心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业务场景的封装与价值出口</w:t>
      </w:r>
      <w:r>
        <w:rPr>
          <w:rFonts w:eastAsia="等线" w:ascii="Arial" w:cs="Arial" w:hAnsi="Arial"/>
          <w:sz w:val="22"/>
        </w:rPr>
        <w:t>。这一层定义了Agent最终要解决的</w:t>
      </w:r>
      <w:r>
        <w:rPr>
          <w:rFonts w:eastAsia="等线" w:ascii="Arial" w:cs="Arial" w:hAnsi="Arial"/>
          <w:b w:val="true"/>
          <w:sz w:val="22"/>
        </w:rPr>
        <w:t>具体业务问题</w:t>
      </w:r>
      <w:r>
        <w:rPr>
          <w:rFonts w:eastAsia="等线" w:ascii="Arial" w:cs="Arial" w:hAnsi="Arial"/>
          <w:sz w:val="22"/>
        </w:rPr>
        <w:t>（如“核保助手”、“经营助理”）。面向</w:t>
      </w:r>
      <w:r>
        <w:rPr>
          <w:rFonts w:eastAsia="等线" w:ascii="Arial" w:cs="Arial" w:hAnsi="Arial"/>
          <w:b w:val="true"/>
          <w:sz w:val="22"/>
        </w:rPr>
        <w:t>明确的业务场景和需求定义</w:t>
      </w:r>
      <w:r>
        <w:rPr>
          <w:rFonts w:eastAsia="等线" w:ascii="Arial" w:cs="Arial" w:hAnsi="Arial"/>
          <w:sz w:val="22"/>
        </w:rPr>
        <w:t>，来明确Agent服务的具体业务场景。当需要开发一个新的业务应用时，通过业务分析定义清楚智能应用，明确Agent在里面需要扮演的角色、交互流程和成功标准。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多智能体协同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复杂任务的分解与协作范式</w:t>
      </w:r>
      <w:r>
        <w:rPr>
          <w:rFonts w:eastAsia="等线" w:ascii="Arial" w:cs="Arial" w:hAnsi="Arial"/>
          <w:sz w:val="22"/>
        </w:rPr>
        <w:t>。提供了处理复杂任务的</w:t>
      </w:r>
      <w:r>
        <w:rPr>
          <w:rFonts w:eastAsia="等线" w:ascii="Arial" w:cs="Arial" w:hAnsi="Arial"/>
          <w:b w:val="true"/>
          <w:sz w:val="22"/>
        </w:rPr>
        <w:t>标准协作模式</w:t>
      </w:r>
      <w:r>
        <w:rPr>
          <w:rFonts w:eastAsia="等线" w:ascii="Arial" w:cs="Arial" w:hAnsi="Arial"/>
          <w:sz w:val="22"/>
        </w:rPr>
        <w:t>（如主从调度、工作流编排、群聊）。当单个Agent无法完成任务（单智能体往往只保留当前领域内的知识）时，开发者可以复用成熟的</w:t>
      </w:r>
      <w:r>
        <w:rPr>
          <w:rFonts w:eastAsia="等线" w:ascii="Arial" w:cs="Arial" w:hAnsi="Arial"/>
          <w:b w:val="true"/>
          <w:sz w:val="22"/>
        </w:rPr>
        <w:t>协同框架和角色模板</w:t>
      </w:r>
      <w:r>
        <w:rPr>
          <w:rFonts w:eastAsia="等线" w:ascii="Arial" w:cs="Arial" w:hAnsi="Arial"/>
          <w:sz w:val="22"/>
        </w:rPr>
        <w:t>，组建一个智能体团队来解决问题。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智能体市场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领域专业能力的预制件。</w:t>
      </w:r>
      <w:r>
        <w:rPr>
          <w:rFonts w:eastAsia="等线" w:ascii="Arial" w:cs="Arial" w:hAnsi="Arial"/>
          <w:sz w:val="22"/>
        </w:rPr>
        <w:t>随着智能应用项目做得越来越多，我们会积累越来越多的领域Agent专家，当业务需求和这些预制Agent高度匹配时，可以直接调用或进行少量微调后投入使用，实现了</w:t>
      </w:r>
      <w:r>
        <w:rPr>
          <w:rFonts w:eastAsia="等线" w:ascii="Arial" w:cs="Arial" w:hAnsi="Arial"/>
          <w:b w:val="true"/>
          <w:sz w:val="22"/>
        </w:rPr>
        <w:t>开箱即用的领域智能</w:t>
      </w:r>
      <w:r>
        <w:rPr>
          <w:rFonts w:eastAsia="等线" w:ascii="Arial" w:cs="Arial" w:hAnsi="Arial"/>
          <w:sz w:val="22"/>
        </w:rPr>
        <w:t>。在复杂智能应用中，我们可以调用多个智能体协同来提供服务。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技能市场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原子化能力的工具箱</w:t>
      </w:r>
      <w:r>
        <w:rPr>
          <w:rFonts w:eastAsia="等线" w:ascii="Arial" w:cs="Arial" w:hAnsi="Arial"/>
          <w:sz w:val="22"/>
        </w:rPr>
        <w:t>。将Agent所需的各种能力（如“生成SQL”、“解读文档”、“配置图表”）封装成标准的“技能”。构建新Agent时，开发者无需重新编写这些通用或专业的功能代码，只需像在超市选购商品一样，从技能市场中组合搭配所需的能力，从而</w:t>
      </w:r>
      <w:r>
        <w:rPr>
          <w:rFonts w:eastAsia="等线" w:ascii="Arial" w:cs="Arial" w:hAnsi="Arial"/>
          <w:b w:val="true"/>
          <w:sz w:val="22"/>
        </w:rPr>
        <w:t>快速装配出一个具备复合技能的Agent</w:t>
      </w:r>
      <w:r>
        <w:rPr>
          <w:rFonts w:eastAsia="等线" w:ascii="Arial" w:cs="Arial" w:hAnsi="Arial"/>
          <w:sz w:val="22"/>
        </w:rPr>
        <w:t>，实现Agent的灵活构建。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资产基座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统一、可信的数据与知识供给源</w:t>
      </w:r>
      <w:r>
        <w:rPr>
          <w:rFonts w:eastAsia="等线" w:ascii="Arial" w:cs="Arial" w:hAnsi="Arial"/>
          <w:sz w:val="22"/>
        </w:rPr>
        <w:t>。解决了Agent的“信息输入”问题。通过“数据服务MCP”和“知识服务MCP”等标准化接口，为所有上层Agent提供</w:t>
      </w:r>
      <w:r>
        <w:rPr>
          <w:rFonts w:eastAsia="等线" w:ascii="Arial" w:cs="Arial" w:hAnsi="Arial"/>
          <w:b w:val="true"/>
          <w:sz w:val="22"/>
        </w:rPr>
        <w:t>一致、安全、高效的数据与知识访问能力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数据资产</w:t>
      </w:r>
      <w:r>
        <w:rPr>
          <w:rFonts w:eastAsia="等线" w:ascii="Arial" w:cs="Arial" w:hAnsi="Arial"/>
          <w:sz w:val="22"/>
        </w:rPr>
        <w:t>：确保Agent计算时使用的指标、口径是统一且准确的。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知识资产</w:t>
      </w:r>
      <w:r>
        <w:rPr>
          <w:rFonts w:eastAsia="等线" w:ascii="Arial" w:cs="Arial" w:hAnsi="Arial"/>
          <w:sz w:val="22"/>
        </w:rPr>
        <w:t>：确保Agent回答问题时依据的规章制度、业务方案是最新且权威的。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任何新构建的Agent都能立即获得整个企业沉淀的数据和知识支持，无需各自为战地对接数据源，实现了 </w:t>
      </w:r>
      <w:r>
        <w:rPr>
          <w:rFonts w:eastAsia="等线" w:ascii="Arial" w:cs="Arial" w:hAnsi="Arial"/>
          <w:b w:val="true"/>
          <w:sz w:val="22"/>
        </w:rPr>
        <w:t>“信息一次治理，处处复用”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智能体统一运维服务平台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全生命周期的监控、管理与优化中心</w:t>
      </w:r>
      <w:r>
        <w:rPr>
          <w:rFonts w:eastAsia="等线" w:ascii="Arial" w:cs="Arial" w:hAnsi="Arial"/>
          <w:sz w:val="22"/>
        </w:rPr>
        <w:t>。提供了</w:t>
      </w:r>
      <w:r>
        <w:rPr>
          <w:rFonts w:eastAsia="等线" w:ascii="Arial" w:cs="Arial" w:hAnsi="Arial"/>
          <w:b w:val="true"/>
          <w:sz w:val="22"/>
        </w:rPr>
        <w:t>管控能力与洞察能力的复用</w:t>
      </w:r>
      <w:r>
        <w:rPr>
          <w:rFonts w:eastAsia="等线" w:ascii="Arial" w:cs="Arial" w:hAnsi="Arial"/>
          <w:sz w:val="22"/>
        </w:rPr>
        <w:t>。它像一套神经系统，贯穿所有层级，实现对Agent从开发、部署到运行、优化全过程的统一观测和管理。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对构建者</w:t>
      </w:r>
      <w:r>
        <w:rPr>
          <w:rFonts w:eastAsia="等线" w:ascii="Arial" w:cs="Arial" w:hAnsi="Arial"/>
          <w:sz w:val="22"/>
        </w:rPr>
        <w:t>：复用其监控和测试能力，可以快速评估新Agent或新技能的性能与质量。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对运营者</w:t>
      </w:r>
      <w:r>
        <w:rPr>
          <w:rFonts w:eastAsia="等线" w:ascii="Arial" w:cs="Arial" w:hAnsi="Arial"/>
          <w:sz w:val="22"/>
        </w:rPr>
        <w:t>：复用其分析工具（如对话分析、用户行为分析），可以持续优化所有Agent的表现和用户体验。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确保基于本平台构建的所有Agent都能被有效管理、持续改进，并保障其运行的安全、稳定与合规。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技术底座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稳定、弹性的基础设施与公共技术能力</w:t>
      </w:r>
      <w:r>
        <w:rPr>
          <w:rFonts w:eastAsia="等线" w:ascii="Arial" w:cs="Arial" w:hAnsi="Arial"/>
          <w:sz w:val="22"/>
        </w:rPr>
        <w:t>。这是</w:t>
      </w:r>
      <w:r>
        <w:rPr>
          <w:rFonts w:eastAsia="等线" w:ascii="Arial" w:cs="Arial" w:hAnsi="Arial"/>
          <w:b w:val="true"/>
          <w:sz w:val="22"/>
        </w:rPr>
        <w:t>技术组件和环境的复用</w:t>
      </w:r>
      <w:r>
        <w:rPr>
          <w:rFonts w:eastAsia="等线" w:ascii="Arial" w:cs="Arial" w:hAnsi="Arial"/>
          <w:sz w:val="22"/>
        </w:rPr>
        <w:t>。提供了Agent运行所必需的一切后台支撑，如算力调度（k8s/docker）、模型调用（大模型服务）、信息检索（向量库）、缓存与持久化等。开发者构建Agent时，完全无需关心服务器、网络、模型部署等底层复杂性，可以聚焦于业务逻辑本身。这保证了所有Agent都建立在</w:t>
      </w:r>
      <w:r>
        <w:rPr>
          <w:rFonts w:eastAsia="等线" w:ascii="Arial" w:cs="Arial" w:hAnsi="Arial"/>
          <w:b w:val="true"/>
          <w:sz w:val="22"/>
        </w:rPr>
        <w:t>统一、可靠、可扩展的技术平台上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关键技术难点与技术路径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在实现层面，建议采取 </w:t>
      </w:r>
      <w:r>
        <w:rPr>
          <w:rFonts w:eastAsia="等线" w:ascii="Arial" w:cs="Arial" w:hAnsi="Arial"/>
          <w:b w:val="true"/>
          <w:sz w:val="22"/>
        </w:rPr>
        <w:t>“最小可行 Agent（MVA）→ 能力增强 → 规模化演进”</w:t>
      </w:r>
      <w:r>
        <w:rPr>
          <w:rFonts w:eastAsia="等线" w:ascii="Arial" w:cs="Arial" w:hAnsi="Arial"/>
          <w:sz w:val="22"/>
        </w:rPr>
        <w:t xml:space="preserve"> 的渐进式策略，根据业务场景依次验证、突破Agent技术难点。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Harness 约束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Harness框架并非任由大模型自由发挥推理生成，而是通过</w:t>
      </w:r>
      <w:r>
        <w:rPr>
          <w:rFonts w:eastAsia="等线" w:ascii="Arial" w:cs="Arial" w:hAnsi="Arial"/>
          <w:b w:val="true"/>
          <w:sz w:val="22"/>
        </w:rPr>
        <w:t>三层结构化约束体系</w:t>
      </w:r>
      <w:r>
        <w:rPr>
          <w:rFonts w:eastAsia="等线" w:ascii="Arial" w:cs="Arial" w:hAnsi="Arial"/>
          <w:sz w:val="22"/>
        </w:rPr>
        <w:t>，对Agent的思考逻辑、决策路径、动作执行全流程进行强规束与强管控，从技术根源杜绝大模型幻觉、随意调用工具、偏离业务分析逻辑等问题，规束 Agent 严格遵循企业标准化业务分析范式、数据口径规范与合规作业流程开展智能问数与数据分析工作，确保每一次 Agent 问答、取数、分析动作均有据可依、有规可循、过程可控。具体通过业务语义层、分析知识层、工具能力层三层逐级约束、层层兜底，实现Agent行为全链路标准化管控。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第一，业务语义层约束：固化统一数据口径与资产映射规则。</w:t>
            </w:r>
            <w:r>
              <w:rPr>
                <w:rFonts w:eastAsia="等线" w:ascii="Arial" w:cs="Arial" w:hAnsi="Arial"/>
                <w:sz w:val="22"/>
              </w:rPr>
              <w:t>该层级为Agent数据分析划定“数据合规边界”，是所有取数与计算动作的基础刚性约束，不允许大模型自主臆造指标、自定义口径、随意关联数据表。技术实现上，在Harness框架内统一录入并固化企业全域标准化指标定义、原子指标与衍生指标计算逻辑、指标上下级血缘关联关系、指标与数仓表/宽表/散表的唯一绑定映射关系（</w:t>
            </w:r>
            <w:r>
              <w:rPr>
                <w:rFonts w:eastAsia="等线" w:ascii="Arial" w:cs="Arial" w:hAnsi="Arial"/>
                <w:b w:val="true"/>
                <w:sz w:val="22"/>
              </w:rPr>
              <w:t>数据语义层，下文细表</w:t>
            </w:r>
            <w:r>
              <w:rPr>
                <w:rFonts w:eastAsia="等线" w:ascii="Arial" w:cs="Arial" w:hAnsi="Arial"/>
                <w:sz w:val="22"/>
              </w:rPr>
              <w:t>）。Agent所有问答和取数需求，必须先匹配业务语义层既定标准资产，仅能调用已登记、已审核、已确权的合法指标与数据表；若用户表述存在歧义或口径模糊，Harness会强制触发消歧与校准流程，禁止Agent私自编造SQL、自定义统计规则或使用非合规数据资源，从源头保证所有数据分析底座口径统一、数据可信、来源合规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第二，分析知识层约束：标准化业务分析链路与推理作业逻辑。</w:t>
            </w:r>
            <w:r>
              <w:rPr>
                <w:rFonts w:eastAsia="等线" w:ascii="Arial" w:cs="Arial" w:hAnsi="Arial"/>
                <w:sz w:val="22"/>
              </w:rPr>
              <w:t>该层级为Agent划定“思考路径边界”，规束Agent必须按照企业既定业务分析方法论开展长链路自主分析，杜绝无序推理、无效拆解、逻辑跳步等问题。技术实现上，在 Harness 框架内沉淀</w:t>
            </w:r>
            <w:r>
              <w:rPr>
                <w:rFonts w:eastAsia="等线" w:ascii="Arial" w:cs="Arial" w:hAnsi="Arial"/>
                <w:b w:val="true"/>
                <w:sz w:val="22"/>
              </w:rPr>
              <w:t>行业及业务专属标准分析知识库</w:t>
            </w:r>
            <w:r>
              <w:rPr>
                <w:rFonts w:eastAsia="等线" w:ascii="Arial" w:cs="Arial" w:hAnsi="Arial"/>
                <w:sz w:val="22"/>
              </w:rPr>
              <w:t>，固化常见经营分析、业绩归因、指标异动排查等典型业务问题的标准分析思路、拆解步骤、研判逻辑与复盘范式。Agent面对复杂分析需求时，不得由大模型自由发散思考，必须严格匹配分析知识层预设的标准化分析链路，按照既定步骤完成需求拆解、维度下钻、对比分析、原因定位、结论输出；该层级是Agent串联业务语义层与工具能力层的核心“大脑”，指导Agent在正确的分析节点调用对应工具，确保整体分析流程贴合业务人员常规作业逻辑，分析过程专业、步骤完整、结论贴合业务诉求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>第三，工具能力层约束：标准化数据分析基建与可控调用规范。</w:t>
            </w:r>
            <w:r>
              <w:rPr>
                <w:rFonts w:eastAsia="等线" w:ascii="Arial" w:cs="Arial" w:hAnsi="Arial"/>
                <w:sz w:val="22"/>
              </w:rPr>
              <w:t>该层级为Agent划定“动作执行边界”，规范Agent所有实操行为仅能在授权工具范围内执行，杜绝违规操作、无效调用、数字幻觉等异常行为。技术实现上，在Harness框架内统一构建Agent数据分析专属能力基建，对所有实操工具进行插件化注册、权限管控、参数校验与执行兜底，核心包含</w:t>
            </w:r>
            <w:r>
              <w:rPr>
                <w:rFonts w:eastAsia="等线" w:ascii="Arial" w:cs="Arial" w:hAnsi="Arial"/>
                <w:b w:val="true"/>
                <w:sz w:val="22"/>
              </w:rPr>
              <w:t>多场景适配取数工具、指标自动归因拆解工具、可视化图表生成工具</w:t>
            </w:r>
            <w:r>
              <w:rPr>
                <w:rFonts w:eastAsia="等线" w:ascii="Arial" w:cs="Arial" w:hAnsi="Arial"/>
                <w:sz w:val="22"/>
              </w:rPr>
              <w:t>等。Agent所有取数、计算、绘图、归因、报告生成等动作，均通过Harness授权的标准化工具触发，且每次工具调用需经过参数合法性校验、权限校验、执行失败重试管控，确保所有数据分析实操动作可控、可观测、可回溯、可运维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Agentic RAG检索（数据资产/经验资产 MCP）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用于技能-工具-资产的调用检索过程。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技术元素示例：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529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3720"/>
        <w:gridCol w:w="255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技术难点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核心挑战描述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可行技术方案方向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多源异构数据集成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数据资产分散于数据库、文档、APIs等不同源头，格式各异，难以统一检索和理解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</w:t>
            </w:r>
            <w:r>
              <w:rPr>
                <w:rFonts w:eastAsia="等线" w:ascii="Arial" w:cs="Arial" w:hAnsi="Arial"/>
                <w:b w:val="true"/>
                <w:sz w:val="22"/>
              </w:rPr>
              <w:t>语义层</w:t>
            </w:r>
            <w:r>
              <w:rPr>
                <w:rFonts w:eastAsia="等线" w:ascii="Arial" w:cs="Arial" w:hAnsi="Arial"/>
                <w:sz w:val="22"/>
              </w:rPr>
              <w:t>与</w:t>
            </w:r>
            <w:r>
              <w:rPr>
                <w:rFonts w:eastAsia="等线" w:ascii="Arial" w:cs="Arial" w:hAnsi="Arial"/>
                <w:b w:val="true"/>
                <w:sz w:val="22"/>
              </w:rPr>
              <w:t>统一元数据建模</w:t>
            </w:r>
            <w:r>
              <w:rPr>
                <w:rFonts w:eastAsia="等线" w:ascii="Arial" w:cs="Arial" w:hAnsi="Arial"/>
                <w:sz w:val="22"/>
              </w:rPr>
              <w:t>，利用</w:t>
            </w:r>
            <w:r>
              <w:rPr>
                <w:rFonts w:eastAsia="等线" w:ascii="Arial" w:cs="Arial" w:hAnsi="Arial"/>
                <w:b w:val="true"/>
                <w:sz w:val="22"/>
              </w:rPr>
              <w:t>MCP等标准化协议</w:t>
            </w:r>
            <w:r>
              <w:rPr>
                <w:rFonts w:eastAsia="等线" w:ascii="Arial" w:cs="Arial" w:hAnsi="Arial"/>
                <w:sz w:val="22"/>
              </w:rPr>
              <w:t>封装异构数据源为统一工具。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检索质量与精度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简单向量检索易受关键词不匹配、语义漂移影响，返回无关或冗余信息，导致答案不准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</w:t>
            </w:r>
            <w:r>
              <w:rPr>
                <w:rFonts w:eastAsia="等线" w:ascii="Arial" w:cs="Arial" w:hAnsi="Arial"/>
                <w:b w:val="true"/>
                <w:sz w:val="22"/>
              </w:rPr>
              <w:t>混合检索策略</w:t>
            </w:r>
            <w:r>
              <w:rPr>
                <w:rFonts w:eastAsia="等线" w:ascii="Arial" w:cs="Arial" w:hAnsi="Arial"/>
                <w:sz w:val="22"/>
              </w:rPr>
              <w:t>与</w:t>
            </w:r>
            <w:r>
              <w:rPr>
                <w:rFonts w:eastAsia="等线" w:ascii="Arial" w:cs="Arial" w:hAnsi="Arial"/>
                <w:b w:val="true"/>
                <w:sz w:val="22"/>
              </w:rPr>
              <w:t>重排序技术</w:t>
            </w:r>
            <w:r>
              <w:rPr>
                <w:rFonts w:eastAsia="等线" w:ascii="Arial" w:cs="Arial" w:hAnsi="Arial"/>
                <w:sz w:val="22"/>
              </w:rPr>
              <w:t>，实施</w:t>
            </w:r>
            <w:r>
              <w:rPr>
                <w:rFonts w:eastAsia="等线" w:ascii="Arial" w:cs="Arial" w:hAnsi="Arial"/>
                <w:b w:val="true"/>
                <w:sz w:val="22"/>
              </w:rPr>
              <w:t>多轮迭代检索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复杂查询处理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用户问题涉及多步骤推理、需综合多个信息源时，传统一次性检索机制难以应对。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</w:t>
            </w:r>
            <w:r>
              <w:rPr>
                <w:rFonts w:eastAsia="等线" w:ascii="Arial" w:cs="Arial" w:hAnsi="Arial"/>
                <w:b w:val="true"/>
                <w:sz w:val="22"/>
              </w:rPr>
              <w:t>AI代理规划与路由机制</w:t>
            </w:r>
            <w:r>
              <w:rPr>
                <w:rFonts w:eastAsia="等线" w:ascii="Arial" w:cs="Arial" w:hAnsi="Arial"/>
                <w:sz w:val="22"/>
              </w:rPr>
              <w:t>，设计</w:t>
            </w:r>
            <w:r>
              <w:rPr>
                <w:rFonts w:eastAsia="等线" w:ascii="Arial" w:cs="Arial" w:hAnsi="Arial"/>
                <w:b w:val="true"/>
                <w:sz w:val="22"/>
              </w:rPr>
              <w:t>多代理协作架构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工具链可解释与可验证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代理自动调用工具（如执行SQL、搜索）时，若决策过程不透明，难以调试和信任。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要求代理提供</w:t>
            </w:r>
            <w:r>
              <w:rPr>
                <w:rFonts w:eastAsia="等线" w:ascii="Arial" w:cs="Arial" w:hAnsi="Arial"/>
                <w:b w:val="true"/>
                <w:sz w:val="22"/>
              </w:rPr>
              <w:t>决策思维链</w:t>
            </w:r>
            <w:r>
              <w:rPr>
                <w:rFonts w:eastAsia="等线" w:ascii="Arial" w:cs="Arial" w:hAnsi="Arial"/>
                <w:sz w:val="22"/>
              </w:rPr>
              <w:t>，工具调用结果需有</w:t>
            </w:r>
            <w:r>
              <w:rPr>
                <w:rFonts w:eastAsia="等线" w:ascii="Arial" w:cs="Arial" w:hAnsi="Arial"/>
                <w:b w:val="true"/>
                <w:sz w:val="22"/>
              </w:rPr>
              <w:t>清晰来源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系统性能与可控性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代理的复杂决策和多轮迭代会增加延迟和成本，且可能陷入死循环或异常行为。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</w:t>
            </w:r>
            <w:r>
              <w:rPr>
                <w:rFonts w:eastAsia="等线" w:ascii="Arial" w:cs="Arial" w:hAnsi="Arial"/>
                <w:b w:val="true"/>
                <w:sz w:val="22"/>
              </w:rPr>
              <w:t>明确的执行边界</w:t>
            </w:r>
            <w:r>
              <w:rPr>
                <w:rFonts w:eastAsia="等线" w:ascii="Arial" w:cs="Arial" w:hAnsi="Arial"/>
                <w:sz w:val="22"/>
              </w:rPr>
              <w:t>，采用</w:t>
            </w:r>
            <w:r>
              <w:rPr>
                <w:rFonts w:eastAsia="等线" w:ascii="Arial" w:cs="Arial" w:hAnsi="Arial"/>
                <w:b w:val="true"/>
                <w:sz w:val="22"/>
              </w:rPr>
              <w:t>组件化与可插拔架构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Agent智能规划（Plan模式）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用于复杂任务场景（无现成看板，需要探索取数；用户数据用途偏研究方向）。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技术元素示例：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38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060"/>
        <w:gridCol w:w="357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技术难点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核心挑战描述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可行技术方案方向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规划幻觉与可执行性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大模型可能生成“看起来合理”但无法执行的步骤，例如调用不存在的工具（幻觉Tool）或使用过于抽象的描述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定义强约束的Plan Schema（JSON格式），明确每个步骤的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step_id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action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tool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params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depends_on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output</w:t>
            </w:r>
            <w:r>
              <w:rPr>
                <w:rFonts w:eastAsia="等线" w:ascii="Arial" w:cs="Arial" w:hAnsi="Arial"/>
                <w:sz w:val="22"/>
              </w:rPr>
              <w:t>等字段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引入独立的</w:t>
            </w:r>
            <w:r>
              <w:rPr>
                <w:rFonts w:eastAsia="等线" w:ascii="Arial" w:cs="Arial" w:hAnsi="Arial"/>
                <w:b w:val="true"/>
                <w:sz w:val="22"/>
              </w:rPr>
              <w:t>Plan校验器</w:t>
            </w:r>
            <w:r>
              <w:rPr>
                <w:rFonts w:eastAsia="等线" w:ascii="Arial" w:cs="Arial" w:hAnsi="Arial"/>
                <w:sz w:val="22"/>
              </w:rPr>
              <w:t>，在生成后、执行前进行多重检查，包括工具是否存在、依赖步骤是否有效、是否存在循环依赖等，可将失败率从30-50%降至5%以下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依赖关系管理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步骤间如果存在隐式依赖，执行顺序容易出错。必须显式定义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depends_on</w:t>
            </w:r>
            <w:r>
              <w:rPr>
                <w:rFonts w:eastAsia="等线" w:ascii="Arial" w:cs="Arial" w:hAnsi="Arial"/>
                <w:sz w:val="22"/>
              </w:rPr>
              <w:t>等关系，并利用拓扑排序来确保执行序列的正确性，同时要避免循环依赖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采用类似</w:t>
            </w:r>
            <w:r>
              <w:rPr>
                <w:rFonts w:eastAsia="等线" w:ascii="Arial" w:cs="Arial" w:hAnsi="Arial"/>
                <w:b w:val="true"/>
                <w:sz w:val="22"/>
              </w:rPr>
              <w:t>分层任务网络（HTN）</w:t>
            </w:r>
            <w:r>
              <w:rPr>
                <w:rFonts w:eastAsia="等线" w:ascii="Arial" w:cs="Arial" w:hAnsi="Arial"/>
                <w:sz w:val="22"/>
              </w:rPr>
              <w:t xml:space="preserve"> 的思想。将任务视为一个可分解的树状结构。先由Planner生成高层的、阶段性的粗粒度计划（如“数据准备”、“模型训练”、“报告生成”），每个阶段再由一个执行器（如ReAct Agent）在内部进行细粒度的工具调用和滚动规划。这有效控制了单次规划的复杂度。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规划粒度的把控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规划太粗，则单步无法执行；规划太细，则会导致步骤爆炸、执行效率低下。需要在“人类可理解的大纲”和“机器可执行的指令”间找到平衡。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为了提升规划质量，让模型具备“前瞻”和“评估”能力。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思维树（Tree of Thoughts, ToT）</w:t>
            </w:r>
            <w:r>
              <w:rPr>
                <w:rFonts w:eastAsia="等线" w:ascii="Arial" w:cs="Arial" w:hAnsi="Arial"/>
                <w:sz w:val="22"/>
              </w:rPr>
              <w:t>：让模型针对一个任务点生成多条可能的后续路径，并进行评分，选择最优分支展开，以此替代单一的推理链，减少错误积累。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自我投影（Self-Projection）</w:t>
            </w:r>
            <w:r>
              <w:rPr>
                <w:rFonts w:eastAsia="等线" w:ascii="Arial" w:cs="Arial" w:hAnsi="Arial"/>
                <w:sz w:val="22"/>
              </w:rPr>
              <w:t>：在规划阶段即让模型预测“如果按此计划执行，可能会遇到什么问题？”，从而提前发现并修正依赖冲突、工具不可用等潜在风险。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动态重规划能力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真实世界充满变数，计划执行时可能因工具失败、约束冲突（如预算超支）或用户追加需求而中断。Planner必须具备根据反馈实时调整剩余计划的能力，而非推倒重来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Planner生成初始任务图 → Executor按依赖关系执行 → Reviewer（或PRM）检查每一步结果 → 若失败或偏离目标，则触发Planner进行局部重规划。这种设计使Agent具备了动态纠偏和持续优化的能力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Main/Sub-Agent工作流编排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用于上下文管理切分，减少Agent因为上下文信息过多导致注意力偏移的问题。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技术元素示例：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933950" cy="5353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设计为先</w:t>
      </w:r>
      <w:r>
        <w:rPr>
          <w:rFonts w:eastAsia="等线" w:ascii="Arial" w:cs="Arial" w:hAnsi="Arial"/>
          <w:sz w:val="22"/>
        </w:rPr>
        <w:t>：采用成熟的主从架构模式，明确各智能体的职责边界。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显式优于隐式</w:t>
      </w:r>
      <w:r>
        <w:rPr>
          <w:rFonts w:eastAsia="等线" w:ascii="Arial" w:cs="Arial" w:hAnsi="Arial"/>
          <w:sz w:val="22"/>
        </w:rPr>
        <w:t>：通过显式调用和基于文件的通信等方式，提高工作流的可控性和可预测性。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上下文为王</w:t>
      </w:r>
      <w:r>
        <w:rPr>
          <w:rFonts w:eastAsia="等线" w:ascii="Arial" w:cs="Arial" w:hAnsi="Arial"/>
          <w:sz w:val="22"/>
        </w:rPr>
        <w:t>：实施精细的上下文管理策略，确保关键信息在智能体间有效流动。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为生产而建</w:t>
      </w:r>
      <w:r>
        <w:rPr>
          <w:rFonts w:eastAsia="等线" w:ascii="Arial" w:cs="Arial" w:hAnsi="Arial"/>
          <w:sz w:val="22"/>
        </w:rPr>
        <w:t>：投入建设强大的可观测性、安全的部署策略和鲁棒的错误处理机制。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060"/>
        <w:gridCol w:w="357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技术难点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核心挑战描述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可行技术方案方向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架构与编排：</w:t>
            </w:r>
            <w:r>
              <w:rPr>
                <w:rFonts w:eastAsia="等线" w:ascii="Arial" w:cs="Arial" w:hAnsi="Arial"/>
                <w:sz w:val="22"/>
              </w:rPr>
              <w:t>主从协同，任务分解与结果合成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主智能体成为性能瓶颈；任务分解粒度难以把握；智能体间协调逻辑复杂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显式调用（如@agent-name）替代自动路由；采用“Orchestrator-Worker”等成熟模式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上下文管理</w:t>
            </w:r>
            <w:r>
              <w:rPr>
                <w:rFonts w:eastAsia="等线" w:ascii="Arial" w:cs="Arial" w:hAnsi="Arial"/>
                <w:sz w:val="22"/>
              </w:rPr>
              <w:t>：保持全局一致性，同时实现关注点分离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上下文分裂（各Agent信息不一致）；长对话中的上下文窗口限制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主智能体维护结构化决策记录；采用压缩、转移、隔离等上下文工程策略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长短期Memory</w:t>
      </w:r>
      <w:bookmarkEnd w:id="8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用于Agent在用户对话上下文中记住历史对话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用于Agent记住用户的对话偏好和习惯，降低沟通成本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用于领域专家Agent的知识经验管理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技术元素示例：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229100" cy="64293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060"/>
        <w:gridCol w:w="357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技术难点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核心挑战描述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可行技术方案方向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记忆准确性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记忆噪声干扰、长期依赖建模困难、信息提取与检索的相关性不足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</w:t>
            </w:r>
            <w:r>
              <w:rPr>
                <w:rFonts w:eastAsia="等线" w:ascii="Arial" w:cs="Arial" w:hAnsi="Arial"/>
                <w:b w:val="true"/>
                <w:sz w:val="22"/>
              </w:rPr>
              <w:t>分层记忆架构</w:t>
            </w:r>
            <w:r>
              <w:rPr>
                <w:rFonts w:eastAsia="等线" w:ascii="Arial" w:cs="Arial" w:hAnsi="Arial"/>
                <w:sz w:val="22"/>
              </w:rPr>
              <w:t>；利用LLM进行</w:t>
            </w:r>
            <w:r>
              <w:rPr>
                <w:rFonts w:eastAsia="等线" w:ascii="Arial" w:cs="Arial" w:hAnsi="Arial"/>
                <w:b w:val="true"/>
                <w:sz w:val="22"/>
              </w:rPr>
              <w:t>记忆的提炼与摘要</w:t>
            </w:r>
            <w:r>
              <w:rPr>
                <w:rFonts w:eastAsia="等线" w:ascii="Arial" w:cs="Arial" w:hAnsi="Arial"/>
                <w:sz w:val="22"/>
              </w:rPr>
              <w:t>；结合</w:t>
            </w:r>
            <w:r>
              <w:rPr>
                <w:rFonts w:eastAsia="等线" w:ascii="Arial" w:cs="Arial" w:hAnsi="Arial"/>
                <w:b w:val="true"/>
                <w:sz w:val="22"/>
              </w:rPr>
              <w:t>向量检索与重排序器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系统效率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长上下文导致的Token成本与延迟飙升、海量记忆检索速度慢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</w:t>
            </w:r>
            <w:r>
              <w:rPr>
                <w:rFonts w:eastAsia="等线" w:ascii="Arial" w:cs="Arial" w:hAnsi="Arial"/>
                <w:b w:val="true"/>
                <w:sz w:val="22"/>
              </w:rPr>
              <w:t>上下文工程策略</w:t>
            </w:r>
            <w:r>
              <w:rPr>
                <w:rFonts w:eastAsia="等线" w:ascii="Arial" w:cs="Arial" w:hAnsi="Arial"/>
                <w:sz w:val="22"/>
              </w:rPr>
              <w:t>（缩减、卸载、隔离）；使用</w:t>
            </w:r>
            <w:r>
              <w:rPr>
                <w:rFonts w:eastAsia="等线" w:ascii="Arial" w:cs="Arial" w:hAnsi="Arial"/>
                <w:b w:val="true"/>
                <w:sz w:val="22"/>
              </w:rPr>
              <w:t>高效向量索引</w:t>
            </w:r>
            <w:r>
              <w:rPr>
                <w:rFonts w:eastAsia="等线" w:ascii="Arial" w:cs="Arial" w:hAnsi="Arial"/>
                <w:sz w:val="22"/>
              </w:rPr>
              <w:t>；对记忆进行</w:t>
            </w:r>
            <w:r>
              <w:rPr>
                <w:rFonts w:eastAsia="等线" w:ascii="Arial" w:cs="Arial" w:hAnsi="Arial"/>
                <w:b w:val="true"/>
                <w:sz w:val="22"/>
              </w:rPr>
              <w:t>优先级过滤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隐私与安全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敏感用户数据的持久化存储风险、记忆被恶意注入或篡改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</w:t>
            </w:r>
            <w:r>
              <w:rPr>
                <w:rFonts w:eastAsia="等线" w:ascii="Arial" w:cs="Arial" w:hAnsi="Arial"/>
                <w:b w:val="true"/>
                <w:sz w:val="22"/>
              </w:rPr>
              <w:t>数据加密与访问控制</w:t>
            </w:r>
            <w:r>
              <w:rPr>
                <w:rFonts w:eastAsia="等线" w:ascii="Arial" w:cs="Arial" w:hAnsi="Arial"/>
                <w:sz w:val="22"/>
              </w:rPr>
              <w:t>机制；设计</w:t>
            </w:r>
            <w:r>
              <w:rPr>
                <w:rFonts w:eastAsia="等线" w:ascii="Arial" w:cs="Arial" w:hAnsi="Arial"/>
                <w:b w:val="true"/>
                <w:sz w:val="22"/>
              </w:rPr>
              <w:t>记忆更新与遗忘机制</w:t>
            </w:r>
            <w:r>
              <w:rPr>
                <w:rFonts w:eastAsia="等线" w:ascii="Arial" w:cs="Arial" w:hAnsi="Arial"/>
                <w:sz w:val="22"/>
              </w:rPr>
              <w:t>；实现</w:t>
            </w:r>
            <w:r>
              <w:rPr>
                <w:rFonts w:eastAsia="等线" w:ascii="Arial" w:cs="Arial" w:hAnsi="Arial"/>
                <w:b w:val="true"/>
                <w:sz w:val="22"/>
              </w:rPr>
              <w:t>用户数据透明化管理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记忆系统的核心价值在于提供准确、相关的信息以辅助决策。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记忆的提取与沉淀</w:t>
      </w:r>
      <w:r>
        <w:rPr>
          <w:rFonts w:eastAsia="等线" w:ascii="Arial" w:cs="Arial" w:hAnsi="Arial"/>
          <w:sz w:val="22"/>
        </w:rPr>
        <w:t>：最大的挑战是如何从海量、冗杂的短期对话历史中，精准提取出值得长期沉淀的结构化知识。若简单地存储原始对话，会迅速引入大量噪声。可行的方案是引入一个由LLM驱动的</w:t>
      </w:r>
      <w:r>
        <w:rPr>
          <w:rFonts w:eastAsia="等线" w:ascii="Arial" w:cs="Arial" w:hAnsi="Arial"/>
          <w:b w:val="true"/>
          <w:sz w:val="22"/>
        </w:rPr>
        <w:t>记忆提炼管道</w:t>
      </w:r>
      <w:r>
        <w:rPr>
          <w:rFonts w:eastAsia="等线" w:ascii="Arial" w:cs="Arial" w:hAnsi="Arial"/>
          <w:sz w:val="22"/>
        </w:rPr>
        <w:t xml:space="preserve">。这个管道会根据预设的规则，自动分析对话内容，识别出用户偏好、关键事实等有效信息，并将其转化为简洁的结构化数据（例如，将用户语句“我一般用支付宝”提取为 </w:t>
      </w:r>
      <w:r>
        <w:rPr>
          <w:rFonts w:eastAsia="Consolas" w:ascii="Consolas" w:cs="Consolas" w:hAnsi="Consolas"/>
          <w:sz w:val="22"/>
          <w:shd w:fill="EFF0F1"/>
        </w:rPr>
        <w:t>{"type": "payment_preference", "content": "Alipay"}</w:t>
      </w:r>
      <w:r>
        <w:rPr>
          <w:rFonts w:eastAsia="等线" w:ascii="Arial" w:cs="Arial" w:hAnsi="Arial"/>
          <w:sz w:val="22"/>
        </w:rPr>
        <w:t>），再存入长期记忆库。这从源头提升了记忆质量。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记忆的检索与关联</w:t>
      </w:r>
      <w:r>
        <w:rPr>
          <w:rFonts w:eastAsia="等线" w:ascii="Arial" w:cs="Arial" w:hAnsi="Arial"/>
          <w:sz w:val="22"/>
        </w:rPr>
        <w:t>：在响应时，如何从长期记忆中快速找到最相关的信息至关重要。单一的向量相似度检索可能返回无关内容。解决方案是</w:t>
      </w:r>
      <w:r>
        <w:rPr>
          <w:rFonts w:eastAsia="等线" w:ascii="Arial" w:cs="Arial" w:hAnsi="Arial"/>
          <w:b w:val="true"/>
          <w:sz w:val="22"/>
        </w:rPr>
        <w:t>混合检索策略</w:t>
      </w:r>
      <w:r>
        <w:rPr>
          <w:rFonts w:eastAsia="等线" w:ascii="Arial" w:cs="Arial" w:hAnsi="Arial"/>
          <w:sz w:val="22"/>
        </w:rPr>
        <w:t>。首先通过向量数据库进行语义相似性初筛，然后引入</w:t>
      </w:r>
      <w:r>
        <w:rPr>
          <w:rFonts w:eastAsia="等线" w:ascii="Arial" w:cs="Arial" w:hAnsi="Arial"/>
          <w:b w:val="true"/>
          <w:sz w:val="22"/>
        </w:rPr>
        <w:t>重排序器</w:t>
      </w:r>
      <w:r>
        <w:rPr>
          <w:rFonts w:eastAsia="等线" w:ascii="Arial" w:cs="Arial" w:hAnsi="Arial"/>
          <w:sz w:val="22"/>
        </w:rPr>
        <w:t xml:space="preserve"> 对初步结果进行精细排序，提升TOP结果的精准度。对于复杂查询，可结合</w:t>
      </w:r>
      <w:r>
        <w:rPr>
          <w:rFonts w:eastAsia="等线" w:ascii="Arial" w:cs="Arial" w:hAnsi="Arial"/>
          <w:b w:val="true"/>
          <w:sz w:val="22"/>
        </w:rPr>
        <w:t>图数据库</w:t>
      </w:r>
      <w:r>
        <w:rPr>
          <w:rFonts w:eastAsia="等线" w:ascii="Arial" w:cs="Arial" w:hAnsi="Arial"/>
          <w:sz w:val="22"/>
        </w:rPr>
        <w:t>存储实体关系，辅助进行关系推理。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记忆的更新与遗忘</w:t>
      </w:r>
      <w:r>
        <w:rPr>
          <w:rFonts w:eastAsia="等线" w:ascii="Arial" w:cs="Arial" w:hAnsi="Arial"/>
          <w:sz w:val="22"/>
        </w:rPr>
        <w:t>：记忆系统不是只进不出的“黑洞”，需要具备类似人脑的</w:t>
      </w:r>
      <w:r>
        <w:rPr>
          <w:rFonts w:eastAsia="等线" w:ascii="Arial" w:cs="Arial" w:hAnsi="Arial"/>
          <w:b w:val="true"/>
          <w:sz w:val="22"/>
        </w:rPr>
        <w:t>巩固与遗忘能力</w:t>
      </w:r>
      <w:r>
        <w:rPr>
          <w:rFonts w:eastAsia="等线" w:ascii="Arial" w:cs="Arial" w:hAnsi="Arial"/>
          <w:sz w:val="22"/>
        </w:rPr>
        <w:t>。技术方案包括为记忆设置生命周期（TTL），自动清理过期信息；或基于记忆的使用频率、新旧程度动态调整其权重，实现</w:t>
      </w:r>
      <w:r>
        <w:rPr>
          <w:rFonts w:eastAsia="等线" w:ascii="Arial" w:cs="Arial" w:hAnsi="Arial"/>
          <w:b w:val="true"/>
          <w:sz w:val="22"/>
        </w:rPr>
        <w:t>自适应记忆更新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如何在资源有限条件下实现高效记忆操作，是工程落地的关键。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上下文窗口的智能管理</w:t>
      </w:r>
      <w:r>
        <w:rPr>
          <w:rFonts w:eastAsia="等线" w:ascii="Arial" w:cs="Arial" w:hAnsi="Arial"/>
          <w:sz w:val="22"/>
        </w:rPr>
        <w:t>：直接将越来越长的对话历史全部塞给LLM，会导致成本与延迟失控。解决方案是</w:t>
      </w:r>
      <w:r>
        <w:rPr>
          <w:rFonts w:eastAsia="等线" w:ascii="Arial" w:cs="Arial" w:hAnsi="Arial"/>
          <w:b w:val="true"/>
          <w:sz w:val="22"/>
        </w:rPr>
        <w:t>上下文工程</w:t>
      </w:r>
      <w:r>
        <w:rPr>
          <w:rFonts w:eastAsia="等线" w:ascii="Arial" w:cs="Arial" w:hAnsi="Arial"/>
          <w:sz w:val="22"/>
        </w:rPr>
        <w:t>，主要包括三类策略：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缩减</w:t>
      </w:r>
      <w:r>
        <w:rPr>
          <w:rFonts w:eastAsia="等线" w:ascii="Arial" w:cs="Arial" w:hAnsi="Arial"/>
          <w:sz w:val="22"/>
        </w:rPr>
        <w:t>：在对话达到一定长度时，触发</w:t>
      </w:r>
      <w:r>
        <w:rPr>
          <w:rFonts w:eastAsia="等线" w:ascii="Arial" w:cs="Arial" w:hAnsi="Arial"/>
          <w:b w:val="true"/>
          <w:sz w:val="22"/>
        </w:rPr>
        <w:t>自动摘要</w:t>
      </w:r>
      <w:r>
        <w:rPr>
          <w:rFonts w:eastAsia="等线" w:ascii="Arial" w:cs="Arial" w:hAnsi="Arial"/>
          <w:sz w:val="22"/>
        </w:rPr>
        <w:t>，将过往详细历史压缩成一段精简的背景信息，保留核心要点。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卸载</w:t>
      </w:r>
      <w:r>
        <w:rPr>
          <w:rFonts w:eastAsia="等线" w:ascii="Arial" w:cs="Arial" w:hAnsi="Arial"/>
          <w:sz w:val="22"/>
        </w:rPr>
        <w:t>：将大段文本、文件等完整内容存储在外部数据库（如Redis），在对话上下文中只保留其引用指针（如文件ID），需用时再按需加载，实现</w:t>
      </w:r>
      <w:r>
        <w:rPr>
          <w:rFonts w:eastAsia="等线" w:ascii="Arial" w:cs="Arial" w:hAnsi="Arial"/>
          <w:b w:val="true"/>
          <w:sz w:val="22"/>
        </w:rPr>
        <w:t>无损的成本控制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隔离</w:t>
      </w:r>
      <w:r>
        <w:rPr>
          <w:rFonts w:eastAsia="等线" w:ascii="Arial" w:cs="Arial" w:hAnsi="Arial"/>
          <w:sz w:val="22"/>
        </w:rPr>
        <w:t>：在复杂任务中，采用多智能体协作，将不同子任务的上下文隔离，减轻单个Agent的负载。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海量记忆的快速检索</w:t>
      </w:r>
      <w:r>
        <w:rPr>
          <w:rFonts w:eastAsia="等线" w:ascii="Arial" w:cs="Arial" w:hAnsi="Arial"/>
          <w:sz w:val="22"/>
        </w:rPr>
        <w:t>：随着用户量和使用时长增加，长期记忆库会变得极其庞大。采用高性能的</w:t>
      </w:r>
      <w:r>
        <w:rPr>
          <w:rFonts w:eastAsia="等线" w:ascii="Arial" w:cs="Arial" w:hAnsi="Arial"/>
          <w:b w:val="true"/>
          <w:sz w:val="22"/>
        </w:rPr>
        <w:t>向量数据库</w:t>
      </w:r>
      <w:r>
        <w:rPr>
          <w:rFonts w:eastAsia="等线" w:ascii="Arial" w:cs="Arial" w:hAnsi="Arial"/>
          <w:sz w:val="22"/>
        </w:rPr>
        <w:t>，并为其配置高效的索引算法（如HNSW），是保证毫秒级检索速度的关键。在检索前，先根据用户ID、时间范围、记忆类型等元数据进行</w:t>
      </w:r>
      <w:r>
        <w:rPr>
          <w:rFonts w:eastAsia="等线" w:ascii="Arial" w:cs="Arial" w:hAnsi="Arial"/>
          <w:b w:val="true"/>
          <w:sz w:val="22"/>
        </w:rPr>
        <w:t>预过滤</w:t>
      </w:r>
      <w:r>
        <w:rPr>
          <w:rFonts w:eastAsia="等线" w:ascii="Arial" w:cs="Arial" w:hAnsi="Arial"/>
          <w:sz w:val="22"/>
        </w:rPr>
        <w:t>，也能显著缩小搜索范围，提升效率。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ChatBI技能集成（问数、归因、找报表、Text-to-Sql、图表生成、图表解读）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DataAgent的核心数据能力层，基于已有ChatBI的技术进一步延伸。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对于Data Tool而言，在已有的</w:t>
      </w:r>
      <w:r>
        <w:rPr>
          <w:rFonts w:eastAsia="等线" w:ascii="Arial" w:cs="Arial" w:hAnsi="Arial"/>
          <w:b w:val="true"/>
          <w:sz w:val="22"/>
        </w:rPr>
        <w:t>问数、仪表板找数、仪表板检索</w:t>
      </w:r>
      <w:r>
        <w:rPr>
          <w:rFonts w:eastAsia="等线" w:ascii="Arial" w:cs="Arial" w:hAnsi="Arial"/>
          <w:sz w:val="22"/>
        </w:rPr>
        <w:t>等的chatbi能力进行进一步的打磨和封装成tool，对使用者来说比原来更有智能感。例如，原来问数中消歧是非常影响交互和最后回答精度的问题，该过程如果交给agent来判断（通过智能消歧或与用户对话等方式）可以极大消除一些消歧带来的精度损耗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1485"/>
        <w:gridCol w:w="1485"/>
        <w:gridCol w:w="1560"/>
        <w:gridCol w:w="186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技能说明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可配置项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服务场景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当Agent无法准确理解用户需求时，主动提出澄清问题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用户原始输入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缺失的参数列表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歧义信息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澄清问题列表、建议答案选项、澄清后的参数、用户确认信息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澄清问题数量限制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失败处理策略（默认选择一个、停止工作）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支持自然语言查询数据，返回结构化数据结果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自然语言查询语句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结构化数据表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数据统计信息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查询执行信息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数据源标识：可选数据集、指标模型（含指标维度集）、分析主题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快速数据查询，如一线销售问数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根据用户需求自动生成Python/SQL代码，支持数据处理、统计分析、机器学习模型等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代码需求描述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生成的代码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执行结果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复杂数据查询，涉及二次计算/复杂占比/多轮，如目标达成率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自动生成结构化分析报告，包含摘要、详细分析、结论和建议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分析数据或查询结果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结构化图文报告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报告模板（可选，使用预设模板）  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报告标题和背景（可选）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数据来源：发布仪表板、可选始数据集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固定报告，如经营分析报告、财务分析报告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智能选择最合适的图表类型，自动生成可视化图表，支持交互式展示/下钻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自然语言需求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图表显示偏好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交互式图表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颜色方案  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图表大小和分辨率  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是否显示数据标签  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交互功能（下钻/筛选/导出）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快速数据查询，如一线销售问数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检索和推荐现有的仪表板、报告、图表等资产，返回结构化数据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搜索query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资产类型（可选）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结构化数据表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资产ID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资产范围（门户发布的仪表板配置项）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快速数据查询，如一线销售问数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数据语义层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NL2DSL 技术实现路径：客户与帆软深度合作场景</w:t>
      </w:r>
      <w:bookmarkEnd w:id="11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底层底座依托</w:t>
      </w:r>
      <w:r>
        <w:rPr>
          <w:rFonts w:eastAsia="等线" w:ascii="Arial" w:cs="Arial" w:hAnsi="Arial"/>
          <w:sz w:val="22"/>
        </w:rPr>
        <w:t>：基于帆软自有数据引擎、数据集引擎与自定义 DSL 查询语法，复用帆软平台内置元数据、数据权限、行列权限体系，无需对接外部数仓接口。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语义层适配</w:t>
      </w:r>
      <w:r>
        <w:rPr>
          <w:rFonts w:eastAsia="等线" w:ascii="Arial" w:cs="Arial" w:hAnsi="Arial"/>
          <w:sz w:val="22"/>
        </w:rPr>
        <w:t>：构建行业 / 业务专属 Prompt 模板，将用户自然语言问句，解析映射为帆软平台标准业务语义标签、报表主题、维度指标。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DSL 语法生成</w:t>
      </w:r>
      <w:r>
        <w:rPr>
          <w:rFonts w:eastAsia="等线" w:ascii="Arial" w:cs="Arial" w:hAnsi="Arial"/>
          <w:sz w:val="22"/>
        </w:rPr>
        <w:t>：大模型将解析后的业务语义，自动翻译成帆软专属</w:t>
      </w:r>
      <w:r>
        <w:rPr>
          <w:rFonts w:eastAsia="等线" w:ascii="Arial" w:cs="Arial" w:hAnsi="Arial"/>
          <w:b w:val="true"/>
          <w:sz w:val="22"/>
        </w:rPr>
        <w:t>查询 DSL 语句</w:t>
      </w:r>
      <w:r>
        <w:rPr>
          <w:rFonts w:eastAsia="等线" w:ascii="Arial" w:cs="Arial" w:hAnsi="Arial"/>
          <w:sz w:val="22"/>
        </w:rPr>
        <w:t>，包含维度筛选、聚合计算、排序、过滤、联动等逻辑。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引擎执行与返回</w:t>
      </w:r>
      <w:r>
        <w:rPr>
          <w:rFonts w:eastAsia="等线" w:ascii="Arial" w:cs="Arial" w:hAnsi="Arial"/>
          <w:sz w:val="22"/>
        </w:rPr>
        <w:t>：生成的 DSL 直接调用帆软底层查询引擎，走平台原生计算、缓存、权限校验链路，返回结构化数据与可视化结果，全程复用帆软权限、调度、缓存机制。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闭环优化</w:t>
      </w:r>
      <w:r>
        <w:rPr>
          <w:rFonts w:eastAsia="等线" w:ascii="Arial" w:cs="Arial" w:hAnsi="Arial"/>
          <w:sz w:val="22"/>
        </w:rPr>
        <w:t>：依托FineBI、历史取数话术做微调迭代，提升同业务场景下语义匹配与 DSL 生成准确率。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NL2METRICS 技术实现路径：外部数仓 + 已有指标层场景</w:t>
      </w:r>
      <w:bookmarkEnd w:id="1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指标层元数据接入</w:t>
      </w:r>
      <w:r>
        <w:rPr>
          <w:rFonts w:eastAsia="等线" w:ascii="Arial" w:cs="Arial" w:hAnsi="Arial"/>
          <w:sz w:val="22"/>
        </w:rPr>
        <w:t>：对接客户外部数仓指标平台，全量同步</w:t>
      </w:r>
      <w:r>
        <w:rPr>
          <w:rFonts w:eastAsia="等线" w:ascii="Arial" w:cs="Arial" w:hAnsi="Arial"/>
          <w:b w:val="true"/>
          <w:sz w:val="22"/>
        </w:rPr>
        <w:t>业务指标、原子指标、衍生指标、维度、指标口径、业务含义、所属主题域、关联数据表</w:t>
      </w:r>
      <w:r>
        <w:rPr>
          <w:rFonts w:eastAsia="等线" w:ascii="Arial" w:cs="Arial" w:hAnsi="Arial"/>
          <w:sz w:val="22"/>
        </w:rPr>
        <w:t>等元数据，构建指标知识库。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语义意图解析</w:t>
      </w:r>
      <w:r>
        <w:rPr>
          <w:rFonts w:eastAsia="等线" w:ascii="Arial" w:cs="Arial" w:hAnsi="Arial"/>
          <w:sz w:val="22"/>
        </w:rPr>
        <w:t>：大模型对用户自然语言做意图识别、维度拆解、筛选条件抽取，匹配对应业务域与候选指标集合。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指标匹配与口径对齐</w:t>
      </w:r>
      <w:r>
        <w:rPr>
          <w:rFonts w:eastAsia="等线" w:ascii="Arial" w:cs="Arial" w:hAnsi="Arial"/>
          <w:sz w:val="22"/>
        </w:rPr>
        <w:t>：通过向量语义检索 + 关键词加权匹配，命中标准指标层指标，自动识别时间维度、组织维度、业务筛选条件，严格遵循客户既定指标口径。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指标查询路由生成</w:t>
      </w:r>
      <w:r>
        <w:rPr>
          <w:rFonts w:eastAsia="等线" w:ascii="Arial" w:cs="Arial" w:hAnsi="Arial"/>
          <w:sz w:val="22"/>
        </w:rPr>
        <w:t>：基于指标血缘关系，自动组装指标层查询路由，生成面向指标服务 / 指标接口的查询请求，而非直接底层查表。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结果聚合与解释</w:t>
      </w:r>
      <w:r>
        <w:rPr>
          <w:rFonts w:eastAsia="等线" w:ascii="Arial" w:cs="Arial" w:hAnsi="Arial"/>
          <w:sz w:val="22"/>
        </w:rPr>
        <w:t>：拉取指标层计算结果，自动做数据聚合、脱敏、格式规整，同时附带</w:t>
      </w:r>
      <w:r>
        <w:rPr>
          <w:rFonts w:eastAsia="等线" w:ascii="Arial" w:cs="Arial" w:hAnsi="Arial"/>
          <w:b w:val="true"/>
          <w:sz w:val="22"/>
        </w:rPr>
        <w:t>指标口径、数据来源、统计周期</w:t>
      </w:r>
      <w:r>
        <w:rPr>
          <w:rFonts w:eastAsia="等线" w:ascii="Arial" w:cs="Arial" w:hAnsi="Arial"/>
          <w:sz w:val="22"/>
        </w:rPr>
        <w:t>说明，实现 “问指标、出指标”。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NL2SQL 技术实现路径：无指标层、已有 Hive 宽表场景</w:t>
      </w:r>
      <w:bookmarkEnd w:id="13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宽表元数据接入与标注</w:t>
      </w:r>
      <w:r>
        <w:rPr>
          <w:rFonts w:eastAsia="等线" w:ascii="Arial" w:cs="Arial" w:hAnsi="Arial"/>
          <w:sz w:val="22"/>
        </w:rPr>
        <w:t>：接入客户 Hive 宽表，采集表名、字段名、字段类型、业务注释、枚举值、数据字典、分区规则，建立</w:t>
      </w:r>
      <w:r>
        <w:rPr>
          <w:rFonts w:eastAsia="等线" w:ascii="Arial" w:cs="Arial" w:hAnsi="Arial"/>
          <w:b w:val="true"/>
          <w:sz w:val="22"/>
        </w:rPr>
        <w:t>表 - 字段 - 业务含义</w:t>
      </w:r>
      <w:r>
        <w:rPr>
          <w:rFonts w:eastAsia="等线" w:ascii="Arial" w:cs="Arial" w:hAnsi="Arial"/>
          <w:sz w:val="22"/>
        </w:rPr>
        <w:t>映射关系。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表路由优选</w:t>
      </w:r>
      <w:r>
        <w:rPr>
          <w:rFonts w:eastAsia="等线" w:ascii="Arial" w:cs="Arial" w:hAnsi="Arial"/>
          <w:sz w:val="22"/>
        </w:rPr>
        <w:t>：通过语义相似度算法，根据用户问句业务场景，自动筛选最匹配的一张或多张 Hive 宽表，规避多表关联混乱问题。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自然语言转 SQL 解析</w:t>
      </w:r>
      <w:r>
        <w:rPr>
          <w:rFonts w:eastAsia="等线" w:ascii="Arial" w:cs="Arial" w:hAnsi="Arial"/>
          <w:sz w:val="22"/>
        </w:rPr>
        <w:t>：大模型完成意图拆解、维度筛选、聚合函数（sum/count/avg）、分组排序、时间范围、业务条件抽取，遵循 Hive SQL 语法规范。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 生成与语法校验</w:t>
      </w:r>
      <w:r>
        <w:rPr>
          <w:rFonts w:eastAsia="等线" w:ascii="Arial" w:cs="Arial" w:hAnsi="Arial"/>
          <w:sz w:val="22"/>
        </w:rPr>
        <w:t>：自动生成标准 Hive SQL，附带分区裁剪、字段按需选取、合理聚合优化；内置语法校验、表字段合法性校验，规避语法错误和无效字段。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引擎执行与结果返回</w:t>
      </w:r>
      <w:r>
        <w:rPr>
          <w:rFonts w:eastAsia="等线" w:ascii="Arial" w:cs="Arial" w:hAnsi="Arial"/>
          <w:sz w:val="22"/>
        </w:rPr>
        <w:t>：将合规 SQL 提交至 Hive/Spark 计算引擎执行，返回查询结果，并支持异常 SQL 自动纠错、改写重跑。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ONTOLOGY 本体知识图谱实现路径：无指标层、无宽表、数据散落小表场景</w:t>
      </w:r>
      <w:bookmarkEnd w:id="14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业务本体建模</w:t>
      </w:r>
      <w:r>
        <w:rPr>
          <w:rFonts w:eastAsia="等线" w:ascii="Arial" w:cs="Arial" w:hAnsi="Arial"/>
          <w:sz w:val="22"/>
        </w:rPr>
        <w:t>：梳理企业业务域、业务对象（客户、订单、门店、物料等），定义</w:t>
      </w:r>
      <w:r>
        <w:rPr>
          <w:rFonts w:eastAsia="等线" w:ascii="Arial" w:cs="Arial" w:hAnsi="Arial"/>
          <w:b w:val="true"/>
          <w:sz w:val="22"/>
        </w:rPr>
        <w:t>业务对象、属性、关系、业务规则</w:t>
      </w:r>
      <w:r>
        <w:rPr>
          <w:rFonts w:eastAsia="等线" w:ascii="Arial" w:cs="Arial" w:hAnsi="Arial"/>
          <w:sz w:val="22"/>
        </w:rPr>
        <w:t>，构建行业本体模型。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零散小表关联图谱构建</w:t>
      </w:r>
      <w:r>
        <w:rPr>
          <w:rFonts w:eastAsia="等线" w:ascii="Arial" w:cs="Arial" w:hAnsi="Arial"/>
          <w:sz w:val="22"/>
        </w:rPr>
        <w:t>：遍历底层零散业务小表、基础档案表、流水表，抽取表、字段、主键外键、业务关联关系，把</w:t>
      </w:r>
      <w:r>
        <w:rPr>
          <w:rFonts w:eastAsia="等线" w:ascii="Arial" w:cs="Arial" w:hAnsi="Arial"/>
          <w:b w:val="true"/>
          <w:sz w:val="22"/>
        </w:rPr>
        <w:t>数据表→字段→业务对象→业务关系</w:t>
      </w:r>
      <w:r>
        <w:rPr>
          <w:rFonts w:eastAsia="等线" w:ascii="Arial" w:cs="Arial" w:hAnsi="Arial"/>
          <w:sz w:val="22"/>
        </w:rPr>
        <w:t>做图谱化建模入库。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自然语言对象意图理解</w:t>
      </w:r>
      <w:r>
        <w:rPr>
          <w:rFonts w:eastAsia="等线" w:ascii="Arial" w:cs="Arial" w:hAnsi="Arial"/>
          <w:sz w:val="22"/>
        </w:rPr>
        <w:t>：用户问句不再直接匹配表和字段，而是先识别</w:t>
      </w:r>
      <w:r>
        <w:rPr>
          <w:rFonts w:eastAsia="等线" w:ascii="Arial" w:cs="Arial" w:hAnsi="Arial"/>
          <w:b w:val="true"/>
          <w:sz w:val="22"/>
        </w:rPr>
        <w:t>核心业务对象、对象属性、对象间关联关系、筛选约束条件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知识图谱推理关联</w:t>
      </w:r>
      <w:r>
        <w:rPr>
          <w:rFonts w:eastAsia="等线" w:ascii="Arial" w:cs="Arial" w:hAnsi="Arial"/>
          <w:sz w:val="22"/>
        </w:rPr>
        <w:t>：基于 ONTOLOGY 图谱做语义推理、关系链路遍历，自动找出关联的多张底层小表、关联字段、关联条件。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多表关联 SQL 自动组装</w:t>
      </w:r>
      <w:r>
        <w:rPr>
          <w:rFonts w:eastAsia="等线" w:ascii="Arial" w:cs="Arial" w:hAnsi="Arial"/>
          <w:sz w:val="22"/>
        </w:rPr>
        <w:t>：根据图谱推理出的表间关联关系，自动生成多表 Join、子查询、关联过滤的复杂 SQL，适配散乱小表的跨表取数场景。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图谱迭代维护</w:t>
      </w:r>
      <w:r>
        <w:rPr>
          <w:rFonts w:eastAsia="等线" w:ascii="Arial" w:cs="Arial" w:hAnsi="Arial"/>
          <w:sz w:val="22"/>
        </w:rPr>
        <w:t>：新增业务表、新增业务关系时，自动增量更新本体图谱，持续优化对象匹配与表关联推理准确率。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方案实施成本对比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680"/>
        <w:gridCol w:w="1845"/>
        <w:gridCol w:w="1635"/>
        <w:gridCol w:w="1860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NL2DSL（帆软深度合作）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NL2METRICS（外部数仓 + 有指标层）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NL2SQL（无指标层、有 Hive 宽表）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ONTOLOGY 知识图谱（无指标、无宽表、散表）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数据准备成本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极低</w:t>
            </w:r>
            <w:r>
              <w:rPr>
                <w:rFonts w:eastAsia="等线" w:ascii="Arial" w:cs="Arial" w:hAnsi="Arial"/>
                <w:sz w:val="22"/>
              </w:rPr>
              <w:t xml:space="preserve"> 复用帆软现有元数据、数据集、权限体系，无需额外梳理表和字段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低</w:t>
            </w:r>
            <w:r>
              <w:rPr>
                <w:rFonts w:eastAsia="等线" w:ascii="Arial" w:cs="Arial" w:hAnsi="Arial"/>
                <w:sz w:val="22"/>
              </w:rPr>
              <w:t xml:space="preserve"> 只需接入</w:t>
            </w:r>
            <w:r>
              <w:rPr>
                <w:rFonts w:eastAsia="等线" w:ascii="Arial" w:cs="Arial" w:hAnsi="Arial"/>
                <w:b w:val="true"/>
                <w:sz w:val="22"/>
              </w:rPr>
              <w:t>指标层元数据</w:t>
            </w:r>
            <w:r>
              <w:rPr>
                <w:rFonts w:eastAsia="等线" w:ascii="Arial" w:cs="Arial" w:hAnsi="Arial"/>
                <w:sz w:val="22"/>
              </w:rPr>
              <w:t>、指标口径、维度体系，不用梳理底层小表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中</w:t>
            </w:r>
            <w:r>
              <w:rPr>
                <w:rFonts w:eastAsia="等线" w:ascii="Arial" w:cs="Arial" w:hAnsi="Arial"/>
                <w:sz w:val="22"/>
              </w:rPr>
              <w:t xml:space="preserve"> 需梳理 Hive 宽表：表注释、字段业务含义、分区规则、数据字典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极高</w:t>
            </w:r>
            <w:r>
              <w:rPr>
                <w:rFonts w:eastAsia="等线" w:ascii="Arial" w:cs="Arial" w:hAnsi="Arial"/>
                <w:sz w:val="22"/>
              </w:rPr>
              <w:t xml:space="preserve"> 需全量梳理所有零散小表、主键外键、业务关联、业务对象及关系建模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实施开发成本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极低</w:t>
            </w:r>
            <w:r>
              <w:rPr>
                <w:rFonts w:eastAsia="等线" w:ascii="Arial" w:cs="Arial" w:hAnsi="Arial"/>
                <w:sz w:val="22"/>
              </w:rPr>
              <w:t xml:space="preserve"> 原生能力适配，仅做业务话术微调、场景模板配置，无底层开发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低</w:t>
            </w:r>
            <w:r>
              <w:rPr>
                <w:rFonts w:eastAsia="等线" w:ascii="Arial" w:cs="Arial" w:hAnsi="Arial"/>
                <w:sz w:val="22"/>
              </w:rPr>
              <w:t xml:space="preserve"> 对接指标服务接口、构建指标知识库、语义匹配配置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中</w:t>
            </w:r>
            <w:r>
              <w:rPr>
                <w:rFonts w:eastAsia="等线" w:ascii="Arial" w:cs="Arial" w:hAnsi="Arial"/>
                <w:sz w:val="22"/>
              </w:rPr>
              <w:t xml:space="preserve"> 元数据接入、表字段语义标注、SQL 生成规则适配、语法校验逻辑开发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极高</w:t>
            </w:r>
            <w:r>
              <w:rPr>
                <w:rFonts w:eastAsia="等线" w:ascii="Arial" w:cs="Arial" w:hAnsi="Arial"/>
                <w:sz w:val="22"/>
              </w:rPr>
              <w:t xml:space="preserve"> 本体建模、图谱构建、关系抽取、推理引擎、多表关联自动组装全链路开发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运维迭代成本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极低</w:t>
            </w:r>
            <w:r>
              <w:rPr>
                <w:rFonts w:eastAsia="等线" w:ascii="Arial" w:cs="Arial" w:hAnsi="Arial"/>
                <w:sz w:val="22"/>
              </w:rPr>
              <w:t xml:space="preserve"> 随帆软平台版本迭代，业务变更仅微调话术模板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低</w:t>
            </w:r>
            <w:r>
              <w:rPr>
                <w:rFonts w:eastAsia="等线" w:ascii="Arial" w:cs="Arial" w:hAnsi="Arial"/>
                <w:sz w:val="22"/>
              </w:rPr>
              <w:t xml:space="preserve"> 指标新增 / 变更仅更新指标元数据，无需改动底层表逻辑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中</w:t>
            </w:r>
            <w:r>
              <w:rPr>
                <w:rFonts w:eastAsia="等线" w:ascii="Arial" w:cs="Arial" w:hAnsi="Arial"/>
                <w:sz w:val="22"/>
              </w:rPr>
              <w:t xml:space="preserve"> 宽表字段变更、新增宽表需重新标注元数据、适配路由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极高</w:t>
            </w:r>
            <w:r>
              <w:rPr>
                <w:rFonts w:eastAsia="等线" w:ascii="Arial" w:cs="Arial" w:hAnsi="Arial"/>
                <w:sz w:val="22"/>
              </w:rPr>
              <w:t xml:space="preserve"> 新增表、新增业务关系都需增量更新本体图谱、维护对象关联关系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依赖前置条件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强依赖</w:t>
            </w:r>
            <w:r>
              <w:rPr>
                <w:rFonts w:eastAsia="等线" w:ascii="Arial" w:cs="Arial" w:hAnsi="Arial"/>
                <w:b w:val="true"/>
                <w:sz w:val="22"/>
              </w:rPr>
              <w:t>帆软生态深度共建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强依赖</w:t>
            </w:r>
            <w:r>
              <w:rPr>
                <w:rFonts w:eastAsia="等线" w:ascii="Arial" w:cs="Arial" w:hAnsi="Arial"/>
                <w:b w:val="true"/>
                <w:sz w:val="22"/>
              </w:rPr>
              <w:t>客户已建好指标层、指标口径统一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  <w:r>
              <w:rPr>
                <w:rFonts w:eastAsia="等线" w:ascii="Arial" w:cs="Arial" w:hAnsi="Arial"/>
                <w:b w:val="true"/>
                <w:sz w:val="22"/>
              </w:rPr>
              <w:t>已规整 Hive 宽表、业务字段注释完善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无前置数仓依赖，但需</w:t>
            </w:r>
            <w:r>
              <w:rPr>
                <w:rFonts w:eastAsia="等线" w:ascii="Arial" w:cs="Arial" w:hAnsi="Arial"/>
                <w:b w:val="true"/>
                <w:sz w:val="22"/>
              </w:rPr>
              <w:t>业务全域梳理 + 本体知识建模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落地周期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最短，1~2 周可落地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短，2~3 周可落地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中等，3~5 周可落地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最长，1~3 个月起步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人力投入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人配置即可落地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 人指标对接 + 配置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人数据梳理 + 模型适配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人以上（业务分析师 + 数仓 + 算法）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适用客户投入等级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低成本轻量化落地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中等成本、标准化数仓客户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中等偏高、有宽表无指标客户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高成本、数仓基础薄弱散乱客户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84692">
    <w:lvl>
      <w:start w:val="1"/>
      <w:numFmt w:val="decimal"/>
      <w:suff w:val="tab"/>
      <w:lvlText w:val="%1."/>
      <w:rPr>
        <w:color w:val="3370ff"/>
      </w:rPr>
    </w:lvl>
  </w:abstractNum>
  <w:abstractNum w:abstractNumId="1684693">
    <w:lvl>
      <w:start w:val="2"/>
      <w:numFmt w:val="decimal"/>
      <w:suff w:val="tab"/>
      <w:lvlText w:val="%1."/>
      <w:rPr>
        <w:color w:val="3370ff"/>
      </w:rPr>
    </w:lvl>
  </w:abstractNum>
  <w:abstractNum w:abstractNumId="1684694">
    <w:lvl>
      <w:start w:val="1"/>
      <w:numFmt w:val="lowerLetter"/>
      <w:suff w:val="tab"/>
      <w:lvlText w:val="%1."/>
      <w:rPr>
        <w:color w:val="3370ff"/>
      </w:rPr>
    </w:lvl>
  </w:abstractNum>
  <w:abstractNum w:abstractNumId="1684695">
    <w:lvl>
      <w:start w:val="1"/>
      <w:numFmt w:val="lowerRoman"/>
      <w:suff w:val="tab"/>
      <w:lvlText w:val="%1."/>
      <w:rPr>
        <w:color w:val="3370ff"/>
      </w:rPr>
    </w:lvl>
  </w:abstractNum>
  <w:abstractNum w:abstractNumId="1684696">
    <w:lvl>
      <w:start w:val="2"/>
      <w:numFmt w:val="lowerRoman"/>
      <w:suff w:val="tab"/>
      <w:lvlText w:val="%1."/>
      <w:rPr>
        <w:color w:val="3370ff"/>
      </w:rPr>
    </w:lvl>
  </w:abstractNum>
  <w:abstractNum w:abstractNumId="1684697">
    <w:lvl>
      <w:start w:val="3"/>
      <w:numFmt w:val="lowerRoman"/>
      <w:suff w:val="tab"/>
      <w:lvlText w:val="%1."/>
      <w:rPr>
        <w:color w:val="3370ff"/>
      </w:rPr>
    </w:lvl>
  </w:abstractNum>
  <w:abstractNum w:abstractNumId="1684698">
    <w:lvl>
      <w:start w:val="4"/>
      <w:numFmt w:val="lowerRoman"/>
      <w:suff w:val="tab"/>
      <w:lvlText w:val="%1."/>
      <w:rPr>
        <w:color w:val="3370ff"/>
      </w:rPr>
    </w:lvl>
  </w:abstractNum>
  <w:abstractNum w:abstractNumId="1684699">
    <w:lvl>
      <w:start w:val="3"/>
      <w:numFmt w:val="decimal"/>
      <w:suff w:val="tab"/>
      <w:lvlText w:val="%1."/>
      <w:rPr>
        <w:color w:val="3370ff"/>
      </w:rPr>
    </w:lvl>
  </w:abstractNum>
  <w:abstractNum w:abstractNumId="1684700">
    <w:lvl>
      <w:start w:val="4"/>
      <w:numFmt w:val="decimal"/>
      <w:suff w:val="tab"/>
      <w:lvlText w:val="%1."/>
      <w:rPr>
        <w:color w:val="3370ff"/>
      </w:rPr>
    </w:lvl>
  </w:abstractNum>
  <w:abstractNum w:abstractNumId="1684701">
    <w:lvl>
      <w:numFmt w:val="bullet"/>
      <w:suff w:val="tab"/>
      <w:lvlText w:val="•"/>
      <w:rPr>
        <w:color w:val="3370ff"/>
      </w:rPr>
    </w:lvl>
  </w:abstractNum>
  <w:abstractNum w:abstractNumId="1684702">
    <w:lvl>
      <w:numFmt w:val="bullet"/>
      <w:suff w:val="tab"/>
      <w:lvlText w:val="•"/>
      <w:rPr>
        <w:color w:val="3370ff"/>
      </w:rPr>
    </w:lvl>
  </w:abstractNum>
  <w:abstractNum w:abstractNumId="1684703">
    <w:lvl>
      <w:start w:val="1"/>
      <w:numFmt w:val="decimal"/>
      <w:suff w:val="tab"/>
      <w:lvlText w:val="%1."/>
      <w:rPr>
        <w:color w:val="3370ff"/>
      </w:rPr>
    </w:lvl>
  </w:abstractNum>
  <w:abstractNum w:abstractNumId="1684704">
    <w:lvl>
      <w:start w:val="2"/>
      <w:numFmt w:val="decimal"/>
      <w:suff w:val="tab"/>
      <w:lvlText w:val="%1."/>
      <w:rPr>
        <w:color w:val="3370ff"/>
      </w:rPr>
    </w:lvl>
  </w:abstractNum>
  <w:abstractNum w:abstractNumId="1684705">
    <w:lvl>
      <w:start w:val="3"/>
      <w:numFmt w:val="decimal"/>
      <w:suff w:val="tab"/>
      <w:lvlText w:val="%1."/>
      <w:rPr>
        <w:color w:val="3370ff"/>
      </w:rPr>
    </w:lvl>
  </w:abstractNum>
  <w:abstractNum w:abstractNumId="1684706">
    <w:lvl>
      <w:start w:val="4"/>
      <w:numFmt w:val="decimal"/>
      <w:suff w:val="tab"/>
      <w:lvlText w:val="%1."/>
      <w:rPr>
        <w:color w:val="3370ff"/>
      </w:rPr>
    </w:lvl>
  </w:abstractNum>
  <w:abstractNum w:abstractNumId="1684707">
    <w:lvl>
      <w:start w:val="5"/>
      <w:numFmt w:val="decimal"/>
      <w:suff w:val="tab"/>
      <w:lvlText w:val="%1."/>
      <w:rPr>
        <w:color w:val="3370ff"/>
      </w:rPr>
    </w:lvl>
  </w:abstractNum>
  <w:abstractNum w:abstractNumId="1684708">
    <w:lvl>
      <w:numFmt w:val="bullet"/>
      <w:suff w:val="tab"/>
      <w:lvlText w:val="￮"/>
      <w:rPr>
        <w:color w:val="3370ff"/>
      </w:rPr>
    </w:lvl>
  </w:abstractNum>
  <w:abstractNum w:abstractNumId="1684709">
    <w:lvl>
      <w:numFmt w:val="bullet"/>
      <w:suff w:val="tab"/>
      <w:lvlText w:val="￮"/>
      <w:rPr>
        <w:color w:val="3370ff"/>
      </w:rPr>
    </w:lvl>
  </w:abstractNum>
  <w:abstractNum w:abstractNumId="1684710">
    <w:lvl>
      <w:numFmt w:val="bullet"/>
      <w:suff w:val="tab"/>
      <w:lvlText w:val="￮"/>
      <w:rPr>
        <w:color w:val="3370ff"/>
      </w:rPr>
    </w:lvl>
  </w:abstractNum>
  <w:abstractNum w:abstractNumId="1684711">
    <w:lvl>
      <w:start w:val="6"/>
      <w:numFmt w:val="decimal"/>
      <w:suff w:val="tab"/>
      <w:lvlText w:val="%1."/>
      <w:rPr>
        <w:color w:val="3370ff"/>
      </w:rPr>
    </w:lvl>
  </w:abstractNum>
  <w:abstractNum w:abstractNumId="1684712">
    <w:lvl>
      <w:numFmt w:val="bullet"/>
      <w:suff w:val="tab"/>
      <w:lvlText w:val="￮"/>
      <w:rPr>
        <w:color w:val="3370ff"/>
      </w:rPr>
    </w:lvl>
  </w:abstractNum>
  <w:abstractNum w:abstractNumId="1684713">
    <w:lvl>
      <w:numFmt w:val="bullet"/>
      <w:suff w:val="tab"/>
      <w:lvlText w:val="￮"/>
      <w:rPr>
        <w:color w:val="3370ff"/>
      </w:rPr>
    </w:lvl>
  </w:abstractNum>
  <w:abstractNum w:abstractNumId="1684714">
    <w:lvl>
      <w:numFmt w:val="bullet"/>
      <w:suff w:val="tab"/>
      <w:lvlText w:val="￮"/>
      <w:rPr>
        <w:color w:val="3370ff"/>
      </w:rPr>
    </w:lvl>
  </w:abstractNum>
  <w:abstractNum w:abstractNumId="1684715">
    <w:lvl>
      <w:start w:val="7"/>
      <w:numFmt w:val="decimal"/>
      <w:suff w:val="tab"/>
      <w:lvlText w:val="%1."/>
      <w:rPr>
        <w:color w:val="3370ff"/>
      </w:rPr>
    </w:lvl>
  </w:abstractNum>
  <w:abstractNum w:abstractNumId="1684716">
    <w:lvl>
      <w:start w:val="1"/>
      <w:numFmt w:val="decimal"/>
      <w:suff w:val="tab"/>
      <w:lvlText w:val="%1."/>
      <w:rPr>
        <w:color w:val="3370ff"/>
      </w:rPr>
    </w:lvl>
  </w:abstractNum>
  <w:abstractNum w:abstractNumId="1684717">
    <w:lvl>
      <w:start w:val="2"/>
      <w:numFmt w:val="decimal"/>
      <w:suff w:val="tab"/>
      <w:lvlText w:val="%1."/>
      <w:rPr>
        <w:color w:val="3370ff"/>
      </w:rPr>
    </w:lvl>
  </w:abstractNum>
  <w:abstractNum w:abstractNumId="1684718">
    <w:lvl>
      <w:numFmt w:val="bullet"/>
      <w:suff w:val="tab"/>
      <w:lvlText w:val="•"/>
      <w:rPr>
        <w:color w:val="3370ff"/>
      </w:rPr>
    </w:lvl>
  </w:abstractNum>
  <w:abstractNum w:abstractNumId="1684719">
    <w:lvl>
      <w:numFmt w:val="bullet"/>
      <w:suff w:val="tab"/>
      <w:lvlText w:val="•"/>
      <w:rPr>
        <w:color w:val="3370ff"/>
      </w:rPr>
    </w:lvl>
  </w:abstractNum>
  <w:abstractNum w:abstractNumId="1684720">
    <w:lvl>
      <w:start w:val="1"/>
      <w:numFmt w:val="decimal"/>
      <w:suff w:val="tab"/>
      <w:lvlText w:val="%1."/>
      <w:rPr>
        <w:color w:val="3370ff"/>
      </w:rPr>
    </w:lvl>
  </w:abstractNum>
  <w:abstractNum w:abstractNumId="1684721">
    <w:lvl>
      <w:start w:val="2"/>
      <w:numFmt w:val="decimal"/>
      <w:suff w:val="tab"/>
      <w:lvlText w:val="%1."/>
      <w:rPr>
        <w:color w:val="3370ff"/>
      </w:rPr>
    </w:lvl>
  </w:abstractNum>
  <w:abstractNum w:abstractNumId="1684722">
    <w:lvl>
      <w:start w:val="3"/>
      <w:numFmt w:val="decimal"/>
      <w:suff w:val="tab"/>
      <w:lvlText w:val="%1."/>
      <w:rPr>
        <w:color w:val="3370ff"/>
      </w:rPr>
    </w:lvl>
  </w:abstractNum>
  <w:abstractNum w:abstractNumId="1684723">
    <w:lvl>
      <w:start w:val="4"/>
      <w:numFmt w:val="decimal"/>
      <w:suff w:val="tab"/>
      <w:lvlText w:val="%1."/>
      <w:rPr>
        <w:color w:val="3370ff"/>
      </w:rPr>
    </w:lvl>
  </w:abstractNum>
  <w:abstractNum w:abstractNumId="1684724">
    <w:lvl>
      <w:start w:val="1"/>
      <w:numFmt w:val="decimal"/>
      <w:suff w:val="tab"/>
      <w:lvlText w:val="%1."/>
      <w:rPr>
        <w:color w:val="3370ff"/>
      </w:rPr>
    </w:lvl>
  </w:abstractNum>
  <w:abstractNum w:abstractNumId="1684725">
    <w:lvl>
      <w:start w:val="2"/>
      <w:numFmt w:val="decimal"/>
      <w:suff w:val="tab"/>
      <w:lvlText w:val="%1."/>
      <w:rPr>
        <w:color w:val="3370ff"/>
      </w:rPr>
    </w:lvl>
  </w:abstractNum>
  <w:abstractNum w:abstractNumId="1684726">
    <w:lvl>
      <w:start w:val="3"/>
      <w:numFmt w:val="decimal"/>
      <w:suff w:val="tab"/>
      <w:lvlText w:val="%1."/>
      <w:rPr>
        <w:color w:val="3370ff"/>
      </w:rPr>
    </w:lvl>
  </w:abstractNum>
  <w:abstractNum w:abstractNumId="1684727">
    <w:lvl>
      <w:start w:val="1"/>
      <w:numFmt w:val="decimal"/>
      <w:suff w:val="tab"/>
      <w:lvlText w:val="%1."/>
      <w:rPr>
        <w:color w:val="3370ff"/>
      </w:rPr>
    </w:lvl>
  </w:abstractNum>
  <w:abstractNum w:abstractNumId="1684728">
    <w:lvl>
      <w:start w:val="2"/>
      <w:numFmt w:val="decimal"/>
      <w:suff w:val="tab"/>
      <w:lvlText w:val="%1."/>
      <w:rPr>
        <w:color w:val="3370ff"/>
      </w:rPr>
    </w:lvl>
  </w:abstractNum>
  <w:abstractNum w:abstractNumId="1684729">
    <w:lvl>
      <w:start w:val="3"/>
      <w:numFmt w:val="decimal"/>
      <w:suff w:val="tab"/>
      <w:lvlText w:val="%1."/>
      <w:rPr>
        <w:color w:val="3370ff"/>
      </w:rPr>
    </w:lvl>
  </w:abstractNum>
  <w:abstractNum w:abstractNumId="1684730">
    <w:lvl>
      <w:start w:val="1"/>
      <w:numFmt w:val="decimal"/>
      <w:suff w:val="tab"/>
      <w:lvlText w:val="%1."/>
      <w:rPr>
        <w:color w:val="3370ff"/>
      </w:rPr>
    </w:lvl>
  </w:abstractNum>
  <w:abstractNum w:abstractNumId="1684731">
    <w:lvl>
      <w:numFmt w:val="bullet"/>
      <w:suff w:val="tab"/>
      <w:lvlText w:val="￮"/>
      <w:rPr>
        <w:color w:val="3370ff"/>
      </w:rPr>
    </w:lvl>
  </w:abstractNum>
  <w:abstractNum w:abstractNumId="1684732">
    <w:lvl>
      <w:numFmt w:val="bullet"/>
      <w:suff w:val="tab"/>
      <w:lvlText w:val="￮"/>
      <w:rPr>
        <w:color w:val="3370ff"/>
      </w:rPr>
    </w:lvl>
  </w:abstractNum>
  <w:abstractNum w:abstractNumId="1684733">
    <w:lvl>
      <w:numFmt w:val="bullet"/>
      <w:suff w:val="tab"/>
      <w:lvlText w:val="￮"/>
      <w:rPr>
        <w:color w:val="3370ff"/>
      </w:rPr>
    </w:lvl>
  </w:abstractNum>
  <w:abstractNum w:abstractNumId="1684734">
    <w:lvl>
      <w:start w:val="2"/>
      <w:numFmt w:val="decimal"/>
      <w:suff w:val="tab"/>
      <w:lvlText w:val="%1."/>
      <w:rPr>
        <w:color w:val="3370ff"/>
      </w:rPr>
    </w:lvl>
  </w:abstractNum>
  <w:abstractNum w:abstractNumId="1684735">
    <w:lvl>
      <w:numFmt w:val="bullet"/>
      <w:suff w:val="tab"/>
      <w:lvlText w:val="•"/>
      <w:rPr>
        <w:color w:val="3370ff"/>
      </w:rPr>
    </w:lvl>
  </w:abstractNum>
  <w:abstractNum w:abstractNumId="1684736">
    <w:lvl>
      <w:numFmt w:val="bullet"/>
      <w:suff w:val="tab"/>
      <w:lvlText w:val="•"/>
      <w:rPr>
        <w:color w:val="3370ff"/>
      </w:rPr>
    </w:lvl>
  </w:abstractNum>
  <w:abstractNum w:abstractNumId="1684737">
    <w:lvl>
      <w:numFmt w:val="bullet"/>
      <w:suff w:val="tab"/>
      <w:lvlText w:val="•"/>
      <w:rPr>
        <w:color w:val="3370ff"/>
      </w:rPr>
    </w:lvl>
  </w:abstractNum>
  <w:abstractNum w:abstractNumId="1684738">
    <w:lvl>
      <w:numFmt w:val="bullet"/>
      <w:suff w:val="tab"/>
      <w:lvlText w:val="•"/>
      <w:rPr>
        <w:color w:val="3370ff"/>
      </w:rPr>
    </w:lvl>
  </w:abstractNum>
  <w:abstractNum w:abstractNumId="1684739">
    <w:lvl>
      <w:numFmt w:val="bullet"/>
      <w:suff w:val="tab"/>
      <w:lvlText w:val="•"/>
      <w:rPr>
        <w:color w:val="3370ff"/>
      </w:rPr>
    </w:lvl>
  </w:abstractNum>
  <w:abstractNum w:abstractNumId="1684740">
    <w:lvl>
      <w:numFmt w:val="bullet"/>
      <w:suff w:val="tab"/>
      <w:lvlText w:val="•"/>
      <w:rPr>
        <w:color w:val="3370ff"/>
      </w:rPr>
    </w:lvl>
  </w:abstractNum>
  <w:abstractNum w:abstractNumId="1684741">
    <w:lvl>
      <w:numFmt w:val="bullet"/>
      <w:suff w:val="tab"/>
      <w:lvlText w:val="•"/>
      <w:rPr>
        <w:color w:val="3370ff"/>
      </w:rPr>
    </w:lvl>
  </w:abstractNum>
  <w:abstractNum w:abstractNumId="1684742">
    <w:lvl>
      <w:numFmt w:val="bullet"/>
      <w:suff w:val="tab"/>
      <w:lvlText w:val="•"/>
      <w:rPr>
        <w:color w:val="3370ff"/>
      </w:rPr>
    </w:lvl>
  </w:abstractNum>
  <w:abstractNum w:abstractNumId="1684743">
    <w:lvl>
      <w:numFmt w:val="bullet"/>
      <w:suff w:val="tab"/>
      <w:lvlText w:val="•"/>
      <w:rPr>
        <w:color w:val="3370ff"/>
      </w:rPr>
    </w:lvl>
  </w:abstractNum>
  <w:abstractNum w:abstractNumId="1684744">
    <w:lvl>
      <w:numFmt w:val="bullet"/>
      <w:suff w:val="tab"/>
      <w:lvlText w:val="•"/>
      <w:rPr>
        <w:color w:val="3370ff"/>
      </w:rPr>
    </w:lvl>
  </w:abstractNum>
  <w:abstractNum w:abstractNumId="1684745">
    <w:lvl>
      <w:numFmt w:val="bullet"/>
      <w:suff w:val="tab"/>
      <w:lvlText w:val="•"/>
      <w:rPr>
        <w:color w:val="3370ff"/>
      </w:rPr>
    </w:lvl>
  </w:abstractNum>
  <w:abstractNum w:abstractNumId="1684746">
    <w:lvl>
      <w:numFmt w:val="bullet"/>
      <w:suff w:val="tab"/>
      <w:lvlText w:val="•"/>
      <w:rPr>
        <w:color w:val="3370ff"/>
      </w:rPr>
    </w:lvl>
  </w:abstractNum>
  <w:abstractNum w:abstractNumId="1684747">
    <w:lvl>
      <w:numFmt w:val="bullet"/>
      <w:suff w:val="tab"/>
      <w:lvlText w:val="•"/>
      <w:rPr>
        <w:color w:val="3370ff"/>
      </w:rPr>
    </w:lvl>
  </w:abstractNum>
  <w:abstractNum w:abstractNumId="1684748">
    <w:lvl>
      <w:numFmt w:val="bullet"/>
      <w:suff w:val="tab"/>
      <w:lvlText w:val="•"/>
      <w:rPr>
        <w:color w:val="3370ff"/>
      </w:rPr>
    </w:lvl>
  </w:abstractNum>
  <w:abstractNum w:abstractNumId="1684749">
    <w:lvl>
      <w:numFmt w:val="bullet"/>
      <w:suff w:val="tab"/>
      <w:lvlText w:val="•"/>
      <w:rPr>
        <w:color w:val="3370ff"/>
      </w:rPr>
    </w:lvl>
  </w:abstractNum>
  <w:abstractNum w:abstractNumId="1684750">
    <w:lvl>
      <w:numFmt w:val="bullet"/>
      <w:suff w:val="tab"/>
      <w:lvlText w:val="•"/>
      <w:rPr>
        <w:color w:val="3370ff"/>
      </w:rPr>
    </w:lvl>
  </w:abstractNum>
  <w:abstractNum w:abstractNumId="1684751">
    <w:lvl>
      <w:numFmt w:val="bullet"/>
      <w:suff w:val="tab"/>
      <w:lvlText w:val="•"/>
      <w:rPr>
        <w:color w:val="3370ff"/>
      </w:rPr>
    </w:lvl>
  </w:abstractNum>
  <w:abstractNum w:abstractNumId="1684752">
    <w:lvl>
      <w:start w:val="1"/>
      <w:numFmt w:val="decimal"/>
      <w:suff w:val="tab"/>
      <w:lvlText w:val="%1."/>
      <w:rPr>
        <w:color w:val="3370ff"/>
      </w:rPr>
    </w:lvl>
  </w:abstractNum>
  <w:abstractNum w:abstractNumId="1684753">
    <w:lvl>
      <w:start w:val="2"/>
      <w:numFmt w:val="decimal"/>
      <w:suff w:val="tab"/>
      <w:lvlText w:val="%1."/>
      <w:rPr>
        <w:color w:val="3370ff"/>
      </w:rPr>
    </w:lvl>
  </w:abstractNum>
  <w:abstractNum w:abstractNumId="1684754">
    <w:lvl>
      <w:start w:val="3"/>
      <w:numFmt w:val="decimal"/>
      <w:suff w:val="tab"/>
      <w:lvlText w:val="%1."/>
      <w:rPr>
        <w:color w:val="3370ff"/>
      </w:rPr>
    </w:lvl>
  </w:abstractNum>
  <w:abstractNum w:abstractNumId="1684755">
    <w:lvl>
      <w:start w:val="4"/>
      <w:numFmt w:val="decimal"/>
      <w:suff w:val="tab"/>
      <w:lvlText w:val="%1."/>
      <w:rPr>
        <w:color w:val="3370ff"/>
      </w:rPr>
    </w:lvl>
  </w:abstractNum>
  <w:abstractNum w:abstractNumId="1684756">
    <w:lvl>
      <w:start w:val="5"/>
      <w:numFmt w:val="decimal"/>
      <w:suff w:val="tab"/>
      <w:lvlText w:val="%1."/>
      <w:rPr>
        <w:color w:val="3370ff"/>
      </w:rPr>
    </w:lvl>
  </w:abstractNum>
  <w:abstractNum w:abstractNumId="1684757">
    <w:lvl>
      <w:start w:val="1"/>
      <w:numFmt w:val="decimal"/>
      <w:suff w:val="tab"/>
      <w:lvlText w:val="%1."/>
      <w:rPr>
        <w:color w:val="3370ff"/>
      </w:rPr>
    </w:lvl>
  </w:abstractNum>
  <w:abstractNum w:abstractNumId="1684758">
    <w:lvl>
      <w:start w:val="2"/>
      <w:numFmt w:val="decimal"/>
      <w:suff w:val="tab"/>
      <w:lvlText w:val="%1."/>
      <w:rPr>
        <w:color w:val="3370ff"/>
      </w:rPr>
    </w:lvl>
  </w:abstractNum>
  <w:abstractNum w:abstractNumId="1684759">
    <w:lvl>
      <w:start w:val="3"/>
      <w:numFmt w:val="decimal"/>
      <w:suff w:val="tab"/>
      <w:lvlText w:val="%1."/>
      <w:rPr>
        <w:color w:val="3370ff"/>
      </w:rPr>
    </w:lvl>
  </w:abstractNum>
  <w:abstractNum w:abstractNumId="1684760">
    <w:lvl>
      <w:start w:val="4"/>
      <w:numFmt w:val="decimal"/>
      <w:suff w:val="tab"/>
      <w:lvlText w:val="%1."/>
      <w:rPr>
        <w:color w:val="3370ff"/>
      </w:rPr>
    </w:lvl>
  </w:abstractNum>
  <w:abstractNum w:abstractNumId="1684761">
    <w:lvl>
      <w:start w:val="5"/>
      <w:numFmt w:val="decimal"/>
      <w:suff w:val="tab"/>
      <w:lvlText w:val="%1."/>
      <w:rPr>
        <w:color w:val="3370ff"/>
      </w:rPr>
    </w:lvl>
  </w:abstractNum>
  <w:abstractNum w:abstractNumId="1684762">
    <w:lvl>
      <w:start w:val="1"/>
      <w:numFmt w:val="decimal"/>
      <w:suff w:val="tab"/>
      <w:lvlText w:val="%1."/>
      <w:rPr>
        <w:color w:val="3370ff"/>
      </w:rPr>
    </w:lvl>
  </w:abstractNum>
  <w:abstractNum w:abstractNumId="1684763">
    <w:lvl>
      <w:start w:val="2"/>
      <w:numFmt w:val="decimal"/>
      <w:suff w:val="tab"/>
      <w:lvlText w:val="%1."/>
      <w:rPr>
        <w:color w:val="3370ff"/>
      </w:rPr>
    </w:lvl>
  </w:abstractNum>
  <w:abstractNum w:abstractNumId="1684764">
    <w:lvl>
      <w:start w:val="3"/>
      <w:numFmt w:val="decimal"/>
      <w:suff w:val="tab"/>
      <w:lvlText w:val="%1."/>
      <w:rPr>
        <w:color w:val="3370ff"/>
      </w:rPr>
    </w:lvl>
  </w:abstractNum>
  <w:abstractNum w:abstractNumId="1684765">
    <w:lvl>
      <w:start w:val="4"/>
      <w:numFmt w:val="decimal"/>
      <w:suff w:val="tab"/>
      <w:lvlText w:val="%1."/>
      <w:rPr>
        <w:color w:val="3370ff"/>
      </w:rPr>
    </w:lvl>
  </w:abstractNum>
  <w:abstractNum w:abstractNumId="1684766">
    <w:lvl>
      <w:start w:val="5"/>
      <w:numFmt w:val="decimal"/>
      <w:suff w:val="tab"/>
      <w:lvlText w:val="%1."/>
      <w:rPr>
        <w:color w:val="3370ff"/>
      </w:rPr>
    </w:lvl>
  </w:abstractNum>
  <w:abstractNum w:abstractNumId="1684767">
    <w:lvl>
      <w:start w:val="1"/>
      <w:numFmt w:val="decimal"/>
      <w:suff w:val="tab"/>
      <w:lvlText w:val="%1."/>
      <w:rPr>
        <w:color w:val="3370ff"/>
      </w:rPr>
    </w:lvl>
  </w:abstractNum>
  <w:abstractNum w:abstractNumId="1684768">
    <w:lvl>
      <w:start w:val="2"/>
      <w:numFmt w:val="decimal"/>
      <w:suff w:val="tab"/>
      <w:lvlText w:val="%1."/>
      <w:rPr>
        <w:color w:val="3370ff"/>
      </w:rPr>
    </w:lvl>
  </w:abstractNum>
  <w:abstractNum w:abstractNumId="1684769">
    <w:lvl>
      <w:start w:val="3"/>
      <w:numFmt w:val="decimal"/>
      <w:suff w:val="tab"/>
      <w:lvlText w:val="%1."/>
      <w:rPr>
        <w:color w:val="3370ff"/>
      </w:rPr>
    </w:lvl>
  </w:abstractNum>
  <w:abstractNum w:abstractNumId="1684770">
    <w:lvl>
      <w:start w:val="4"/>
      <w:numFmt w:val="decimal"/>
      <w:suff w:val="tab"/>
      <w:lvlText w:val="%1."/>
      <w:rPr>
        <w:color w:val="3370ff"/>
      </w:rPr>
    </w:lvl>
  </w:abstractNum>
  <w:abstractNum w:abstractNumId="1684771">
    <w:lvl>
      <w:start w:val="5"/>
      <w:numFmt w:val="decimal"/>
      <w:suff w:val="tab"/>
      <w:lvlText w:val="%1."/>
      <w:rPr>
        <w:color w:val="3370ff"/>
      </w:rPr>
    </w:lvl>
  </w:abstractNum>
  <w:abstractNum w:abstractNumId="1684772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684692"/>
  </w:num>
  <w:num w:numId="2">
    <w:abstractNumId w:val="1684693"/>
  </w:num>
  <w:num w:numId="3">
    <w:abstractNumId w:val="1684694"/>
  </w:num>
  <w:num w:numId="4">
    <w:abstractNumId w:val="1684695"/>
  </w:num>
  <w:num w:numId="5">
    <w:abstractNumId w:val="1684696"/>
  </w:num>
  <w:num w:numId="6">
    <w:abstractNumId w:val="1684697"/>
  </w:num>
  <w:num w:numId="7">
    <w:abstractNumId w:val="1684698"/>
  </w:num>
  <w:num w:numId="8">
    <w:abstractNumId w:val="1684699"/>
  </w:num>
  <w:num w:numId="9">
    <w:abstractNumId w:val="1684700"/>
  </w:num>
  <w:num w:numId="10">
    <w:abstractNumId w:val="1684701"/>
  </w:num>
  <w:num w:numId="11">
    <w:abstractNumId w:val="1684702"/>
  </w:num>
  <w:num w:numId="12">
    <w:abstractNumId w:val="1684703"/>
  </w:num>
  <w:num w:numId="13">
    <w:abstractNumId w:val="1684704"/>
  </w:num>
  <w:num w:numId="14">
    <w:abstractNumId w:val="1684705"/>
  </w:num>
  <w:num w:numId="15">
    <w:abstractNumId w:val="1684706"/>
  </w:num>
  <w:num w:numId="16">
    <w:abstractNumId w:val="1684707"/>
  </w:num>
  <w:num w:numId="17">
    <w:abstractNumId w:val="1684708"/>
  </w:num>
  <w:num w:numId="18">
    <w:abstractNumId w:val="1684709"/>
  </w:num>
  <w:num w:numId="19">
    <w:abstractNumId w:val="1684710"/>
  </w:num>
  <w:num w:numId="20">
    <w:abstractNumId w:val="1684711"/>
  </w:num>
  <w:num w:numId="21">
    <w:abstractNumId w:val="1684712"/>
  </w:num>
  <w:num w:numId="22">
    <w:abstractNumId w:val="1684713"/>
  </w:num>
  <w:num w:numId="23">
    <w:abstractNumId w:val="1684714"/>
  </w:num>
  <w:num w:numId="24">
    <w:abstractNumId w:val="1684715"/>
  </w:num>
  <w:num w:numId="25">
    <w:abstractNumId w:val="1684716"/>
  </w:num>
  <w:num w:numId="26">
    <w:abstractNumId w:val="1684717"/>
  </w:num>
  <w:num w:numId="27">
    <w:abstractNumId w:val="1684718"/>
  </w:num>
  <w:num w:numId="28">
    <w:abstractNumId w:val="1684719"/>
  </w:num>
  <w:num w:numId="29">
    <w:abstractNumId w:val="1684720"/>
  </w:num>
  <w:num w:numId="30">
    <w:abstractNumId w:val="1684721"/>
  </w:num>
  <w:num w:numId="31">
    <w:abstractNumId w:val="1684722"/>
  </w:num>
  <w:num w:numId="32">
    <w:abstractNumId w:val="1684723"/>
  </w:num>
  <w:num w:numId="33">
    <w:abstractNumId w:val="1684724"/>
  </w:num>
  <w:num w:numId="34">
    <w:abstractNumId w:val="1684725"/>
  </w:num>
  <w:num w:numId="35">
    <w:abstractNumId w:val="1684726"/>
  </w:num>
  <w:num w:numId="36">
    <w:abstractNumId w:val="1684727"/>
  </w:num>
  <w:num w:numId="37">
    <w:abstractNumId w:val="1684728"/>
  </w:num>
  <w:num w:numId="38">
    <w:abstractNumId w:val="1684729"/>
  </w:num>
  <w:num w:numId="39">
    <w:abstractNumId w:val="1684730"/>
  </w:num>
  <w:num w:numId="40">
    <w:abstractNumId w:val="1684731"/>
  </w:num>
  <w:num w:numId="41">
    <w:abstractNumId w:val="1684732"/>
  </w:num>
  <w:num w:numId="42">
    <w:abstractNumId w:val="1684733"/>
  </w:num>
  <w:num w:numId="43">
    <w:abstractNumId w:val="1684734"/>
  </w:num>
  <w:num w:numId="44">
    <w:abstractNumId w:val="1684735"/>
  </w:num>
  <w:num w:numId="45">
    <w:abstractNumId w:val="1684736"/>
  </w:num>
  <w:num w:numId="46">
    <w:abstractNumId w:val="1684737"/>
  </w:num>
  <w:num w:numId="47">
    <w:abstractNumId w:val="1684738"/>
  </w:num>
  <w:num w:numId="48">
    <w:abstractNumId w:val="1684739"/>
  </w:num>
  <w:num w:numId="49">
    <w:abstractNumId w:val="1684740"/>
  </w:num>
  <w:num w:numId="50">
    <w:abstractNumId w:val="1684741"/>
  </w:num>
  <w:num w:numId="51">
    <w:abstractNumId w:val="1684742"/>
  </w:num>
  <w:num w:numId="52">
    <w:abstractNumId w:val="1684743"/>
  </w:num>
  <w:num w:numId="53">
    <w:abstractNumId w:val="1684744"/>
  </w:num>
  <w:num w:numId="54">
    <w:abstractNumId w:val="1684745"/>
  </w:num>
  <w:num w:numId="55">
    <w:abstractNumId w:val="1684746"/>
  </w:num>
  <w:num w:numId="56">
    <w:abstractNumId w:val="1684747"/>
  </w:num>
  <w:num w:numId="57">
    <w:abstractNumId w:val="1684748"/>
  </w:num>
  <w:num w:numId="58">
    <w:abstractNumId w:val="1684749"/>
  </w:num>
  <w:num w:numId="59">
    <w:abstractNumId w:val="1684750"/>
  </w:num>
  <w:num w:numId="60">
    <w:abstractNumId w:val="1684751"/>
  </w:num>
  <w:num w:numId="61">
    <w:abstractNumId w:val="1684752"/>
  </w:num>
  <w:num w:numId="62">
    <w:abstractNumId w:val="1684753"/>
  </w:num>
  <w:num w:numId="63">
    <w:abstractNumId w:val="1684754"/>
  </w:num>
  <w:num w:numId="64">
    <w:abstractNumId w:val="1684755"/>
  </w:num>
  <w:num w:numId="65">
    <w:abstractNumId w:val="1684756"/>
  </w:num>
  <w:num w:numId="66">
    <w:abstractNumId w:val="1684757"/>
  </w:num>
  <w:num w:numId="67">
    <w:abstractNumId w:val="1684758"/>
  </w:num>
  <w:num w:numId="68">
    <w:abstractNumId w:val="1684759"/>
  </w:num>
  <w:num w:numId="69">
    <w:abstractNumId w:val="1684760"/>
  </w:num>
  <w:num w:numId="70">
    <w:abstractNumId w:val="1684761"/>
  </w:num>
  <w:num w:numId="71">
    <w:abstractNumId w:val="1684762"/>
  </w:num>
  <w:num w:numId="72">
    <w:abstractNumId w:val="1684763"/>
  </w:num>
  <w:num w:numId="73">
    <w:abstractNumId w:val="1684764"/>
  </w:num>
  <w:num w:numId="74">
    <w:abstractNumId w:val="1684765"/>
  </w:num>
  <w:num w:numId="75">
    <w:abstractNumId w:val="1684766"/>
  </w:num>
  <w:num w:numId="76">
    <w:abstractNumId w:val="1684767"/>
  </w:num>
  <w:num w:numId="77">
    <w:abstractNumId w:val="1684768"/>
  </w:num>
  <w:num w:numId="78">
    <w:abstractNumId w:val="1684769"/>
  </w:num>
  <w:num w:numId="79">
    <w:abstractNumId w:val="1684770"/>
  </w:num>
  <w:num w:numId="80">
    <w:abstractNumId w:val="1684771"/>
  </w:num>
  <w:num w:numId="81">
    <w:abstractNumId w:val="16847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2026-05-29T04:06:53Z</dcterms:created>
  <dc:creator>Apache POI</dc:creator>
</cp:coreProperties>
</file>