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Dora常见Q&amp;A</w:t>
      </w:r>
      <w:r>
        <w:rPr>
          <w:rFonts w:eastAsia="等线" w:ascii="Arial" w:cs="Arial" w:hAnsi="Arial"/>
          <w:b w:val="true"/>
          <w:sz w:val="52"/>
        </w:rPr>
        <w:t xml:space="preserve"> 副本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2940"/>
        <w:gridCol w:w="313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Dora需要产研回答的问题</w:t>
            </w:r>
          </w:p>
        </w:tc>
        <w:tc>
          <w:tcPr>
            <w:tcW w:w="29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问题详细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回答状态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数据可信度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 Bain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现在金融客户对接经常会碰到各种ai团队、数据产品</w:t>
            </w:r>
            <w:r>
              <w:rPr>
                <w:rFonts w:eastAsia="等线" w:ascii="Arial" w:cs="Arial" w:hAnsi="Arial"/>
                <w:sz w:val="22"/>
              </w:rPr>
              <w:t>、或者熟练使用cc的业务用户</w:t>
            </w:r>
            <w:r>
              <w:rPr>
                <w:rFonts w:eastAsia="等线" w:ascii="Arial" w:cs="Arial" w:hAnsi="Arial"/>
                <w:sz w:val="22"/>
              </w:rPr>
              <w:t>，属于就是也对ai做了各种研究的客户，然后他们会抛一堆</w:t>
            </w:r>
            <w:r>
              <w:rPr>
                <w:rFonts w:eastAsia="等线" w:ascii="Arial" w:cs="Arial" w:hAnsi="Arial"/>
                <w:sz w:val="22"/>
              </w:rPr>
              <w:t>数据可信的</w:t>
            </w:r>
            <w:r>
              <w:rPr>
                <w:rFonts w:eastAsia="等线" w:ascii="Arial" w:cs="Arial" w:hAnsi="Arial"/>
                <w:sz w:val="22"/>
              </w:rPr>
              <w:t>问题：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比如：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【数据可信】</w:t>
            </w:r>
            <w:r>
              <w:rPr>
                <w:rFonts w:eastAsia="等线" w:ascii="Arial" w:cs="Arial" w:hAnsi="Arial"/>
                <w:sz w:val="22"/>
              </w:rPr>
              <w:t>你们怎么实现的数据可信，怎么实现的？产品架构路径是什么，技术路径是什么，算法是什么、保障是什么？作为业务技术/产品/分析师，我怎么相信你的数据返回的结果是准确的，请从产品使用、产品架构、技术架构来解释一下，以及是否有自校验的机制，你们自身的能力和大模型的分工是什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【资源消耗】</w:t>
            </w:r>
            <w:r>
              <w:rPr>
                <w:rFonts w:eastAsia="等线" w:ascii="Arial" w:cs="Arial" w:hAnsi="Arial"/>
                <w:sz w:val="22"/>
              </w:rPr>
              <w:t>哪些事情是基于大模型实现的，哪些是帆软自己搞定的，数据的计算是依赖于大模型还是bi能力？怎么确保大模型算的是对的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  <w:r>
              <w:rPr>
                <w:rFonts w:eastAsia="等线" w:ascii="Arial" w:cs="Arial" w:hAnsi="Arial"/>
                <w:sz w:val="22"/>
                <w:shd w:fill="e1eaff"/>
              </w:rPr>
              <w:t>具体回答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【数据安全】</w:t>
            </w:r>
            <w:r>
              <w:rPr>
                <w:rFonts w:eastAsia="等线" w:ascii="Arial" w:cs="Arial" w:hAnsi="Arial"/>
                <w:sz w:val="22"/>
              </w:rPr>
              <w:t>现在公司同时用的有多个模型，有本地私有化的，也有百炼，百炼是和大模型公司签了保密协议，允许数据出域，那在云端模型的这部分使用场景，帆软的安全策略是什么，我们和云端模型是怎么去交互的，比如发出一个指令，这个指令的过程哪些是dora内部搞定的，哪些是百炼来承接的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❌待回答，</w:t>
            </w:r>
            <w:r>
              <w:rPr>
                <w:rFonts w:eastAsia="等线" w:ascii="Arial" w:cs="Arial" w:hAnsi="Arial"/>
                <w:color w:val="3370ff"/>
                <w:sz w:val="22"/>
              </w:rPr>
              <w:t>@Hoky.He-何祺</w:t>
            </w:r>
            <w:r>
              <w:rPr>
                <w:rFonts w:eastAsia="等线" w:ascii="Arial" w:cs="Arial" w:hAnsi="Arial"/>
                <w:sz w:val="22"/>
              </w:rPr>
              <w:t>：需要再研究，现在没法回答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【Agent安全】sandbox、skills防注入、上下文防注入等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  <w:r>
              <w:rPr>
                <w:rFonts w:eastAsia="等线" w:ascii="Arial" w:cs="Arial" w:hAnsi="Arial"/>
                <w:sz w:val="22"/>
                <w:shd w:fill="e1eaff"/>
              </w:rPr>
              <w:t>具体回答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治理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【Agent监管】</w:t>
            </w:r>
            <w:r>
              <w:rPr>
                <w:rFonts w:eastAsia="等线" w:ascii="Arial" w:cs="Arial" w:hAnsi="Arial"/>
                <w:sz w:val="22"/>
              </w:rPr>
              <w:t>Agent365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和豆包、workbuddy有啥区别？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为什么dora是适合企业使用的agent平台？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豆包、workbuddy这个后面整理</w:t>
            </w:r>
            <w:r>
              <w:rPr>
                <w:rFonts w:eastAsia="等线" w:ascii="Arial" w:cs="Arial" w:hAnsi="Arial"/>
                <w:sz w:val="22"/>
              </w:rPr>
              <w:t xml:space="preserve"> ：❌待回答</w:t>
            </w:r>
            <w:r>
              <w:rPr>
                <w:rFonts w:eastAsia="等线" w:ascii="Arial" w:cs="Arial" w:hAnsi="Arial"/>
                <w:color w:val="3370ff"/>
                <w:sz w:val="22"/>
              </w:rPr>
              <w:t>@Hoky.He-何祺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企业级平台我的理解，后面整理：</w:t>
            </w:r>
            <w:r>
              <w:rPr>
                <w:rFonts w:eastAsia="等线" w:ascii="Arial" w:cs="Arial" w:hAnsi="Arial"/>
                <w:sz w:val="22"/>
              </w:rPr>
              <w:t>✅已回答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agent_governance.pdf</w:t>
            </w:r>
          </w:p>
        </w:tc>
      </w:tr>
      <w:tr>
        <w:tc>
          <w:tcPr>
            <w:tcW w:w="22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skill能力</w:t>
            </w:r>
            <w:r>
              <w:rPr>
                <w:rFonts w:eastAsia="等线" w:ascii="Arial" w:cs="Arial" w:hAnsi="Arial"/>
                <w:sz w:val="22"/>
              </w:rPr>
              <w:t>、Skills专业性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【skill能力】</w:t>
            </w:r>
            <w:r>
              <w:rPr>
                <w:rFonts w:eastAsia="等线" w:ascii="Arial" w:cs="Arial" w:hAnsi="Arial"/>
                <w:sz w:val="22"/>
              </w:rPr>
              <w:t>现在市场上的skill很多，你们的这些skil差异化是什么，亮点和价值是什么，比如固定报告skill、pdf skill、ppt skill？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 Loda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现在和客户沟通，DORA这个产品是绕不过去IT这个组织，极其容易被提问，你的Skills为什么比我们厉害，你们做了什么精调和工程化，这个需要一个初步的话术和介绍。【个人感觉讲得很清楚估计很难很难】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能力、</w:t>
            </w:r>
            <w:r>
              <w:rPr>
                <w:rFonts w:eastAsia="等线" w:ascii="Arial" w:cs="Arial" w:hAnsi="Arial"/>
                <w:b w:val="true"/>
                <w:sz w:val="22"/>
              </w:rPr>
              <w:t>准确度、可信度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数据分析类skill：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分析思路丰富：利用帆软多年沉淀的数据分析方法论，内置多种分析指参考、分析思路（杜邦分析、what-if分析）等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性能强：</w:t>
            </w:r>
            <w:r>
              <w:rPr>
                <w:rFonts w:eastAsia="等线" w:ascii="Arial" w:cs="Arial" w:hAnsi="Arial"/>
                <w:sz w:val="22"/>
              </w:rPr>
              <w:t>计算引擎进行深入的分析</w:t>
            </w:r>
            <w:r>
              <w:rPr>
                <w:rFonts w:eastAsia="等线" w:ascii="Arial" w:cs="Arial" w:hAnsi="Arial"/>
                <w:sz w:val="22"/>
              </w:rPr>
              <w:t>，可以处理上千万、亿级别的数据分析场景（能力）。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无缝连接已有资产：</w:t>
            </w:r>
            <w:r>
              <w:rPr>
                <w:rFonts w:eastAsia="等线" w:ascii="Arial" w:cs="Arial" w:hAnsi="Arial"/>
                <w:sz w:val="22"/>
              </w:rPr>
              <w:t>能跟帆软/外部的数据资产进行深度结合</w:t>
            </w:r>
            <w:r>
              <w:rPr>
                <w:rFonts w:eastAsia="等线" w:ascii="Arial" w:cs="Arial" w:hAnsi="Arial"/>
                <w:sz w:val="22"/>
              </w:rPr>
              <w:t>，做多维度的分析。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图表skill：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图表类型丰富</w:t>
            </w:r>
            <w:r>
              <w:rPr>
                <w:rFonts w:eastAsia="等线" w:ascii="Arial" w:cs="Arial" w:hAnsi="Arial"/>
                <w:sz w:val="22"/>
              </w:rPr>
              <w:t>结合帆软的图表经验做出的skill，</w:t>
            </w:r>
            <w:r>
              <w:rPr>
                <w:rFonts w:eastAsia="等线" w:ascii="Arial" w:cs="Arial" w:hAnsi="Arial"/>
                <w:sz w:val="22"/>
              </w:rPr>
              <w:t>支持30+种图表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无缝联动其他skills：</w:t>
            </w:r>
            <w:r>
              <w:rPr>
                <w:rFonts w:eastAsia="等线" w:ascii="Arial" w:cs="Arial" w:hAnsi="Arial"/>
                <w:sz w:val="22"/>
              </w:rPr>
              <w:t>和html报告</w:t>
            </w:r>
            <w:r>
              <w:rPr>
                <w:rFonts w:eastAsia="等线" w:ascii="Arial" w:cs="Arial" w:hAnsi="Arial"/>
                <w:sz w:val="22"/>
              </w:rPr>
              <w:t>、PPT报告等</w:t>
            </w:r>
            <w:r>
              <w:rPr>
                <w:rFonts w:eastAsia="等线" w:ascii="Arial" w:cs="Arial" w:hAnsi="Arial"/>
                <w:sz w:val="22"/>
              </w:rPr>
              <w:t>深度结合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报告/Ppt skill：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模板丰富性：</w:t>
            </w:r>
            <w:r>
              <w:rPr>
                <w:rFonts w:eastAsia="等线" w:ascii="Arial" w:cs="Arial" w:hAnsi="Arial"/>
                <w:sz w:val="22"/>
              </w:rPr>
              <w:t>结合帆软已有的数据资产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模板自定义：</w:t>
            </w:r>
            <w:r>
              <w:rPr>
                <w:rFonts w:eastAsia="等线" w:ascii="Arial" w:cs="Arial" w:hAnsi="Arial"/>
                <w:sz w:val="22"/>
              </w:rPr>
              <w:t>可以支持客户自定义模板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高精度：</w:t>
            </w:r>
            <w:r>
              <w:rPr>
                <w:rFonts w:eastAsia="等线" w:ascii="Arial" w:cs="Arial" w:hAnsi="Arial"/>
                <w:sz w:val="22"/>
              </w:rPr>
              <w:t>过程中会反复校验数据正确性，从而生成高精度的ppt、报告，保证了ai生成数据的准确度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【skill能力】</w:t>
            </w:r>
            <w:r>
              <w:rPr>
                <w:rFonts w:eastAsia="等线" w:ascii="Arial" w:cs="Arial" w:hAnsi="Arial"/>
                <w:sz w:val="22"/>
              </w:rPr>
              <w:t>固定报告的场景一般都是偏监管类的需求，对结果准确性要求非常严格，skill怎么确保准确性的，我配置的足够细就能保证准确么？那这样是不是还不如我自己代码写一个，优势是什么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[Dora Q&amp;A] 固定报告数据准确性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【用户体验】</w:t>
            </w:r>
            <w:r>
              <w:rPr>
                <w:rFonts w:eastAsia="等线" w:ascii="Arial" w:cs="Arial" w:hAnsi="Arial"/>
                <w:sz w:val="22"/>
              </w:rPr>
              <w:t>为什么模型响应速度看起来很慢？是你们的问题还是大模型的问题，我要怎么界定？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@Alicia.li-李仁敏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【tools管理】</w:t>
            </w:r>
            <w:r>
              <w:rPr>
                <w:rFonts w:eastAsia="等线" w:ascii="Arial" w:cs="Arial" w:hAnsi="Arial"/>
                <w:sz w:val="22"/>
              </w:rPr>
              <w:t>agent架构下ai根据场景需求去执行相应的动作，比如现在dora不支持图片ocr识别，但我依然上传了图片，然后我发现他就开始安装ocr识别工具了，作为平台方，这种对我的平台会有影响么，我要怎么去做管理？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@Alicia.li-李仁敏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和Chatbi的区别</w:t>
            </w:r>
            <w:r>
              <w:rPr>
                <w:rFonts w:eastAsia="等线" w:ascii="Arial" w:cs="Arial" w:hAnsi="Arial"/>
                <w:sz w:val="22"/>
              </w:rPr>
              <w:t>，进一步Dora在问数场景边界是哪？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 Gavin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Dora升级后，具体对比</w:t>
            </w:r>
            <w:r>
              <w:rPr>
                <w:rFonts w:eastAsia="等线" w:ascii="Arial" w:cs="Arial" w:hAnsi="Arial"/>
                <w:sz w:val="22"/>
              </w:rPr>
              <w:t>chatbi</w:t>
            </w:r>
            <w:r>
              <w:rPr>
                <w:rFonts w:eastAsia="等线" w:ascii="Arial" w:cs="Arial" w:hAnsi="Arial"/>
                <w:sz w:val="22"/>
              </w:rPr>
              <w:t>提升在哪里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经过几个POC后，目前对于推广问数，我们有边界吗？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@Alicia.li-李仁敏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Token消耗情况，Dora目前在问数、报告场景的token消耗有多大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✅已回答：：</w:t>
            </w:r>
            <w:r>
              <w:rPr>
                <w:rFonts w:eastAsia="等线" w:ascii="Arial" w:cs="Arial" w:hAnsi="Arial"/>
                <w:sz w:val="22"/>
                <w:shd w:fill="e1eaff"/>
              </w:rPr>
              <w:t>具体回答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token分析报告.md.pdf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Dora通用智能体的定位，能做什么 (背后更多应该就是为啥要做这个设计)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商业化层: 版本会分skill，那对通用智能体的会有哪些影响吗？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  星球群arri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@Alicia.li-李仁敏</w:t>
            </w:r>
          </w:p>
        </w:tc>
      </w:tr>
      <w:tr>
        <w:tc>
          <w:tcPr>
            <w:tcW w:w="22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星球摘录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by王笑语</w:t>
              <w:br/>
            </w:r>
            <w:r>
              <w:rPr>
                <w:rFonts w:eastAsia="等线" w:ascii="Arial" w:cs="Arial" w:hAnsi="Arial"/>
                <w:sz w:val="22"/>
              </w:rPr>
              <w:t>1、请教一个问题，dora会传多少数据给大模型？我印象中是只有表头和前几行数据，那如果是写报告的场景，没有全量的数据怎么生成准确的分析结论呢？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  <w:r>
              <w:rPr>
                <w:rFonts w:eastAsia="等线" w:ascii="Arial" w:cs="Arial" w:hAnsi="Arial"/>
                <w:sz w:val="22"/>
                <w:shd w:fill="e1eaff"/>
              </w:rPr>
              <w:t>具体回答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 gavin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现在多对话里上下文是怎么处理的，比如是有选择性的传递还是所有的上文都会给大模型（牵扯到token成本/效率问题）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Dora 具备分层上下文压缩能力。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它不会简单丢弃历史，而是根据内容的重要性、时效性和可复用性，把对话信息分为当前任务、近期上下文、历史摘要和长期记忆四层。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当前任务和近期对话会尽量完整保留，较早内容会被压缩成摘要，稳定的用户偏好和业务规则会沉淀为长期记忆，而临时数据结果、过期执行过程和大体积中间内容会被弱化或移除。这样 Dora 可以在长对话和复杂任务中持续保持上下文连续，同时避免被过长历史或过期信息干扰。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38325" cy="25908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当前dora的性能直观感受是很慢的，问数场景是因为retry，那生成报告、仪表板检索等等场景呢？希望能展开说明不同场景的性能消耗情况，为什么这么慢，受到哪些因素的影响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</w:t>
            </w:r>
            <w:r>
              <w:rPr>
                <w:rFonts w:eastAsia="等线" w:ascii="Arial" w:cs="Arial" w:hAnsi="Arial"/>
                <w:sz w:val="22"/>
              </w:rPr>
              <w:t>ora</w:t>
            </w:r>
            <w:r>
              <w:rPr>
                <w:rFonts w:eastAsia="等线" w:ascii="Arial" w:cs="Arial" w:hAnsi="Arial"/>
                <w:sz w:val="22"/>
              </w:rPr>
              <w:t>自带的system prompt比较长，为了描述我们自己的业务（比如DSL的定义等），不同的skill的skill.md的内容也会比较长，最终的结果就是给大模型的上下文会比较大，大模型的响应时间会比较久。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问数场景优化了一下，减少大模型的调用次数，提高了一波性能。但如果遇到数据分析等复杂场景，需要大模型生成分析SQL，耗时还是会比较长。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生成报告的场景需要多次查询和重复校验，生成的内容也比较多，会多次调用大模型，导致耗时比较长。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 Veronica&amp;bain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为什么本地部署的 llm 比同规格的云上部署的效果差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✅已回答：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同型号本地模型比云端慢、效果差</w:t>
            </w:r>
            <w:r>
              <w:rPr>
                <w:rFonts w:eastAsia="等线" w:ascii="Arial" w:cs="Arial" w:hAnsi="Arial"/>
                <w:b w:val="true"/>
                <w:sz w:val="22"/>
              </w:rPr>
              <w:t>不属于故障问题</w:t>
            </w:r>
            <w:r>
              <w:rPr>
                <w:rFonts w:eastAsia="等线" w:ascii="Arial" w:cs="Arial" w:hAnsi="Arial"/>
                <w:sz w:val="22"/>
              </w:rPr>
              <w:t>，是硬件层级、工程优化层级的客观差距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https://kms.fineres.com/pages/viewpage.action?pageId=1425890678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数据准确度：你们怎么处理准确性这个问题，怎么做的？怎么实现？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准确性这个问题，我们认为本质是数据可信度——不是单点的模型准确率问题，而是从用户提问到结果交付的全链路工程问题。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的不确定性是客观存在的，所以我们的设计思路不是消灭不确定性，而是把不确定性约束在可控范围内,并且让用户始终能验证。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第一层:交互层 —— 让用户"看得见"准确性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首先在交互上，我们不让用户拿到一个「裸数字」就走。每一次查询的返回，都会在关键数字上带上“脚注”，让用户可以点击查询，这个数据从哪里来。如果想要更深层次的看，点击可以看到附带可信卡片：</w:t>
      </w:r>
      <w:r>
        <w:rPr>
          <w:rFonts w:eastAsia="等线" w:ascii="Arial" w:cs="Arial" w:hAnsi="Arial"/>
          <w:b w:val="true"/>
          <w:sz w:val="22"/>
        </w:rPr>
        <w:t>指标口径、数据源、证据链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在大模型理解阶段如果有歧义，比如「大客户」到底指 GMV Top 10% 还是合同金额超过 500 万，</w:t>
      </w:r>
      <w:r>
        <w:rPr>
          <w:rFonts w:eastAsia="等线" w:ascii="Arial" w:cs="Arial" w:hAnsi="Arial"/>
          <w:b w:val="true"/>
          <w:sz w:val="22"/>
        </w:rPr>
        <w:t>DORA会反问澄清，不让模型猜</w:t>
      </w:r>
      <w:r>
        <w:rPr>
          <w:rFonts w:eastAsia="等线" w:ascii="Arial" w:cs="Arial" w:hAnsi="Arial"/>
          <w:sz w:val="22"/>
        </w:rPr>
        <w:t>。这一点在金融场景特别重要——猜错一次，用户信任就丢了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314700" cy="2314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第二层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: </w:t>
      </w:r>
      <w:r>
        <w:rPr>
          <w:rFonts w:eastAsia="等线" w:ascii="Arial" w:cs="Arial" w:hAnsi="Arial"/>
          <w:color w:val="d83931"/>
          <w:sz w:val="22"/>
          <w:shd w:fill="fff67a"/>
        </w:rPr>
        <w:t>校验层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</w:t>
      </w:r>
      <w:r>
        <w:rPr>
          <w:rFonts w:eastAsia="等线" w:ascii="Arial" w:cs="Arial" w:hAnsi="Arial"/>
          <w:color w:val="d83931"/>
          <w:sz w:val="22"/>
          <w:shd w:fill="fff67a"/>
        </w:rPr>
        <w:t>——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Agent C</w:t>
      </w:r>
      <w:r>
        <w:rPr>
          <w:rFonts w:eastAsia="等线" w:ascii="Arial" w:cs="Arial" w:hAnsi="Arial"/>
          <w:color w:val="d83931"/>
          <w:sz w:val="22"/>
          <w:shd w:fill="fff67a"/>
        </w:rPr>
        <w:t>hecker守住准确度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校验1：术语对齐：意图理解阶段，业务字典映射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校验2：DSL合法性：字段是否存在、字段类型与计算是否匹配等等DSL本身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校验3：交付前，Agent层面会判断当前结论、当前数据内容是否能符合用户预期，若不能，则Retry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第三层: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可信资产(语义)层</w:t>
      </w:r>
      <w:r>
        <w:rPr>
          <w:rFonts w:eastAsia="等线" w:ascii="Arial" w:cs="Arial" w:hAnsi="Arial"/>
          <w:color w:val="d83931"/>
          <w:sz w:val="22"/>
          <w:shd w:fill="fff67a"/>
        </w:rPr>
        <w:t>——  DSL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 </w:t>
      </w:r>
      <w:r>
        <w:rPr>
          <w:rFonts w:eastAsia="等线" w:ascii="Arial" w:cs="Arial" w:hAnsi="Arial"/>
          <w:color w:val="d83931"/>
          <w:sz w:val="22"/>
          <w:shd w:fill="fff67a"/>
        </w:rPr>
        <w:t xml:space="preserve">+BI 结合 &gt; SQL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我们和市面上大部分 NL2SQL 方案最核心的区别。</w:t>
      </w:r>
      <w:r>
        <w:rPr>
          <w:rFonts w:eastAsia="等线" w:ascii="Arial" w:cs="Arial" w:hAnsi="Arial"/>
          <w:b w:val="true"/>
          <w:sz w:val="22"/>
        </w:rPr>
        <w:t>我们不让大模型直接生成 SQL，</w:t>
      </w:r>
      <w:r>
        <w:rPr>
          <w:rFonts w:eastAsia="等线" w:ascii="Arial" w:cs="Arial" w:hAnsi="Arial"/>
          <w:sz w:val="22"/>
        </w:rPr>
        <w:t>而是让它生成 DSL——一种结构化的查询表达式，只描述 metric、dimension、filter、time 等要素。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DSL 再交给</w:t>
      </w:r>
      <w:r>
        <w:rPr>
          <w:rFonts w:eastAsia="等线" w:ascii="Arial" w:cs="Arial" w:hAnsi="Arial"/>
          <w:sz w:val="22"/>
        </w:rPr>
        <w:t>资产</w:t>
      </w:r>
      <w:r>
        <w:rPr>
          <w:rFonts w:eastAsia="等线" w:ascii="Arial" w:cs="Arial" w:hAnsi="Arial"/>
          <w:sz w:val="22"/>
        </w:rPr>
        <w:t>语义层</w:t>
      </w:r>
      <w:r>
        <w:rPr>
          <w:rFonts w:eastAsia="等线" w:ascii="Arial" w:cs="Arial" w:hAnsi="Arial"/>
          <w:sz w:val="22"/>
        </w:rPr>
        <w:t>(包括数据集/仪表板等)</w:t>
      </w:r>
      <w:r>
        <w:rPr>
          <w:rFonts w:eastAsia="等线" w:ascii="Arial" w:cs="Arial" w:hAnsi="Arial"/>
          <w:sz w:val="22"/>
        </w:rPr>
        <w:t>翻译成 SQL 或 Polars 表达式。这样做的好处是: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可控</w:t>
      </w:r>
      <w:r>
        <w:rPr>
          <w:rFonts w:eastAsia="等线" w:ascii="Arial" w:cs="Arial" w:hAnsi="Arial"/>
          <w:sz w:val="22"/>
        </w:rPr>
        <w:t>：如果生成的dsl是一套，后续的sql就是统一的，DSL+BI能够相对让大模型是稳定的输出结果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指标口径唯一：</w:t>
      </w:r>
      <w:r>
        <w:rPr>
          <w:rFonts w:eastAsia="等线" w:ascii="Arial" w:cs="Arial" w:hAnsi="Arial"/>
          <w:sz w:val="22"/>
        </w:rPr>
        <w:t>GMV、ARPU、活跃用户这些指标的定义在 BI 语义层注册,不管谁问、怎么问,算出来都是一个数。杜绝'同一个指标两个数'的经典问题。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权限可控</w:t>
      </w:r>
      <w:r>
        <w:rPr>
          <w:rFonts w:eastAsia="等线" w:ascii="Arial" w:cs="Arial" w:hAnsi="Arial"/>
          <w:sz w:val="22"/>
        </w:rPr>
        <w:t>:行级权限在语义层强制执行,看不到的数据,Agent 也查不到。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血缘可追</w:t>
      </w:r>
      <w:r>
        <w:rPr>
          <w:rFonts w:eastAsia="等线" w:ascii="Arial" w:cs="Arial" w:hAnsi="Arial"/>
          <w:sz w:val="22"/>
        </w:rPr>
        <w:t>:维度的层级关系、字段的来源都在语义层定义,出问题能定位到源头。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大模型的角色被限制在'理解意图'这一步,SQL 的正确性由确定性的语义引擎兜底,</w:t>
      </w:r>
      <w:r>
        <w:rPr>
          <w:rFonts w:eastAsia="等线" w:ascii="Arial" w:cs="Arial" w:hAnsi="Arial"/>
          <w:b w:val="true"/>
          <w:sz w:val="22"/>
        </w:rPr>
        <w:t>不依赖模型的稳定性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10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【资源消耗】</w:t>
      </w:r>
      <w:r>
        <w:rPr>
          <w:rFonts w:eastAsia="等线" w:ascii="Arial" w:cs="Arial" w:hAnsi="Arial"/>
          <w:sz w:val="22"/>
        </w:rPr>
        <w:t>哪些事情是基于大模型实现的，哪些是帆软自己搞定的，数据的计算是依赖于大模型还是bi能力？怎么确保大模型算的是对的</w:t>
      </w:r>
      <w:r>
        <w:rPr>
          <w:rFonts w:eastAsia="等线" w:ascii="Arial" w:cs="Arial" w:hAnsi="Arial"/>
          <w:color w:val="3370ff"/>
          <w:sz w:val="22"/>
        </w:rPr>
        <w:t>@Hoky.He-何祺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19600" cy="6657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和Chatbi的区别：有哪些问题是chatbi回答不了，dora能回答的？边界在哪里？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ChatBI 主要解决的是基础问数场景，也就是用户用自然语言查询某个指标、排名、占比或简单聚合结果。例如：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本月销售额是多少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各品类销售额排名如何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某渠道占比是多少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这类问题通常通过一次查询就可以得到答案。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Dora 在能力上覆盖了 ChatBI 能做的这类基础问数能力，同时进一步扩展到更复杂的数据分析场景。也就是说，ChatBI 能回答的问题，Dora 原则上也可以回答；但 Dora 能回答的问题，ChatBI 不一定能回答。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二者真正的边界在于问题复杂度。对于单次查询、简单统计、明确口径的问题，ChatBI 可以完成；但当问题涉及多步骤拆解、二次计算、复杂聚合、同比环比、归因分析，或者需要结合业务知识生成分析结论时，就进入了 Dora 更擅长的范围。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1pt;mso-width-percent:0;mso-height-percent:0;mso-width-percent:0;mso-height-percent:0" type="#_x0000_t75" o:ole="">
            <v:imagedata r:id="rId11" o:title=""/>
          </v:shape>
          <o:OLEObject DrawAspect="Icon" ObjectID="_1718471219" ProgID="Excel.Sheet.12" ShapeID="_x0000_i1025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3.请教一个问题，dora会传多少数据给大模型？我印象中是只有表头和前几行数据，那如果是写报告的场景，没有全量的数据怎么生成准确的分析结论呢？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现在是先用bi查出来过滤后的数据，生成一个数据集（csv）+ 数据简介(md)，agent会根据这个数据集+简介进行分析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【Agent监管】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通过Dora可以监管Agent和大模型通信日志服务，看到有没有明细数据给到大模型；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39053">
    <w:lvl>
      <w:numFmt w:val="bullet"/>
      <w:suff w:val="tab"/>
      <w:lvlText w:val="•"/>
      <w:rPr>
        <w:color w:val="3370ff"/>
      </w:rPr>
    </w:lvl>
  </w:abstractNum>
  <w:abstractNum w:abstractNumId="1639054">
    <w:lvl>
      <w:numFmt w:val="bullet"/>
      <w:suff w:val="tab"/>
      <w:lvlText w:val="•"/>
      <w:rPr>
        <w:color w:val="3370ff"/>
      </w:rPr>
    </w:lvl>
  </w:abstractNum>
  <w:abstractNum w:abstractNumId="1639055">
    <w:lvl>
      <w:numFmt w:val="bullet"/>
      <w:suff w:val="tab"/>
      <w:lvlText w:val="•"/>
      <w:rPr>
        <w:color w:val="3370ff"/>
      </w:rPr>
    </w:lvl>
  </w:abstractNum>
  <w:abstractNum w:abstractNumId="1639056">
    <w:lvl>
      <w:numFmt w:val="bullet"/>
      <w:suff w:val="tab"/>
      <w:lvlText w:val="•"/>
      <w:rPr>
        <w:color w:val="3370ff"/>
      </w:rPr>
    </w:lvl>
  </w:abstractNum>
  <w:abstractNum w:abstractNumId="1639057">
    <w:lvl>
      <w:numFmt w:val="bullet"/>
      <w:suff w:val="tab"/>
      <w:lvlText w:val="￮"/>
      <w:rPr>
        <w:color w:val="3370ff"/>
      </w:rPr>
    </w:lvl>
  </w:abstractNum>
  <w:abstractNum w:abstractNumId="1639058">
    <w:lvl>
      <w:numFmt w:val="bullet"/>
      <w:suff w:val="tab"/>
      <w:lvlText w:val="•"/>
      <w:rPr>
        <w:color w:val="3370ff"/>
      </w:rPr>
    </w:lvl>
  </w:abstractNum>
  <w:abstractNum w:abstractNumId="1639059">
    <w:lvl>
      <w:numFmt w:val="bullet"/>
      <w:suff w:val="tab"/>
      <w:lvlText w:val="￮"/>
      <w:rPr>
        <w:color w:val="3370ff"/>
      </w:rPr>
    </w:lvl>
  </w:abstractNum>
  <w:abstractNum w:abstractNumId="1639060">
    <w:lvl>
      <w:numFmt w:val="bullet"/>
      <w:suff w:val="tab"/>
      <w:lvlText w:val="￮"/>
      <w:rPr>
        <w:color w:val="3370ff"/>
      </w:rPr>
    </w:lvl>
  </w:abstractNum>
  <w:abstractNum w:abstractNumId="1639061">
    <w:lvl>
      <w:numFmt w:val="bullet"/>
      <w:suff w:val="tab"/>
      <w:lvlText w:val="￮"/>
      <w:rPr>
        <w:color w:val="3370ff"/>
      </w:rPr>
    </w:lvl>
  </w:abstractNum>
  <w:abstractNum w:abstractNumId="1639062">
    <w:lvl>
      <w:numFmt w:val="bullet"/>
      <w:suff w:val="tab"/>
      <w:lvlText w:val="•"/>
      <w:rPr>
        <w:color w:val="3370ff"/>
      </w:rPr>
    </w:lvl>
  </w:abstractNum>
  <w:abstractNum w:abstractNumId="1639063">
    <w:lvl>
      <w:numFmt w:val="bullet"/>
      <w:suff w:val="tab"/>
      <w:lvlText w:val="￮"/>
      <w:rPr>
        <w:color w:val="3370ff"/>
      </w:rPr>
    </w:lvl>
  </w:abstractNum>
  <w:abstractNum w:abstractNumId="1639064">
    <w:lvl>
      <w:numFmt w:val="bullet"/>
      <w:suff w:val="tab"/>
      <w:lvlText w:val="￮"/>
      <w:rPr>
        <w:color w:val="3370ff"/>
      </w:rPr>
    </w:lvl>
  </w:abstractNum>
  <w:abstractNum w:abstractNumId="1639065">
    <w:lvl>
      <w:numFmt w:val="bullet"/>
      <w:suff w:val="tab"/>
      <w:lvlText w:val="•"/>
      <w:rPr>
        <w:color w:val="3370ff"/>
      </w:rPr>
    </w:lvl>
  </w:abstractNum>
  <w:abstractNum w:abstractNumId="1639066">
    <w:lvl>
      <w:numFmt w:val="bullet"/>
      <w:suff w:val="tab"/>
      <w:lvlText w:val="￮"/>
      <w:rPr>
        <w:color w:val="3370ff"/>
      </w:rPr>
    </w:lvl>
  </w:abstractNum>
  <w:abstractNum w:abstractNumId="1639067">
    <w:lvl>
      <w:numFmt w:val="bullet"/>
      <w:suff w:val="tab"/>
      <w:lvlText w:val="￮"/>
      <w:rPr>
        <w:color w:val="3370ff"/>
      </w:rPr>
    </w:lvl>
  </w:abstractNum>
  <w:abstractNum w:abstractNumId="1639068">
    <w:lvl>
      <w:numFmt w:val="bullet"/>
      <w:suff w:val="tab"/>
      <w:lvlText w:val="￮"/>
      <w:rPr>
        <w:color w:val="3370ff"/>
      </w:rPr>
    </w:lvl>
  </w:abstractNum>
  <w:abstractNum w:abstractNumId="1639069">
    <w:lvl>
      <w:start w:val="1"/>
      <w:numFmt w:val="decimal"/>
      <w:suff w:val="tab"/>
      <w:lvlText w:val="%1."/>
      <w:rPr>
        <w:color w:val="3370ff"/>
      </w:rPr>
    </w:lvl>
  </w:abstractNum>
  <w:abstractNum w:abstractNumId="1639070">
    <w:lvl>
      <w:start w:val="2"/>
      <w:numFmt w:val="decimal"/>
      <w:suff w:val="tab"/>
      <w:lvlText w:val="%1."/>
      <w:rPr>
        <w:color w:val="3370ff"/>
      </w:rPr>
    </w:lvl>
  </w:abstractNum>
  <w:abstractNum w:abstractNumId="1639071">
    <w:lvl>
      <w:numFmt w:val="bullet"/>
      <w:suff w:val="tab"/>
      <w:lvlText w:val="•"/>
      <w:rPr>
        <w:color w:val="3370ff"/>
      </w:rPr>
    </w:lvl>
  </w:abstractNum>
  <w:abstractNum w:abstractNumId="1639072">
    <w:lvl>
      <w:numFmt w:val="bullet"/>
      <w:suff w:val="tab"/>
      <w:lvlText w:val="•"/>
      <w:rPr>
        <w:color w:val="3370ff"/>
      </w:rPr>
    </w:lvl>
  </w:abstractNum>
  <w:abstractNum w:abstractNumId="1639073">
    <w:lvl>
      <w:numFmt w:val="bullet"/>
      <w:suff w:val="tab"/>
      <w:lvlText w:val="•"/>
      <w:rPr>
        <w:color w:val="3370ff"/>
      </w:rPr>
    </w:lvl>
  </w:abstractNum>
  <w:abstractNum w:abstractNumId="1639074">
    <w:lvl>
      <w:numFmt w:val="bullet"/>
      <w:suff w:val="tab"/>
      <w:lvlText w:val="•"/>
      <w:rPr>
        <w:color w:val="3370ff"/>
      </w:rPr>
    </w:lvl>
  </w:abstractNum>
  <w:abstractNum w:abstractNumId="1639075">
    <w:lvl>
      <w:numFmt w:val="bullet"/>
      <w:suff w:val="tab"/>
      <w:lvlText w:val="•"/>
      <w:rPr>
        <w:color w:val="3370ff"/>
      </w:rPr>
    </w:lvl>
  </w:abstractNum>
  <w:abstractNum w:abstractNumId="1639076">
    <w:lvl>
      <w:numFmt w:val="bullet"/>
      <w:suff w:val="tab"/>
      <w:lvlText w:val="•"/>
      <w:rPr>
        <w:color w:val="3370ff"/>
      </w:rPr>
    </w:lvl>
  </w:abstractNum>
  <w:abstractNum w:abstractNumId="1639077">
    <w:lvl>
      <w:numFmt w:val="bullet"/>
      <w:suff w:val="tab"/>
      <w:lvlText w:val="•"/>
      <w:rPr>
        <w:color w:val="3370ff"/>
      </w:rPr>
    </w:lvl>
  </w:abstractNum>
  <w:abstractNum w:abstractNumId="1639078">
    <w:lvl>
      <w:numFmt w:val="bullet"/>
      <w:suff w:val="tab"/>
      <w:lvlText w:val="•"/>
      <w:rPr>
        <w:color w:val="3370ff"/>
      </w:rPr>
    </w:lvl>
  </w:abstractNum>
  <w:abstractNum w:abstractNumId="1639079">
    <w:lvl>
      <w:numFmt w:val="bullet"/>
      <w:suff w:val="tab"/>
      <w:lvlText w:val="•"/>
      <w:rPr>
        <w:color w:val="3370ff"/>
      </w:rPr>
    </w:lvl>
  </w:abstractNum>
  <w:abstractNum w:abstractNumId="1639080">
    <w:lvl>
      <w:numFmt w:val="bullet"/>
      <w:suff w:val="tab"/>
      <w:lvlText w:val="•"/>
      <w:rPr>
        <w:color w:val="3370ff"/>
      </w:rPr>
    </w:lvl>
  </w:abstractNum>
  <w:abstractNum w:abstractNumId="1639081">
    <w:lvl>
      <w:numFmt w:val="bullet"/>
      <w:suff w:val="tab"/>
      <w:lvlText w:val="•"/>
      <w:rPr>
        <w:color w:val="3370ff"/>
      </w:rPr>
    </w:lvl>
  </w:abstractNum>
  <w:abstractNum w:abstractNumId="1639082">
    <w:lvl>
      <w:numFmt w:val="bullet"/>
      <w:suff w:val="tab"/>
      <w:lvlText w:val="•"/>
      <w:rPr>
        <w:color w:val="3370ff"/>
      </w:rPr>
    </w:lvl>
  </w:abstractNum>
  <w:num w:numId="1">
    <w:abstractNumId w:val="1639053"/>
  </w:num>
  <w:num w:numId="2">
    <w:abstractNumId w:val="1639054"/>
  </w:num>
  <w:num w:numId="3">
    <w:abstractNumId w:val="1639055"/>
  </w:num>
  <w:num w:numId="4">
    <w:abstractNumId w:val="1639056"/>
  </w:num>
  <w:num w:numId="5">
    <w:abstractNumId w:val="1639057"/>
  </w:num>
  <w:num w:numId="6">
    <w:abstractNumId w:val="1639058"/>
  </w:num>
  <w:num w:numId="7">
    <w:abstractNumId w:val="1639059"/>
  </w:num>
  <w:num w:numId="8">
    <w:abstractNumId w:val="1639060"/>
  </w:num>
  <w:num w:numId="9">
    <w:abstractNumId w:val="1639061"/>
  </w:num>
  <w:num w:numId="10">
    <w:abstractNumId w:val="1639062"/>
  </w:num>
  <w:num w:numId="11">
    <w:abstractNumId w:val="1639063"/>
  </w:num>
  <w:num w:numId="12">
    <w:abstractNumId w:val="1639064"/>
  </w:num>
  <w:num w:numId="13">
    <w:abstractNumId w:val="1639065"/>
  </w:num>
  <w:num w:numId="14">
    <w:abstractNumId w:val="1639066"/>
  </w:num>
  <w:num w:numId="15">
    <w:abstractNumId w:val="1639067"/>
  </w:num>
  <w:num w:numId="16">
    <w:abstractNumId w:val="1639068"/>
  </w:num>
  <w:num w:numId="17">
    <w:abstractNumId w:val="1639069"/>
  </w:num>
  <w:num w:numId="18">
    <w:abstractNumId w:val="1639070"/>
  </w:num>
  <w:num w:numId="19">
    <w:abstractNumId w:val="1639071"/>
  </w:num>
  <w:num w:numId="20">
    <w:abstractNumId w:val="1639072"/>
  </w:num>
  <w:num w:numId="21">
    <w:abstractNumId w:val="1639073"/>
  </w:num>
  <w:num w:numId="22">
    <w:abstractNumId w:val="1639074"/>
  </w:num>
  <w:num w:numId="23">
    <w:abstractNumId w:val="1639075"/>
  </w:num>
  <w:num w:numId="24">
    <w:abstractNumId w:val="1639076"/>
  </w:num>
  <w:num w:numId="25">
    <w:abstractNumId w:val="1639077"/>
  </w:num>
  <w:num w:numId="26">
    <w:abstractNumId w:val="1639078"/>
  </w:num>
  <w:num w:numId="27">
    <w:abstractNumId w:val="1639079"/>
  </w:num>
  <w:num w:numId="28">
    <w:abstractNumId w:val="1639080"/>
  </w:num>
  <w:num w:numId="29">
    <w:abstractNumId w:val="1639081"/>
  </w:num>
  <w:num w:numId="30">
    <w:abstractNumId w:val="16390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1.xlsx" Type="http://schemas.openxmlformats.org/officeDocument/2006/relationships/pack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fanruan-x.feishu.cn/wiki/FGldwhNM3imN1ykn4VPcTXthnFc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2026-05-29T04:18:09Z</dcterms:created>
  <dc:creator>Apache POI</dc:creator>
</cp:coreProperties>
</file>