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color w:val="111111"/>
          <w:sz w:val="40"/>
        </w:rPr>
        <w:t>广东省重要迁徙鸟类疫病监测预警体系与风险评估</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4706"/>
        <w:gridCol w:w="4706"/>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项目</w:t>
            </w:r>
          </w:p>
        </w:tc>
        <w:tc>
          <w:tcPr>
            <w:tcW w:type="dxa" w:w="771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基本思路</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先建立指标体系，再选择鸟类数量多、代表性强、资料可补充的地点，最后根据各地点鸟类名录和监测资料计算风险值。</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方法参照</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可参考鸟撞风险模型的做法，把一个地点内不同鸟种的数量、出现频次、季节和接触场景转化为可加总的风险贡献。</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资料口径</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年度水鸟调查、保护区调查、监测站记录和公开鸟类名录均可作为依据；单一年份调查只作为部分证据，不作为唯一依据。</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后续工作</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待补充三个代表地点的鸟类名录、优势物种、数量或频次、季节变化后，再计算地点风险值并进行比较。</w:t>
            </w:r>
          </w:p>
        </w:tc>
      </w:tr>
    </w:tbl>
    <w:p>
      <w:pPr>
        <w:spacing w:after="80"/>
      </w:pPr>
    </w:p>
    <w:p>
      <w:pPr>
        <w:pStyle w:val="Heading1"/>
        <w:spacing w:before="200" w:after="100"/>
      </w:pPr>
      <w:r>
        <w:rPr>
          <w:rFonts w:ascii="Arial" w:hAnsi="Arial" w:eastAsia="Microsoft YaHei"/>
          <w:b/>
          <w:color w:val="111111"/>
        </w:rPr>
        <w:t>一、总体思路</w:t>
      </w:r>
    </w:p>
    <w:p>
      <w:pPr>
        <w:spacing w:after="120"/>
      </w:pPr>
      <w:r>
        <w:rPr>
          <w:rFonts w:ascii="Arial" w:hAnsi="Arial" w:eastAsia="Microsoft YaHei"/>
        </w:rPr>
        <w:t>本体系调整为“先建指标、再选地点、再计算风险值”的思路。前期不急于给出最终风险排序，而是先明确需要收集哪些数据、如何把鸟类名录转化为可计算变量，以及代表地点之间如何进行横向比较。</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68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步骤</w:t>
            </w:r>
          </w:p>
        </w:tc>
        <w:tc>
          <w:tcPr>
            <w:tcW w:type="dxa" w:w="5783"/>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主要任务</w:t>
            </w:r>
          </w:p>
        </w:tc>
        <w:tc>
          <w:tcPr>
            <w:tcW w:type="dxa" w:w="294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输出结果</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1</w:t>
            </w:r>
          </w:p>
        </w:tc>
        <w:tc>
          <w:tcPr>
            <w:tcW w:type="dxa" w:w="5783"/>
            <w:tcMar>
              <w:top w:w="90" w:type="dxa"/>
              <w:start w:w="110" w:type="dxa"/>
              <w:bottom w:w="90" w:type="dxa"/>
              <w:end w:w="110" w:type="dxa"/>
            </w:tcMar>
            <w:vAlign w:val="center"/>
          </w:tcPr>
          <w:p>
            <w:pPr>
              <w:spacing w:after="0"/>
            </w:pPr>
            <w:r>
              <w:rPr>
                <w:rFonts w:ascii="Arial" w:hAnsi="Arial" w:eastAsia="Microsoft YaHei"/>
                <w:sz w:val="18"/>
              </w:rPr>
              <w:t>构建指标体系，明确鸟类、栖息地、接触场景、监测基础和异常信号等核心变量。</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全省通用的风险评价指标体系</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2</w:t>
            </w:r>
          </w:p>
        </w:tc>
        <w:tc>
          <w:tcPr>
            <w:tcW w:type="dxa" w:w="5783"/>
            <w:tcMar>
              <w:top w:w="90" w:type="dxa"/>
              <w:start w:w="110" w:type="dxa"/>
              <w:bottom w:w="90" w:type="dxa"/>
              <w:end w:w="110" w:type="dxa"/>
            </w:tcMar>
            <w:vAlign w:val="center"/>
          </w:tcPr>
          <w:p>
            <w:pPr>
              <w:spacing w:after="0"/>
            </w:pPr>
            <w:r>
              <w:rPr>
                <w:rFonts w:ascii="Arial" w:hAnsi="Arial" w:eastAsia="Microsoft YaHei"/>
                <w:sz w:val="18"/>
              </w:rPr>
              <w:t>选择代表性地点，优先考虑鸟类数量多、湿地类型典型、资料可获得、监测基础较清楚的区域。</w:t>
            </w:r>
          </w:p>
        </w:tc>
        <w:tc>
          <w:tcPr>
            <w:tcW w:type="dxa" w:w="2948"/>
            <w:tcMar>
              <w:top w:w="90" w:type="dxa"/>
              <w:start w:w="110" w:type="dxa"/>
              <w:bottom w:w="90" w:type="dxa"/>
              <w:end w:w="110" w:type="dxa"/>
            </w:tcMar>
            <w:vAlign w:val="center"/>
          </w:tcPr>
          <w:p>
            <w:pPr>
              <w:spacing w:after="0"/>
            </w:pPr>
            <w:r>
              <w:rPr>
                <w:rFonts w:ascii="Arial" w:hAnsi="Arial" w:eastAsia="Microsoft YaHei"/>
                <w:sz w:val="18"/>
              </w:rPr>
              <w:t>粤东、珠江口/大湾区、粤西代表样区</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3</w:t>
            </w:r>
          </w:p>
        </w:tc>
        <w:tc>
          <w:tcPr>
            <w:tcW w:type="dxa" w:w="5783"/>
            <w:tcMar>
              <w:top w:w="90" w:type="dxa"/>
              <w:start w:w="110" w:type="dxa"/>
              <w:bottom w:w="90" w:type="dxa"/>
              <w:end w:w="110" w:type="dxa"/>
            </w:tcMar>
            <w:vAlign w:val="center"/>
          </w:tcPr>
          <w:p>
            <w:pPr>
              <w:spacing w:after="0"/>
            </w:pPr>
            <w:r>
              <w:rPr>
                <w:rFonts w:ascii="Arial" w:hAnsi="Arial" w:eastAsia="Microsoft YaHei"/>
                <w:sz w:val="18"/>
              </w:rPr>
              <w:t>补充地点鸟类名录，记录每个地点的物种、类群、数量或出现频次、季节、优势物种等。</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地点—物种基础数据库</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4</w:t>
            </w:r>
          </w:p>
        </w:tc>
        <w:tc>
          <w:tcPr>
            <w:tcW w:type="dxa" w:w="5783"/>
            <w:tcMar>
              <w:top w:w="90" w:type="dxa"/>
              <w:start w:w="110" w:type="dxa"/>
              <w:bottom w:w="90" w:type="dxa"/>
              <w:end w:w="110" w:type="dxa"/>
            </w:tcMar>
            <w:vAlign w:val="center"/>
          </w:tcPr>
          <w:p>
            <w:pPr>
              <w:spacing w:after="0"/>
            </w:pPr>
            <w:r>
              <w:rPr>
                <w:rFonts w:ascii="Arial" w:hAnsi="Arial" w:eastAsia="Microsoft YaHei"/>
                <w:sz w:val="18"/>
              </w:rPr>
              <w:t>参考鸟撞风险模型，将单个物种的风险贡献加总为地点风险值。</w:t>
            </w:r>
          </w:p>
        </w:tc>
        <w:tc>
          <w:tcPr>
            <w:tcW w:type="dxa" w:w="2948"/>
            <w:tcMar>
              <w:top w:w="90" w:type="dxa"/>
              <w:start w:w="110" w:type="dxa"/>
              <w:bottom w:w="90" w:type="dxa"/>
              <w:end w:w="110" w:type="dxa"/>
            </w:tcMar>
            <w:vAlign w:val="center"/>
          </w:tcPr>
          <w:p>
            <w:pPr>
              <w:spacing w:after="0"/>
            </w:pPr>
            <w:r>
              <w:rPr>
                <w:rFonts w:ascii="Arial" w:hAnsi="Arial" w:eastAsia="Microsoft YaHei"/>
                <w:sz w:val="18"/>
              </w:rPr>
              <w:t>代表地点综合风险值</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5</w:t>
            </w:r>
          </w:p>
        </w:tc>
        <w:tc>
          <w:tcPr>
            <w:tcW w:type="dxa" w:w="5783"/>
            <w:tcMar>
              <w:top w:w="90" w:type="dxa"/>
              <w:start w:w="110" w:type="dxa"/>
              <w:bottom w:w="90" w:type="dxa"/>
              <w:end w:w="110" w:type="dxa"/>
            </w:tcMar>
            <w:vAlign w:val="center"/>
          </w:tcPr>
          <w:p>
            <w:pPr>
              <w:spacing w:after="0"/>
            </w:pPr>
            <w:r>
              <w:rPr>
                <w:rFonts w:ascii="Arial" w:hAnsi="Arial" w:eastAsia="Microsoft YaHei"/>
                <w:sz w:val="18"/>
              </w:rPr>
              <w:t>结合异常死亡、疑似或确诊结果等事件信号，对计算结果进行年度校正和预警触发。</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年度风险评估和预警建议</w:t>
            </w:r>
          </w:p>
        </w:tc>
      </w:tr>
    </w:tbl>
    <w:p>
      <w:pPr>
        <w:spacing w:after="80"/>
      </w:pPr>
    </w:p>
    <w:p>
      <w:pPr>
        <w:pStyle w:val="Heading1"/>
        <w:spacing w:before="200" w:after="100"/>
      </w:pPr>
      <w:r>
        <w:rPr>
          <w:rFonts w:ascii="Arial" w:hAnsi="Arial" w:eastAsia="Microsoft YaHei"/>
          <w:b/>
          <w:color w:val="111111"/>
        </w:rPr>
        <w:t>二、代表地点选择原则</w:t>
      </w:r>
    </w:p>
    <w:p>
      <w:pPr>
        <w:spacing w:after="120"/>
      </w:pPr>
      <w:r>
        <w:rPr>
          <w:rFonts w:ascii="Arial" w:hAnsi="Arial" w:eastAsia="Microsoft YaHei"/>
        </w:rPr>
        <w:t>代表地点不是由某一份年度调查报告单独推导出来，而是根据广东省沿海水鸟长期分布特点、重要湿地格局、鸟类数量、栖息地代表性和现有监测基础综合确定。年度调查结果可作为补充证据，用于说明这些地点具有较高鸟类数量或持续监测价值。</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136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区域</w:t>
            </w:r>
          </w:p>
        </w:tc>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代表地点</w:t>
            </w:r>
          </w:p>
        </w:tc>
        <w:tc>
          <w:tcPr>
            <w:tcW w:type="dxa" w:w="351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选择依据</w:t>
            </w:r>
          </w:p>
        </w:tc>
        <w:tc>
          <w:tcPr>
            <w:tcW w:type="dxa" w:w="272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后续需补充</w:t>
            </w:r>
          </w:p>
        </w:tc>
      </w:tr>
      <w:tr>
        <w:tc>
          <w:tcPr>
            <w:tcW w:type="dxa" w:w="1360"/>
            <w:tcMar>
              <w:top w:w="90" w:type="dxa"/>
              <w:start w:w="110" w:type="dxa"/>
              <w:bottom w:w="90" w:type="dxa"/>
              <w:end w:w="110" w:type="dxa"/>
            </w:tcMar>
            <w:vAlign w:val="center"/>
          </w:tcPr>
          <w:p>
            <w:pPr>
              <w:spacing w:after="0"/>
              <w:jc w:val="center"/>
            </w:pPr>
            <w:r>
              <w:rPr>
                <w:rFonts w:ascii="Arial" w:hAnsi="Arial" w:eastAsia="Microsoft YaHei"/>
                <w:sz w:val="18"/>
              </w:rPr>
              <w:t>粤东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广东海丰湿地</w:t>
            </w:r>
          </w:p>
        </w:tc>
        <w:tc>
          <w:tcPr>
            <w:tcW w:type="dxa" w:w="3515"/>
            <w:tcMar>
              <w:top w:w="90" w:type="dxa"/>
              <w:start w:w="110" w:type="dxa"/>
              <w:bottom w:w="90" w:type="dxa"/>
              <w:end w:w="110" w:type="dxa"/>
            </w:tcMar>
            <w:vAlign w:val="center"/>
          </w:tcPr>
          <w:p>
            <w:pPr>
              <w:spacing w:after="0"/>
            </w:pPr>
            <w:r>
              <w:rPr>
                <w:rFonts w:ascii="Arial" w:hAnsi="Arial" w:eastAsia="Microsoft YaHei"/>
                <w:sz w:val="18"/>
              </w:rPr>
              <w:t>鸟类数量较多，滨海湿地和鱼塘复合生境典型，具有粤东水鸟停歇和越冬地代表性。</w:t>
            </w:r>
          </w:p>
        </w:tc>
        <w:tc>
          <w:tcPr>
            <w:tcW w:type="dxa" w:w="2721"/>
            <w:tcMar>
              <w:top w:w="90" w:type="dxa"/>
              <w:start w:w="110" w:type="dxa"/>
              <w:bottom w:w="90" w:type="dxa"/>
              <w:end w:w="110" w:type="dxa"/>
            </w:tcMar>
            <w:vAlign w:val="center"/>
          </w:tcPr>
          <w:p>
            <w:pPr>
              <w:spacing w:after="0"/>
            </w:pPr>
            <w:r>
              <w:rPr>
                <w:rFonts w:ascii="Arial" w:hAnsi="Arial" w:eastAsia="Microsoft YaHei"/>
                <w:sz w:val="18"/>
              </w:rPr>
              <w:t>完整鸟类名录、优势物种、数量等级、季节变化、异常记录</w:t>
            </w:r>
          </w:p>
        </w:tc>
      </w:tr>
      <w:tr>
        <w:tc>
          <w:tcPr>
            <w:tcW w:type="dxa" w:w="1360"/>
            <w:tcMar>
              <w:top w:w="90" w:type="dxa"/>
              <w:start w:w="110" w:type="dxa"/>
              <w:bottom w:w="90" w:type="dxa"/>
              <w:end w:w="110" w:type="dxa"/>
            </w:tcMar>
            <w:vAlign w:val="center"/>
          </w:tcPr>
          <w:p>
            <w:pPr>
              <w:spacing w:after="0"/>
            </w:pPr>
            <w:r>
              <w:rPr>
                <w:rFonts w:ascii="Arial" w:hAnsi="Arial" w:eastAsia="Microsoft YaHei"/>
                <w:sz w:val="18"/>
              </w:rPr>
              <w:t>珠江口 / 大湾区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3515"/>
            <w:tcMar>
              <w:top w:w="90" w:type="dxa"/>
              <w:start w:w="110" w:type="dxa"/>
              <w:bottom w:w="90" w:type="dxa"/>
              <w:end w:w="110" w:type="dxa"/>
            </w:tcMar>
            <w:vAlign w:val="center"/>
          </w:tcPr>
          <w:p>
            <w:pPr>
              <w:spacing w:after="0"/>
            </w:pPr>
            <w:r>
              <w:rPr>
                <w:rFonts w:ascii="Arial" w:hAnsi="Arial" w:eastAsia="Microsoft YaHei"/>
                <w:sz w:val="18"/>
              </w:rPr>
              <w:t>鸟类数量不低，城市湿地、人鸟接触和公众活动场景明显，适合作为大湾区代表样区。</w:t>
            </w:r>
          </w:p>
        </w:tc>
        <w:tc>
          <w:tcPr>
            <w:tcW w:type="dxa" w:w="2721"/>
            <w:tcMar>
              <w:top w:w="90" w:type="dxa"/>
              <w:start w:w="110" w:type="dxa"/>
              <w:bottom w:w="90" w:type="dxa"/>
              <w:end w:w="110" w:type="dxa"/>
            </w:tcMar>
            <w:vAlign w:val="center"/>
          </w:tcPr>
          <w:p>
            <w:pPr>
              <w:spacing w:after="0"/>
            </w:pPr>
            <w:r>
              <w:rPr>
                <w:rFonts w:ascii="Arial" w:hAnsi="Arial" w:eastAsia="Microsoft YaHei"/>
                <w:sz w:val="18"/>
              </w:rPr>
              <w:t>鸟类名录、重点类群、公众活动场景、接触界面、救护记录</w:t>
            </w:r>
          </w:p>
        </w:tc>
      </w:tr>
      <w:tr>
        <w:tc>
          <w:tcPr>
            <w:tcW w:type="dxa" w:w="1360"/>
            <w:tcMar>
              <w:top w:w="90" w:type="dxa"/>
              <w:start w:w="110" w:type="dxa"/>
              <w:bottom w:w="90" w:type="dxa"/>
              <w:end w:w="110" w:type="dxa"/>
            </w:tcMar>
            <w:vAlign w:val="center"/>
          </w:tcPr>
          <w:p>
            <w:pPr>
              <w:spacing w:after="0"/>
              <w:jc w:val="center"/>
            </w:pPr>
            <w:r>
              <w:rPr>
                <w:rFonts w:ascii="Arial" w:hAnsi="Arial" w:eastAsia="Microsoft YaHei"/>
                <w:sz w:val="18"/>
              </w:rPr>
              <w:t>粤西</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湛江雷州湾</w:t>
            </w:r>
          </w:p>
        </w:tc>
        <w:tc>
          <w:tcPr>
            <w:tcW w:type="dxa" w:w="3515"/>
            <w:tcMar>
              <w:top w:w="90" w:type="dxa"/>
              <w:start w:w="110" w:type="dxa"/>
              <w:bottom w:w="90" w:type="dxa"/>
              <w:end w:w="110" w:type="dxa"/>
            </w:tcMar>
            <w:vAlign w:val="center"/>
          </w:tcPr>
          <w:p>
            <w:pPr>
              <w:spacing w:after="0"/>
            </w:pPr>
            <w:r>
              <w:rPr>
                <w:rFonts w:ascii="Arial" w:hAnsi="Arial" w:eastAsia="Microsoft YaHei"/>
                <w:sz w:val="18"/>
              </w:rPr>
              <w:t>水鸟数量高，沿海滩涂和红树林湿地连续分布，具有粤西迁徙和越冬水鸟聚集代表性。</w:t>
            </w:r>
          </w:p>
        </w:tc>
        <w:tc>
          <w:tcPr>
            <w:tcW w:type="dxa" w:w="2721"/>
            <w:tcMar>
              <w:top w:w="90" w:type="dxa"/>
              <w:start w:w="110" w:type="dxa"/>
              <w:bottom w:w="90" w:type="dxa"/>
              <w:end w:w="110" w:type="dxa"/>
            </w:tcMar>
            <w:vAlign w:val="center"/>
          </w:tcPr>
          <w:p>
            <w:pPr>
              <w:spacing w:after="0"/>
            </w:pPr>
            <w:r>
              <w:rPr>
                <w:rFonts w:ascii="Arial" w:hAnsi="Arial" w:eastAsia="Microsoft YaHei"/>
                <w:sz w:val="18"/>
              </w:rPr>
              <w:t>鸟类名录、优势物种、迁徙停歇情况、年度数量变化、异常死亡记录</w:t>
            </w:r>
          </w:p>
        </w:tc>
      </w:tr>
    </w:tbl>
    <w:p>
      <w:pPr>
        <w:spacing w:after="80"/>
      </w:pPr>
    </w:p>
    <w:p>
      <w:pPr>
        <w:pStyle w:val="Heading1"/>
        <w:spacing w:before="200" w:after="100"/>
      </w:pPr>
      <w:r>
        <w:rPr>
          <w:rFonts w:ascii="Arial" w:hAnsi="Arial" w:eastAsia="Microsoft YaHei"/>
          <w:b/>
          <w:color w:val="111111"/>
        </w:rPr>
        <w:t>三、风险值计算方法</w:t>
      </w:r>
    </w:p>
    <w:p>
      <w:pPr>
        <w:spacing w:after="120"/>
      </w:pPr>
      <w:r>
        <w:rPr>
          <w:rFonts w:ascii="Arial" w:hAnsi="Arial" w:eastAsia="Microsoft YaHei"/>
        </w:rPr>
        <w:t>可将每个代表地点看作一个样区，将样区内每个鸟种看作一个风险贡献单元。参考鸟撞风险模型中“物种风险贡献可加总”的处理方式，先计算单个物种的风险贡献值，再汇总为地点风险值。</w:t>
      </w:r>
    </w:p>
    <w:p>
      <w:pPr>
        <w:spacing w:after="120"/>
      </w:pPr>
      <w:r>
        <w:rPr>
          <w:rFonts w:ascii="Arial" w:hAnsi="Arial" w:eastAsia="Microsoft YaHei"/>
        </w:rPr>
        <w:t>建议采用简化公式：地点风险值 Rsite = Σ（Ai × Hi × Si × Ci） × M。</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85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变量</w:t>
            </w:r>
          </w:p>
        </w:tc>
        <w:tc>
          <w:tcPr>
            <w:tcW w:type="dxa" w:w="192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含义</w:t>
            </w:r>
          </w:p>
        </w:tc>
        <w:tc>
          <w:tcPr>
            <w:tcW w:type="dxa" w:w="345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建议取值方式</w:t>
            </w:r>
          </w:p>
        </w:tc>
        <w:tc>
          <w:tcPr>
            <w:tcW w:type="dxa" w:w="317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Ai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物种数量或出现强度</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按数量等级、出现频次或优势度赋值，例如1—5分。</w:t>
            </w:r>
          </w:p>
        </w:tc>
        <w:tc>
          <w:tcPr>
            <w:tcW w:type="dxa" w:w="3175"/>
            <w:tcMar>
              <w:top w:w="90" w:type="dxa"/>
              <w:start w:w="110" w:type="dxa"/>
              <w:bottom w:w="90" w:type="dxa"/>
              <w:end w:w="110" w:type="dxa"/>
            </w:tcMar>
            <w:vAlign w:val="center"/>
          </w:tcPr>
          <w:p>
            <w:pPr>
              <w:spacing w:after="0"/>
            </w:pPr>
            <w:r>
              <w:rPr>
                <w:rFonts w:ascii="Arial" w:hAnsi="Arial" w:eastAsia="Microsoft YaHei"/>
                <w:sz w:val="18"/>
              </w:rPr>
              <w:t>解决“这个地点鸟多不多、该物种常不常见”的问题。</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Hi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物种宿主关注系数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按水鸟类群和公开资料中对疫病监测的关注程度赋值。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不需要先写死具体病原学结论，可先按类群和专家意见给分。</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Si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季节与聚集系数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按迁徙季、越冬期、繁殖期或全年留居情况赋值。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体现同一物种在不同季节对监测预警的意义不同。</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Ci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接触场景系数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按是否靠近公众活动区、养殖界面、鱼塘、水库、城市湿地等赋值。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体现鸟群活动与人、家禽或管理场景的空间关系。</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M</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监测修正系数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按监测站覆盖、数据连续性、异常死亡记录和检测结果反馈情况修正。</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用于把地点监测基础和事件信号纳入最终结果。</w:t>
            </w:r>
          </w:p>
        </w:tc>
      </w:tr>
    </w:tbl>
    <w:p>
      <w:pPr>
        <w:spacing w:after="80"/>
      </w:pPr>
    </w:p>
    <w:p>
      <w:pPr>
        <w:spacing w:after="120"/>
      </w:pPr>
      <w:r>
        <w:rPr>
          <w:rFonts w:ascii="Arial" w:hAnsi="Arial" w:eastAsia="Microsoft YaHei"/>
        </w:rPr>
        <w:t>其中 Ai、Hi、Si、Ci 可先采用1—5分，M 可设为0.8—1.2的修正系数。资料不足时应标注“待补充”或采用保守默认值，避免为了计算而填入无法核实的数据。</w:t>
      </w:r>
    </w:p>
    <w:p>
      <w:pPr>
        <w:pStyle w:val="Heading1"/>
        <w:spacing w:before="200" w:after="100"/>
      </w:pPr>
      <w:r>
        <w:rPr>
          <w:rFonts w:ascii="Arial" w:hAnsi="Arial" w:eastAsia="Microsoft YaHei"/>
          <w:b/>
          <w:color w:val="111111"/>
        </w:rPr>
        <w:t>四、鸟类名录补充表</w:t>
      </w:r>
    </w:p>
    <w:p>
      <w:pPr>
        <w:spacing w:after="120"/>
      </w:pPr>
      <w:r>
        <w:rPr>
          <w:rFonts w:ascii="Arial" w:hAnsi="Arial" w:eastAsia="Microsoft YaHei"/>
        </w:rPr>
        <w:t>后续查询三个地点鸟类名录时，建议按下表整理。只要每个地点能形成同一格式的数据表，就可以比较不同地点的风险值。</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字段</w:t>
            </w:r>
          </w:p>
        </w:tc>
        <w:tc>
          <w:tcPr>
            <w:tcW w:type="dxa" w:w="4536"/>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填写内容</w:t>
            </w:r>
          </w:p>
        </w:tc>
        <w:tc>
          <w:tcPr>
            <w:tcW w:type="dxa" w:w="317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用途</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地点</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广东海丰湿地、深圳湾内伶仃福田湿地、湛江雷州湾</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用于分组计算地点风险值</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中文名 / 学名</w:t>
            </w:r>
          </w:p>
        </w:tc>
        <w:tc>
          <w:tcPr>
            <w:tcW w:type="dxa" w:w="4536"/>
            <w:tcMar>
              <w:top w:w="90" w:type="dxa"/>
              <w:start w:w="110" w:type="dxa"/>
              <w:bottom w:w="90" w:type="dxa"/>
              <w:end w:w="110" w:type="dxa"/>
            </w:tcMar>
            <w:vAlign w:val="center"/>
          </w:tcPr>
          <w:p>
            <w:pPr>
              <w:spacing w:after="0"/>
            </w:pPr>
            <w:r>
              <w:rPr>
                <w:rFonts w:ascii="Arial" w:hAnsi="Arial" w:eastAsia="Microsoft YaHei"/>
                <w:sz w:val="18"/>
              </w:rPr>
              <w:t>鸟类物种名称，建议保留学名便于后续核对</w:t>
            </w:r>
          </w:p>
        </w:tc>
        <w:tc>
          <w:tcPr>
            <w:tcW w:type="dxa" w:w="3175"/>
            <w:tcMar>
              <w:top w:w="90" w:type="dxa"/>
              <w:start w:w="110" w:type="dxa"/>
              <w:bottom w:w="90" w:type="dxa"/>
              <w:end w:w="110" w:type="dxa"/>
            </w:tcMar>
            <w:vAlign w:val="center"/>
          </w:tcPr>
          <w:p>
            <w:pPr>
              <w:spacing w:after="0"/>
            </w:pPr>
            <w:r>
              <w:rPr>
                <w:rFonts w:ascii="Arial" w:hAnsi="Arial" w:eastAsia="Microsoft YaHei"/>
                <w:sz w:val="18"/>
              </w:rPr>
              <w:t>建立地点—物种清单</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类群</w:t>
            </w:r>
          </w:p>
        </w:tc>
        <w:tc>
          <w:tcPr>
            <w:tcW w:type="dxa" w:w="4536"/>
            <w:tcMar>
              <w:top w:w="90" w:type="dxa"/>
              <w:start w:w="110" w:type="dxa"/>
              <w:bottom w:w="90" w:type="dxa"/>
              <w:end w:w="110" w:type="dxa"/>
            </w:tcMar>
            <w:vAlign w:val="center"/>
          </w:tcPr>
          <w:p>
            <w:pPr>
              <w:spacing w:after="0"/>
            </w:pPr>
            <w:r>
              <w:rPr>
                <w:rFonts w:ascii="Arial" w:hAnsi="Arial" w:eastAsia="Microsoft YaHei"/>
                <w:sz w:val="18"/>
              </w:rPr>
              <w:t>雁鸭类、鸻鹬类、鸥类、鹭类、秧鸡类、其他水鸟等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用于赋予宿主关注系数</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数量或频次</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实际数量、数量等级、出现频次或优势度</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Ai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季节</w:t>
            </w:r>
          </w:p>
        </w:tc>
        <w:tc>
          <w:tcPr>
            <w:tcW w:type="dxa" w:w="4536"/>
            <w:tcMar>
              <w:top w:w="90" w:type="dxa"/>
              <w:start w:w="110" w:type="dxa"/>
              <w:bottom w:w="90" w:type="dxa"/>
              <w:end w:w="110" w:type="dxa"/>
            </w:tcMar>
            <w:vAlign w:val="center"/>
          </w:tcPr>
          <w:p>
            <w:pPr>
              <w:spacing w:after="0"/>
            </w:pPr>
            <w:r>
              <w:rPr>
                <w:rFonts w:ascii="Arial" w:hAnsi="Arial" w:eastAsia="Microsoft YaHei"/>
                <w:sz w:val="18"/>
              </w:rPr>
              <w:t>越冬、迁徙停歇、夏候、留鸟或全年记录</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Si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主要生境</w:t>
            </w:r>
          </w:p>
        </w:tc>
        <w:tc>
          <w:tcPr>
            <w:tcW w:type="dxa" w:w="4536"/>
            <w:tcMar>
              <w:top w:w="90" w:type="dxa"/>
              <w:start w:w="110" w:type="dxa"/>
              <w:bottom w:w="90" w:type="dxa"/>
              <w:end w:w="110" w:type="dxa"/>
            </w:tcMar>
            <w:vAlign w:val="center"/>
          </w:tcPr>
          <w:p>
            <w:pPr>
              <w:spacing w:after="0"/>
            </w:pPr>
            <w:r>
              <w:rPr>
                <w:rFonts w:ascii="Arial" w:hAnsi="Arial" w:eastAsia="Microsoft YaHei"/>
                <w:sz w:val="18"/>
              </w:rPr>
              <w:t>滩涂、红树林、鱼塘、水库、河口、城市湿地等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用于判断接触场景</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接触界面</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公众活动、观鸟、投喂、养殖邻近、救护记录等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Ci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备注</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异常死亡、历史重点记录、资料来源、是否需核对</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用于年度校正和资料追溯</w:t>
            </w:r>
          </w:p>
        </w:tc>
      </w:tr>
    </w:tbl>
    <w:p>
      <w:pPr>
        <w:spacing w:after="80"/>
      </w:pPr>
    </w:p>
    <w:p>
      <w:pPr>
        <w:pStyle w:val="Heading1"/>
        <w:spacing w:before="200" w:after="100"/>
      </w:pPr>
      <w:r>
        <w:rPr>
          <w:rFonts w:ascii="Arial" w:hAnsi="Arial" w:eastAsia="Microsoft YaHei"/>
          <w:b/>
          <w:color w:val="111111"/>
        </w:rPr>
        <w:t>五、指标体系与权重建议</w:t>
      </w:r>
    </w:p>
    <w:p>
      <w:pPr>
        <w:spacing w:after="120"/>
      </w:pPr>
      <w:r>
        <w:rPr>
          <w:rFonts w:ascii="Arial" w:hAnsi="Arial" w:eastAsia="Microsoft YaHei"/>
        </w:rPr>
        <w:t>在已有地点名录和物种贡献值基础上，可再汇总为六类一级指标。权重不宜过细，先保证数据能查到、能解释、能年度更新。</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340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24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建议权重</w:t>
            </w:r>
          </w:p>
        </w:tc>
        <w:tc>
          <w:tcPr>
            <w:tcW w:type="dxa" w:w="476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与名录计算的关系</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鸟类数量与出现强度</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主要由各物种 Ai 汇总形成，是地点鸟类数量多寡的核心指标。</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重点水鸟类群与物种组成</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Hi 体现，依赖后续补充的鸟类名录和优势物种。</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季节聚集与迁徙使用</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Si 体现，关注越冬期和迁徙停歇期的聚集情况。</w:t>
            </w:r>
          </w:p>
        </w:tc>
      </w:tr>
      <w:tr>
        <w:tc>
          <w:tcPr>
            <w:tcW w:type="dxa" w:w="3402"/>
            <w:tcMar>
              <w:top w:w="90" w:type="dxa"/>
              <w:start w:w="110" w:type="dxa"/>
              <w:bottom w:w="90" w:type="dxa"/>
              <w:end w:w="110" w:type="dxa"/>
            </w:tcMar>
            <w:vAlign w:val="center"/>
          </w:tcPr>
          <w:p>
            <w:pPr>
              <w:spacing w:after="0"/>
              <w:jc w:val="center"/>
            </w:pPr>
            <w:r>
              <w:rPr>
                <w:rFonts w:ascii="Arial" w:hAnsi="Arial" w:eastAsia="Microsoft YaHei"/>
                <w:sz w:val="18"/>
              </w:rPr>
              <w:t>栖息地与接触场景</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Ci 体现，关注城市湿地、公众活动、养殖邻近和共用水体等。</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监测站覆盖与数据质量</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0.10</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作为 M 的组成部分，反映资料连续性和可核查程度。</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异常死亡与检测结果</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作为 M 的组成部分，同时保留直接触发专项评估的作用。</w:t>
            </w:r>
          </w:p>
        </w:tc>
      </w:tr>
    </w:tbl>
    <w:p>
      <w:pPr>
        <w:spacing w:after="80"/>
      </w:pPr>
    </w:p>
    <w:p>
      <w:pPr>
        <w:pStyle w:val="Heading1"/>
        <w:spacing w:before="200" w:after="100"/>
      </w:pPr>
      <w:r>
        <w:rPr>
          <w:rFonts w:ascii="Arial" w:hAnsi="Arial" w:eastAsia="Microsoft YaHei"/>
          <w:b/>
          <w:color w:val="111111"/>
        </w:rPr>
        <w:t>六、风险分级与触发机制</w:t>
      </w:r>
    </w:p>
    <w:p>
      <w:pPr>
        <w:spacing w:after="120"/>
      </w:pPr>
      <w:r>
        <w:rPr>
          <w:rFonts w:ascii="Arial" w:hAnsi="Arial" w:eastAsia="Microsoft YaHei"/>
        </w:rPr>
        <w:t>地点风险值可先用于三个代表地点之间的相对比较，待年度数据稳定后再设置固定阈值。初期建议采用相对分级：三个地点按风险值由高到低排序，结合异常事件和监测数据完整性确定巡查和资料补充优先级。</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结果类型</w:t>
            </w:r>
          </w:p>
        </w:tc>
        <w:tc>
          <w:tcPr>
            <w:tcW w:type="dxa" w:w="340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判定方式</w:t>
            </w:r>
          </w:p>
        </w:tc>
        <w:tc>
          <w:tcPr>
            <w:tcW w:type="dxa" w:w="4309"/>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建议应用</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相对高值地点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在三个代表地点中风险值最高，或某类物种贡献明显集中。</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优先补充名录、加密巡查、核对优势物种和接触场景。</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中等关注地点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风险值居中，且无明显异常事件。</w:t>
            </w:r>
          </w:p>
        </w:tc>
        <w:tc>
          <w:tcPr>
            <w:tcW w:type="dxa" w:w="4309"/>
            <w:tcMar>
              <w:top w:w="90" w:type="dxa"/>
              <w:start w:w="110" w:type="dxa"/>
              <w:bottom w:w="90" w:type="dxa"/>
              <w:end w:w="110" w:type="dxa"/>
            </w:tcMar>
            <w:vAlign w:val="center"/>
          </w:tcPr>
          <w:p>
            <w:pPr>
              <w:spacing w:after="0"/>
            </w:pPr>
            <w:r>
              <w:rPr>
                <w:rFonts w:ascii="Arial" w:hAnsi="Arial" w:eastAsia="Microsoft YaHei"/>
                <w:sz w:val="18"/>
              </w:rPr>
              <w:t>维持常规监测，重点补齐缺失字段。</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相对低值地点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风险值较低，且鸟类数量、接触场景或异常记录均较少。</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保留常规监测，不作为年度重点加密对象。</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直接触发事件</w:t>
            </w:r>
          </w:p>
        </w:tc>
        <w:tc>
          <w:tcPr>
            <w:tcW w:type="dxa" w:w="3402"/>
            <w:tcMar>
              <w:top w:w="90" w:type="dxa"/>
              <w:start w:w="110" w:type="dxa"/>
              <w:bottom w:w="90" w:type="dxa"/>
              <w:end w:w="110" w:type="dxa"/>
            </w:tcMar>
            <w:vAlign w:val="center"/>
          </w:tcPr>
          <w:p>
            <w:pPr>
              <w:spacing w:after="0"/>
            </w:pPr>
            <w:r>
              <w:rPr>
                <w:rFonts w:ascii="Arial" w:hAnsi="Arial" w:eastAsia="Microsoft YaHei"/>
                <w:sz w:val="18"/>
              </w:rPr>
              <w:t>出现疑似或确诊高致病性禽流感、聚集性死亡事件或连续异常死亡记录。</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不受相对排序限制，直接进入专项应急响应评估或会商。</w:t>
            </w:r>
          </w:p>
        </w:tc>
      </w:tr>
    </w:tbl>
    <w:p>
      <w:pPr>
        <w:spacing w:after="80"/>
      </w:pPr>
    </w:p>
    <w:p>
      <w:pPr>
        <w:pStyle w:val="Heading1"/>
        <w:spacing w:before="200" w:after="100"/>
      </w:pPr>
      <w:r>
        <w:rPr>
          <w:rFonts w:ascii="Arial" w:hAnsi="Arial" w:eastAsia="Microsoft YaHei"/>
          <w:b/>
          <w:color w:val="111111"/>
        </w:rPr>
        <w:t>七、年度更新</w:t>
      </w:r>
    </w:p>
    <w:p>
      <w:pPr>
        <w:spacing w:after="120"/>
      </w:pPr>
      <w:r>
        <w:rPr>
          <w:rFonts w:ascii="Arial" w:hAnsi="Arial" w:eastAsia="Microsoft YaHei"/>
        </w:rPr>
        <w:t>本体系的关键不是一次性算出最终答案，而是形成可持续更新的数据表。每年可根据三个代表地点新增鸟类名录、数量变化、优势物种、异常死亡记录和检测结果，更新物种贡献值和地点风险值。若后续发现其他地点鸟类数量更高或资料更完整，也可按同一方法替换或新增代表地点。</w:t>
      </w:r>
    </w:p>
    <w:p>
      <w:pPr>
        <w:spacing w:after="120"/>
      </w:pPr>
      <w:r>
        <w:rPr>
          <w:rFonts w:ascii="Arial" w:hAnsi="Arial" w:eastAsia="Microsoft YaHei"/>
        </w:rPr>
        <w:t>本体系主要用于监测预警和风险研判，不替代国家和广东省现行动物疫病、野生动物疫源疫病及突发公共卫生事件相关法定报告和应急处置程序；涉及疑似或确诊疫情的，应按现行规定执行。</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5F6B63"/>
        <w:sz w:val="18"/>
      </w:rPr>
      <w:t xml:space="preserve">第 </w:t>
      <w:fldChar w:fldCharType="begin"/>
      <w:instrText xml:space="preserve">PAGE</w:instrText>
      <w:fldChar w:fldCharType="end"/>
    </w:r>
    <w:r>
      <w:rPr>
        <w:rFonts w:ascii="Arial" w:hAnsi="Arial" w:eastAsia="Microsoft YaHei"/>
        <w:color w:val="5F6B6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color w:val="5F6B63"/>
        <w:sz w:val="18"/>
      </w:rPr>
      <w:t>广东省重要迁徙鸟类疫病监测预警体系与风险评估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