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276" w:lineRule="auto"/>
        <w:jc w:val="center"/>
      </w:pPr>
      <w:r>
        <w:rPr>
          <w:rFonts w:ascii="Arial" w:hAnsi="Arial" w:eastAsia="Microsoft YaHei"/>
          <w:b/>
          <w:color w:val="111111"/>
          <w:sz w:val="40"/>
        </w:rPr>
        <w:t>广东省重要迁徙鸟类疫病监测预警体系与风险评估</w:t>
      </w:r>
    </w:p>
    <w:p>
      <w:pPr>
        <w:pStyle w:val="Heading1"/>
        <w:spacing w:before="200" w:after="100"/>
      </w:pPr>
      <w:r>
        <w:rPr>
          <w:rFonts w:ascii="Arial" w:hAnsi="Arial" w:eastAsia="Microsoft YaHei"/>
          <w:b/>
          <w:color w:val="111111"/>
        </w:rPr>
        <w:t>一、总体框架</w:t>
      </w:r>
    </w:p>
    <w:p>
      <w:pPr>
        <w:spacing w:after="120" w:line="276" w:lineRule="auto"/>
      </w:pPr>
      <w:r>
        <w:rPr>
          <w:rFonts w:ascii="Arial" w:hAnsi="Arial" w:eastAsia="Microsoft YaHei"/>
        </w:rPr>
        <w:t>本体系面向广东省重要迁徙鸟类疫病监测预警和风险评估工作，围绕鸟类迁徙路线、主要分布物种、重点栖息地、监测站布局和异常事件记录，建立可用于重点区域识别、重点关注对象筛选和风险指数计算的技术指标体系。</w:t>
      </w:r>
    </w:p>
    <w:p>
      <w:pPr>
        <w:spacing w:after="120" w:line="276" w:lineRule="auto"/>
      </w:pPr>
      <w:r>
        <w:rPr>
          <w:rFonts w:ascii="Arial" w:hAnsi="Arial" w:eastAsia="Microsoft YaHei"/>
        </w:rPr>
        <w:t>体系重点服务于三个方面：一是识别广东省内迁徙水鸟集中分布和停歇越冬的重要区域；二是根据鸟类名录和主要类群提出重点关注对象；三是参考风电鸟撞风险评价中按物种贡献累加的思路，计算代表地点的禽流感风险指数，为监测布点和年度预警研判提供依据。</w:t>
      </w:r>
    </w:p>
    <w:tbl>
      <w:tblPr>
        <w:tblW w:type="dxa" w:w="9412"/>
        <w:jc w:val="left"/>
        <w:tblLayout w:type="fixed"/>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3137"/>
        <w:gridCol w:w="3137"/>
        <w:gridCol w:w="3137"/>
      </w:tblGrid>
      <w:tr>
        <w:trPr>
          <w:tblHeader w:val="true"/>
        </w:trPr>
        <w:tc>
          <w:tcPr>
            <w:tcW w:type="dxa" w:w="1701"/>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工作环节</w:t>
            </w:r>
          </w:p>
        </w:tc>
        <w:tc>
          <w:tcPr>
            <w:tcW w:type="dxa" w:w="4762"/>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主要内容</w:t>
            </w:r>
          </w:p>
        </w:tc>
        <w:tc>
          <w:tcPr>
            <w:tcW w:type="dxa" w:w="2948"/>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形成结果</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基础资料整理</w:t>
            </w:r>
          </w:p>
        </w:tc>
        <w:tc>
          <w:tcPr>
            <w:tcW w:type="dxa" w:w="4762"/>
            <w:tcMar>
              <w:top w:w="90" w:type="dxa"/>
              <w:start w:w="110" w:type="dxa"/>
              <w:bottom w:w="90" w:type="dxa"/>
              <w:end w:w="110" w:type="dxa"/>
            </w:tcMar>
            <w:vAlign w:val="center"/>
          </w:tcPr>
          <w:p>
            <w:pPr>
              <w:spacing w:after="0"/>
            </w:pPr>
            <w:r>
              <w:rPr>
                <w:rFonts w:ascii="Arial" w:hAnsi="Arial" w:eastAsia="Microsoft YaHei"/>
                <w:sz w:val="18"/>
              </w:rPr>
              <w:t>汇集迁徙路线、广东水鸟分布、监测站名录、越冬水鸟调查、异常死亡和检测结果等资料。</w:t>
            </w:r>
          </w:p>
        </w:tc>
        <w:tc>
          <w:tcPr>
            <w:tcW w:type="dxa" w:w="2948"/>
            <w:tcMar>
              <w:top w:w="90" w:type="dxa"/>
              <w:start w:w="110" w:type="dxa"/>
              <w:bottom w:w="90" w:type="dxa"/>
              <w:end w:w="110" w:type="dxa"/>
            </w:tcMar>
            <w:vAlign w:val="center"/>
          </w:tcPr>
          <w:p>
            <w:pPr>
              <w:spacing w:after="0"/>
            </w:pPr>
            <w:r>
              <w:rPr>
                <w:rFonts w:ascii="Arial" w:hAnsi="Arial" w:eastAsia="Microsoft YaHei"/>
                <w:sz w:val="18"/>
              </w:rPr>
              <w:t>广东省迁徙鸟类与监测基础资料库</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指标体系构建</w:t>
            </w:r>
          </w:p>
        </w:tc>
        <w:tc>
          <w:tcPr>
            <w:tcW w:type="dxa" w:w="4762"/>
            <w:tcMar>
              <w:top w:w="90" w:type="dxa"/>
              <w:start w:w="110" w:type="dxa"/>
              <w:bottom w:w="90" w:type="dxa"/>
              <w:end w:w="110" w:type="dxa"/>
            </w:tcMar>
            <w:vAlign w:val="center"/>
          </w:tcPr>
          <w:p>
            <w:pPr>
              <w:spacing w:after="0"/>
            </w:pPr>
            <w:r>
              <w:rPr>
                <w:rFonts w:ascii="Arial" w:hAnsi="Arial" w:eastAsia="Microsoft YaHei"/>
                <w:sz w:val="18"/>
              </w:rPr>
              <w:t>围绕鸟类数量、物种组成、季节聚集、栖息地接触、监测基础和异常事件建立指标。</w:t>
            </w:r>
          </w:p>
        </w:tc>
        <w:tc>
          <w:tcPr>
            <w:tcW w:type="dxa" w:w="2948"/>
            <w:tcMar>
              <w:top w:w="90" w:type="dxa"/>
              <w:start w:w="110" w:type="dxa"/>
              <w:bottom w:w="90" w:type="dxa"/>
              <w:end w:w="110" w:type="dxa"/>
            </w:tcMar>
            <w:vAlign w:val="center"/>
          </w:tcPr>
          <w:p>
            <w:pPr>
              <w:spacing w:after="0"/>
            </w:pPr>
            <w:r>
              <w:rPr>
                <w:rFonts w:ascii="Arial" w:hAnsi="Arial" w:eastAsia="Microsoft YaHei"/>
                <w:sz w:val="18"/>
              </w:rPr>
              <w:t>风险评估主要技术指标体系</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重点对象识别</w:t>
            </w:r>
          </w:p>
        </w:tc>
        <w:tc>
          <w:tcPr>
            <w:tcW w:type="dxa" w:w="4762"/>
            <w:tcMar>
              <w:top w:w="90" w:type="dxa"/>
              <w:start w:w="110" w:type="dxa"/>
              <w:bottom w:w="90" w:type="dxa"/>
              <w:end w:w="110" w:type="dxa"/>
            </w:tcMar>
            <w:vAlign w:val="center"/>
          </w:tcPr>
          <w:p>
            <w:pPr>
              <w:spacing w:after="0"/>
            </w:pPr>
            <w:r>
              <w:rPr>
                <w:rFonts w:ascii="Arial" w:hAnsi="Arial" w:eastAsia="Microsoft YaHei"/>
                <w:sz w:val="18"/>
              </w:rPr>
              <w:t>根据水鸟类群、物种名录、数量和出现频次筛选重点关注类群和物种。</w:t>
            </w:r>
          </w:p>
        </w:tc>
        <w:tc>
          <w:tcPr>
            <w:tcW w:type="dxa" w:w="2948"/>
            <w:tcMar>
              <w:top w:w="90" w:type="dxa"/>
              <w:start w:w="110" w:type="dxa"/>
              <w:bottom w:w="90" w:type="dxa"/>
              <w:end w:w="110" w:type="dxa"/>
            </w:tcMar>
            <w:vAlign w:val="center"/>
          </w:tcPr>
          <w:p>
            <w:pPr>
              <w:spacing w:after="0"/>
            </w:pPr>
            <w:r>
              <w:rPr>
                <w:rFonts w:ascii="Arial" w:hAnsi="Arial" w:eastAsia="Microsoft YaHei"/>
                <w:sz w:val="18"/>
              </w:rPr>
              <w:t>重点关注对象清单</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风险指数计算</w:t>
            </w:r>
          </w:p>
        </w:tc>
        <w:tc>
          <w:tcPr>
            <w:tcW w:type="dxa" w:w="4762"/>
            <w:tcMar>
              <w:top w:w="90" w:type="dxa"/>
              <w:start w:w="110" w:type="dxa"/>
              <w:bottom w:w="90" w:type="dxa"/>
              <w:end w:w="110" w:type="dxa"/>
            </w:tcMar>
            <w:vAlign w:val="center"/>
          </w:tcPr>
          <w:p>
            <w:pPr>
              <w:spacing w:after="0"/>
            </w:pPr>
            <w:r>
              <w:rPr>
                <w:rFonts w:ascii="Arial" w:hAnsi="Arial" w:eastAsia="Microsoft YaHei"/>
                <w:sz w:val="18"/>
              </w:rPr>
              <w:t>对代表地点内各物种风险贡献进行赋值和汇总，形成地点风险指数。</w:t>
            </w:r>
          </w:p>
        </w:tc>
        <w:tc>
          <w:tcPr>
            <w:tcW w:type="dxa" w:w="2948"/>
            <w:tcMar>
              <w:top w:w="90" w:type="dxa"/>
              <w:start w:w="110" w:type="dxa"/>
              <w:bottom w:w="90" w:type="dxa"/>
              <w:end w:w="110" w:type="dxa"/>
            </w:tcMar>
            <w:vAlign w:val="center"/>
          </w:tcPr>
          <w:p>
            <w:pPr>
              <w:spacing w:after="0"/>
            </w:pPr>
            <w:r>
              <w:rPr>
                <w:rFonts w:ascii="Arial" w:hAnsi="Arial" w:eastAsia="Microsoft YaHei"/>
                <w:sz w:val="18"/>
              </w:rPr>
              <w:t>代表地点风险评估结果</w:t>
            </w:r>
          </w:p>
        </w:tc>
      </w:tr>
    </w:tbl>
    <w:p>
      <w:pPr>
        <w:spacing w:after="60" w:line="276" w:lineRule="auto"/>
      </w:pPr>
    </w:p>
    <w:p>
      <w:pPr>
        <w:pStyle w:val="Heading1"/>
        <w:spacing w:before="200" w:after="100"/>
      </w:pPr>
      <w:r>
        <w:rPr>
          <w:rFonts w:ascii="Arial" w:hAnsi="Arial" w:eastAsia="Microsoft YaHei"/>
          <w:b/>
          <w:color w:val="111111"/>
        </w:rPr>
        <w:t>二、广东省迁徙鸟类与疫病风险基础</w:t>
      </w:r>
    </w:p>
    <w:p>
      <w:pPr>
        <w:spacing w:after="120" w:line="276" w:lineRule="auto"/>
      </w:pPr>
      <w:r>
        <w:rPr>
          <w:rFonts w:ascii="Arial" w:hAnsi="Arial" w:eastAsia="Microsoft YaHei"/>
        </w:rPr>
        <w:t>广东位于东亚—澳大利西亚候鸟迁徙路线上，沿海滩涂、河口、红树林、鱼塘、水库和城市湿地为迁徙水鸟提供停歇、觅食和越冬场所。公开监测资料显示，广东已记录野生鸟类584种，其中迁徙鸟类412种；近年越冬水鸟同步监测覆盖沿海和内陆多类湿地，持续补充水鸟种类、数量、分布和栖息地变化等基础数据。</w:t>
      </w:r>
    </w:p>
    <w:p>
      <w:pPr>
        <w:spacing w:after="120" w:line="276" w:lineRule="auto"/>
      </w:pPr>
      <w:r>
        <w:rPr>
          <w:rFonts w:ascii="Arial" w:hAnsi="Arial" w:eastAsia="Microsoft YaHei"/>
        </w:rPr>
        <w:t>从疫病监测预警角度看，广东的风险评估不宜只从行政管理能力或一般处置流程出发，而应把鸟类迁徙路线、重点湿地、主要水鸟类群和现有监测站布局作为基础。对水鸟数量较多、类群组成较复杂、与公众活动或养殖水体存在接触场景的区域，应优先纳入年度风险评估。</w:t>
      </w:r>
    </w:p>
    <w:tbl>
      <w:tblPr>
        <w:tblW w:type="dxa" w:w="9412"/>
        <w:jc w:val="left"/>
        <w:tblLayout w:type="fixed"/>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3137"/>
        <w:gridCol w:w="3137"/>
        <w:gridCol w:w="3137"/>
      </w:tblGrid>
      <w:tr>
        <w:trPr>
          <w:tblHeader w:val="true"/>
        </w:trPr>
        <w:tc>
          <w:tcPr>
            <w:tcW w:type="dxa" w:w="1701"/>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资料类别</w:t>
            </w:r>
          </w:p>
        </w:tc>
        <w:tc>
          <w:tcPr>
            <w:tcW w:type="dxa" w:w="4082"/>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广东相关内容</w:t>
            </w:r>
          </w:p>
        </w:tc>
        <w:tc>
          <w:tcPr>
            <w:tcW w:type="dxa" w:w="3628"/>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在风险评估中的用途</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迁徙路线</w:t>
            </w:r>
          </w:p>
        </w:tc>
        <w:tc>
          <w:tcPr>
            <w:tcW w:type="dxa" w:w="4082"/>
            <w:tcMar>
              <w:top w:w="90" w:type="dxa"/>
              <w:start w:w="110" w:type="dxa"/>
              <w:bottom w:w="90" w:type="dxa"/>
              <w:end w:w="110" w:type="dxa"/>
            </w:tcMar>
            <w:vAlign w:val="center"/>
          </w:tcPr>
          <w:p>
            <w:pPr>
              <w:spacing w:after="0"/>
            </w:pPr>
            <w:r>
              <w:rPr>
                <w:rFonts w:ascii="Arial" w:hAnsi="Arial" w:eastAsia="Microsoft YaHei"/>
                <w:sz w:val="18"/>
              </w:rPr>
              <w:t>东亚—澳大利西亚候鸟迁徙路线经过广东沿海和内陆湿地。</w:t>
            </w:r>
          </w:p>
        </w:tc>
        <w:tc>
          <w:tcPr>
            <w:tcW w:type="dxa" w:w="3628"/>
            <w:tcMar>
              <w:top w:w="90" w:type="dxa"/>
              <w:start w:w="110" w:type="dxa"/>
              <w:bottom w:w="90" w:type="dxa"/>
              <w:end w:w="110" w:type="dxa"/>
            </w:tcMar>
            <w:vAlign w:val="center"/>
          </w:tcPr>
          <w:p>
            <w:pPr>
              <w:spacing w:after="0"/>
            </w:pPr>
            <w:r>
              <w:rPr>
                <w:rFonts w:ascii="Arial" w:hAnsi="Arial" w:eastAsia="Microsoft YaHei"/>
                <w:sz w:val="18"/>
              </w:rPr>
              <w:t>确定重点区域和季节性监测窗口</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水鸟分布</w:t>
            </w:r>
          </w:p>
        </w:tc>
        <w:tc>
          <w:tcPr>
            <w:tcW w:type="dxa" w:w="4082"/>
            <w:tcMar>
              <w:top w:w="90" w:type="dxa"/>
              <w:start w:w="110" w:type="dxa"/>
              <w:bottom w:w="90" w:type="dxa"/>
              <w:end w:w="110" w:type="dxa"/>
            </w:tcMar>
            <w:vAlign w:val="center"/>
          </w:tcPr>
          <w:p>
            <w:pPr>
              <w:spacing w:after="0"/>
            </w:pPr>
            <w:r>
              <w:rPr>
                <w:rFonts w:ascii="Arial" w:hAnsi="Arial" w:eastAsia="Microsoft YaHei"/>
                <w:sz w:val="18"/>
              </w:rPr>
              <w:t>沿海滩涂、河口、红树林、鱼塘、水库和城市湿地是越冬和迁徙水鸟集中区域。</w:t>
            </w:r>
          </w:p>
        </w:tc>
        <w:tc>
          <w:tcPr>
            <w:tcW w:type="dxa" w:w="3628"/>
            <w:tcMar>
              <w:top w:w="90" w:type="dxa"/>
              <w:start w:w="110" w:type="dxa"/>
              <w:bottom w:w="90" w:type="dxa"/>
              <w:end w:w="110" w:type="dxa"/>
            </w:tcMar>
            <w:vAlign w:val="center"/>
          </w:tcPr>
          <w:p>
            <w:pPr>
              <w:spacing w:after="0"/>
            </w:pPr>
            <w:r>
              <w:rPr>
                <w:rFonts w:ascii="Arial" w:hAnsi="Arial" w:eastAsia="Microsoft YaHei"/>
                <w:sz w:val="18"/>
              </w:rPr>
              <w:t>判断水鸟聚集强度和潜在接触场景</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主要类群</w:t>
            </w:r>
          </w:p>
        </w:tc>
        <w:tc>
          <w:tcPr>
            <w:tcW w:type="dxa" w:w="4082"/>
            <w:tcMar>
              <w:top w:w="90" w:type="dxa"/>
              <w:start w:w="110" w:type="dxa"/>
              <w:bottom w:w="90" w:type="dxa"/>
              <w:end w:w="110" w:type="dxa"/>
            </w:tcMar>
            <w:vAlign w:val="center"/>
          </w:tcPr>
          <w:p>
            <w:pPr>
              <w:spacing w:after="0"/>
            </w:pPr>
            <w:r>
              <w:rPr>
                <w:rFonts w:ascii="Arial" w:hAnsi="Arial" w:eastAsia="Microsoft YaHei"/>
                <w:sz w:val="18"/>
              </w:rPr>
              <w:t>重点关注雁鸭类、鸻鹬类、鸥类等水鸟类群。</w:t>
            </w:r>
          </w:p>
        </w:tc>
        <w:tc>
          <w:tcPr>
            <w:tcW w:type="dxa" w:w="3628"/>
            <w:tcMar>
              <w:top w:w="90" w:type="dxa"/>
              <w:start w:w="110" w:type="dxa"/>
              <w:bottom w:w="90" w:type="dxa"/>
              <w:end w:w="110" w:type="dxa"/>
            </w:tcMar>
            <w:vAlign w:val="center"/>
          </w:tcPr>
          <w:p>
            <w:pPr>
              <w:spacing w:after="0"/>
            </w:pPr>
            <w:r>
              <w:rPr>
                <w:rFonts w:ascii="Arial" w:hAnsi="Arial" w:eastAsia="Microsoft YaHei"/>
                <w:sz w:val="18"/>
              </w:rPr>
              <w:t>形成后续物种名录赋值基础</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监测基础</w:t>
            </w:r>
          </w:p>
        </w:tc>
        <w:tc>
          <w:tcPr>
            <w:tcW w:type="dxa" w:w="4082"/>
            <w:tcMar>
              <w:top w:w="90" w:type="dxa"/>
              <w:start w:w="110" w:type="dxa"/>
              <w:bottom w:w="90" w:type="dxa"/>
              <w:end w:w="110" w:type="dxa"/>
            </w:tcMar>
            <w:vAlign w:val="center"/>
          </w:tcPr>
          <w:p>
            <w:pPr>
              <w:spacing w:after="0"/>
            </w:pPr>
            <w:r>
              <w:rPr>
                <w:rFonts w:ascii="Arial" w:hAnsi="Arial" w:eastAsia="Microsoft YaHei"/>
                <w:sz w:val="18"/>
              </w:rPr>
              <w:t>全省已建国家级和省级陆生野生动物疫源疫病监测站，部分重点湿地具有连续鸟类监测资料。</w:t>
            </w:r>
          </w:p>
        </w:tc>
        <w:tc>
          <w:tcPr>
            <w:tcW w:type="dxa" w:w="3628"/>
            <w:tcMar>
              <w:top w:w="90" w:type="dxa"/>
              <w:start w:w="110" w:type="dxa"/>
              <w:bottom w:w="90" w:type="dxa"/>
              <w:end w:w="110" w:type="dxa"/>
            </w:tcMar>
            <w:vAlign w:val="center"/>
          </w:tcPr>
          <w:p>
            <w:pPr>
              <w:spacing w:after="0"/>
            </w:pPr>
            <w:r>
              <w:rPr>
                <w:rFonts w:ascii="Arial" w:hAnsi="Arial" w:eastAsia="Microsoft YaHei"/>
                <w:sz w:val="18"/>
              </w:rPr>
              <w:t>提高风险指数计算的可核查性</w:t>
            </w:r>
          </w:p>
        </w:tc>
      </w:tr>
    </w:tbl>
    <w:p>
      <w:pPr>
        <w:spacing w:after="60" w:line="276" w:lineRule="auto"/>
      </w:pPr>
    </w:p>
    <w:p>
      <w:pPr>
        <w:pStyle w:val="Heading1"/>
        <w:spacing w:before="200" w:after="100"/>
      </w:pPr>
      <w:r>
        <w:rPr>
          <w:rFonts w:ascii="Arial" w:hAnsi="Arial" w:eastAsia="Microsoft YaHei"/>
          <w:b/>
          <w:color w:val="111111"/>
        </w:rPr>
        <w:t>三、风险评估指标体系</w:t>
      </w:r>
    </w:p>
    <w:p>
      <w:pPr>
        <w:spacing w:after="120" w:line="276" w:lineRule="auto"/>
      </w:pPr>
      <w:r>
        <w:rPr>
          <w:rFonts w:ascii="Arial" w:hAnsi="Arial" w:eastAsia="Microsoft YaHei"/>
        </w:rPr>
        <w:t>指标设置应突出可获得、可更新、可计算。对于基层难以长期稳定获取的数据，不作为核心判别要点；对于鸟类名录、数量或频次、季节变化、栖息地类型、监测站覆盖和异常事件等可通过调查、监测和资料整理获得的数据，作为核心指标。</w:t>
      </w:r>
    </w:p>
    <w:tbl>
      <w:tblPr>
        <w:tblW w:type="dxa" w:w="9412"/>
        <w:jc w:val="left"/>
        <w:tblLayout w:type="fixed"/>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2353"/>
        <w:gridCol w:w="2353"/>
        <w:gridCol w:w="2353"/>
        <w:gridCol w:w="2353"/>
      </w:tblGrid>
      <w:tr>
        <w:trPr>
          <w:tblHeader w:val="true"/>
        </w:trPr>
        <w:tc>
          <w:tcPr>
            <w:tcW w:type="dxa" w:w="1814"/>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一级指标</w:t>
            </w:r>
          </w:p>
        </w:tc>
        <w:tc>
          <w:tcPr>
            <w:tcW w:type="dxa" w:w="2324"/>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二级指标</w:t>
            </w:r>
          </w:p>
        </w:tc>
        <w:tc>
          <w:tcPr>
            <w:tcW w:type="dxa" w:w="2721"/>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主要数据来源</w:t>
            </w:r>
          </w:p>
        </w:tc>
        <w:tc>
          <w:tcPr>
            <w:tcW w:type="dxa" w:w="2551"/>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评分说明</w:t>
            </w:r>
          </w:p>
        </w:tc>
      </w:tr>
      <w:tr>
        <w:tc>
          <w:tcPr>
            <w:tcW w:type="dxa" w:w="1814"/>
            <w:tcMar>
              <w:top w:w="90" w:type="dxa"/>
              <w:start w:w="110" w:type="dxa"/>
              <w:bottom w:w="90" w:type="dxa"/>
              <w:end w:w="110" w:type="dxa"/>
            </w:tcMar>
            <w:vAlign w:val="center"/>
          </w:tcPr>
          <w:p>
            <w:pPr>
              <w:spacing w:after="0"/>
            </w:pPr>
            <w:r>
              <w:rPr>
                <w:rFonts w:ascii="Arial" w:hAnsi="Arial" w:eastAsia="Microsoft YaHei"/>
                <w:sz w:val="18"/>
              </w:rPr>
              <w:t>鸟类数量与出现频率</w:t>
            </w:r>
          </w:p>
        </w:tc>
        <w:tc>
          <w:tcPr>
            <w:tcW w:type="dxa" w:w="2324"/>
            <w:tcMar>
              <w:top w:w="90" w:type="dxa"/>
              <w:start w:w="110" w:type="dxa"/>
              <w:bottom w:w="90" w:type="dxa"/>
              <w:end w:w="110" w:type="dxa"/>
            </w:tcMar>
            <w:vAlign w:val="center"/>
          </w:tcPr>
          <w:p>
            <w:pPr>
              <w:spacing w:after="0"/>
            </w:pPr>
            <w:r>
              <w:rPr>
                <w:rFonts w:ascii="Arial" w:hAnsi="Arial" w:eastAsia="Microsoft YaHei"/>
                <w:sz w:val="18"/>
              </w:rPr>
              <w:t>水鸟总量、重点类群数量、年度或季节出现频次</w:t>
            </w:r>
          </w:p>
        </w:tc>
        <w:tc>
          <w:tcPr>
            <w:tcW w:type="dxa" w:w="2721"/>
            <w:tcMar>
              <w:top w:w="90" w:type="dxa"/>
              <w:start w:w="110" w:type="dxa"/>
              <w:bottom w:w="90" w:type="dxa"/>
              <w:end w:w="110" w:type="dxa"/>
            </w:tcMar>
            <w:vAlign w:val="center"/>
          </w:tcPr>
          <w:p>
            <w:pPr>
              <w:spacing w:after="0"/>
            </w:pPr>
            <w:r>
              <w:rPr>
                <w:rFonts w:ascii="Arial" w:hAnsi="Arial" w:eastAsia="Microsoft YaHei"/>
                <w:sz w:val="18"/>
              </w:rPr>
              <w:t>越冬水鸟同步监测、保护区调查、固定样线或样点记录</w:t>
            </w:r>
          </w:p>
        </w:tc>
        <w:tc>
          <w:tcPr>
            <w:tcW w:type="dxa" w:w="2551"/>
            <w:tcMar>
              <w:top w:w="90" w:type="dxa"/>
              <w:start w:w="110" w:type="dxa"/>
              <w:bottom w:w="90" w:type="dxa"/>
              <w:end w:w="110" w:type="dxa"/>
            </w:tcMar>
            <w:vAlign w:val="center"/>
          </w:tcPr>
          <w:p>
            <w:pPr>
              <w:spacing w:after="0"/>
            </w:pPr>
            <w:r>
              <w:rPr>
                <w:rFonts w:ascii="Arial" w:hAnsi="Arial" w:eastAsia="Microsoft YaHei"/>
                <w:sz w:val="18"/>
              </w:rPr>
              <w:t>数量越高、出现越稳定，分值越高</w:t>
            </w:r>
          </w:p>
        </w:tc>
      </w:tr>
      <w:tr>
        <w:tc>
          <w:tcPr>
            <w:tcW w:type="dxa" w:w="1814"/>
            <w:tcMar>
              <w:top w:w="90" w:type="dxa"/>
              <w:start w:w="110" w:type="dxa"/>
              <w:bottom w:w="90" w:type="dxa"/>
              <w:end w:w="110" w:type="dxa"/>
            </w:tcMar>
            <w:vAlign w:val="center"/>
          </w:tcPr>
          <w:p>
            <w:pPr>
              <w:spacing w:after="0"/>
            </w:pPr>
            <w:r>
              <w:rPr>
                <w:rFonts w:ascii="Arial" w:hAnsi="Arial" w:eastAsia="Microsoft YaHei"/>
                <w:sz w:val="18"/>
              </w:rPr>
              <w:t>重点类群与物种组成</w:t>
            </w:r>
          </w:p>
        </w:tc>
        <w:tc>
          <w:tcPr>
            <w:tcW w:type="dxa" w:w="2324"/>
            <w:tcMar>
              <w:top w:w="90" w:type="dxa"/>
              <w:start w:w="110" w:type="dxa"/>
              <w:bottom w:w="90" w:type="dxa"/>
              <w:end w:w="110" w:type="dxa"/>
            </w:tcMar>
            <w:vAlign w:val="center"/>
          </w:tcPr>
          <w:p>
            <w:pPr>
              <w:spacing w:after="0"/>
            </w:pPr>
            <w:r>
              <w:rPr>
                <w:rFonts w:ascii="Arial" w:hAnsi="Arial" w:eastAsia="Microsoft YaHei"/>
                <w:sz w:val="18"/>
              </w:rPr>
              <w:t>雁鸭类、鸻鹬类、鸥类及其他重点水鸟物种组成</w:t>
            </w:r>
          </w:p>
        </w:tc>
        <w:tc>
          <w:tcPr>
            <w:tcW w:type="dxa" w:w="2721"/>
            <w:tcMar>
              <w:top w:w="90" w:type="dxa"/>
              <w:start w:w="110" w:type="dxa"/>
              <w:bottom w:w="90" w:type="dxa"/>
              <w:end w:w="110" w:type="dxa"/>
            </w:tcMar>
            <w:vAlign w:val="center"/>
          </w:tcPr>
          <w:p>
            <w:pPr>
              <w:spacing w:after="0"/>
            </w:pPr>
            <w:r>
              <w:rPr>
                <w:rFonts w:ascii="Arial" w:hAnsi="Arial" w:eastAsia="Microsoft YaHei"/>
                <w:sz w:val="18"/>
              </w:rPr>
              <w:t>地点鸟类名录、保护区名录、年度调查记录</w:t>
            </w:r>
          </w:p>
        </w:tc>
        <w:tc>
          <w:tcPr>
            <w:tcW w:type="dxa" w:w="2551"/>
            <w:tcMar>
              <w:top w:w="90" w:type="dxa"/>
              <w:start w:w="110" w:type="dxa"/>
              <w:bottom w:w="90" w:type="dxa"/>
              <w:end w:w="110" w:type="dxa"/>
            </w:tcMar>
            <w:vAlign w:val="center"/>
          </w:tcPr>
          <w:p>
            <w:pPr>
              <w:spacing w:after="0"/>
            </w:pPr>
            <w:r>
              <w:rPr>
                <w:rFonts w:ascii="Arial" w:hAnsi="Arial" w:eastAsia="Microsoft YaHei"/>
                <w:sz w:val="18"/>
              </w:rPr>
              <w:t>重点类群占比高或重点物种较多，分值越高</w:t>
            </w:r>
          </w:p>
        </w:tc>
      </w:tr>
      <w:tr>
        <w:tc>
          <w:tcPr>
            <w:tcW w:type="dxa" w:w="1814"/>
            <w:tcMar>
              <w:top w:w="90" w:type="dxa"/>
              <w:start w:w="110" w:type="dxa"/>
              <w:bottom w:w="90" w:type="dxa"/>
              <w:end w:w="110" w:type="dxa"/>
            </w:tcMar>
            <w:vAlign w:val="center"/>
          </w:tcPr>
          <w:p>
            <w:pPr>
              <w:spacing w:after="0"/>
            </w:pPr>
            <w:r>
              <w:rPr>
                <w:rFonts w:ascii="Arial" w:hAnsi="Arial" w:eastAsia="Microsoft YaHei"/>
                <w:sz w:val="18"/>
              </w:rPr>
              <w:t>迁徙与越冬季节聚集</w:t>
            </w:r>
          </w:p>
        </w:tc>
        <w:tc>
          <w:tcPr>
            <w:tcW w:type="dxa" w:w="2324"/>
            <w:tcMar>
              <w:top w:w="90" w:type="dxa"/>
              <w:start w:w="110" w:type="dxa"/>
              <w:bottom w:w="90" w:type="dxa"/>
              <w:end w:w="110" w:type="dxa"/>
            </w:tcMar>
            <w:vAlign w:val="center"/>
          </w:tcPr>
          <w:p>
            <w:pPr>
              <w:spacing w:after="0"/>
            </w:pPr>
            <w:r>
              <w:rPr>
                <w:rFonts w:ascii="Arial" w:hAnsi="Arial" w:eastAsia="Microsoft YaHei"/>
                <w:sz w:val="18"/>
              </w:rPr>
              <w:t>迁徙停歇期、越冬期、短期聚集高峰</w:t>
            </w:r>
          </w:p>
        </w:tc>
        <w:tc>
          <w:tcPr>
            <w:tcW w:type="dxa" w:w="2721"/>
            <w:tcMar>
              <w:top w:w="90" w:type="dxa"/>
              <w:start w:w="110" w:type="dxa"/>
              <w:bottom w:w="90" w:type="dxa"/>
              <w:end w:w="110" w:type="dxa"/>
            </w:tcMar>
            <w:vAlign w:val="center"/>
          </w:tcPr>
          <w:p>
            <w:pPr>
              <w:spacing w:after="0"/>
            </w:pPr>
            <w:r>
              <w:rPr>
                <w:rFonts w:ascii="Arial" w:hAnsi="Arial" w:eastAsia="Microsoft YaHei"/>
                <w:sz w:val="18"/>
              </w:rPr>
              <w:t>月度巡护、同步监测、历史调查资料</w:t>
            </w:r>
          </w:p>
        </w:tc>
        <w:tc>
          <w:tcPr>
            <w:tcW w:type="dxa" w:w="2551"/>
            <w:tcMar>
              <w:top w:w="90" w:type="dxa"/>
              <w:start w:w="110" w:type="dxa"/>
              <w:bottom w:w="90" w:type="dxa"/>
              <w:end w:w="110" w:type="dxa"/>
            </w:tcMar>
            <w:vAlign w:val="center"/>
          </w:tcPr>
          <w:p>
            <w:pPr>
              <w:spacing w:after="0"/>
            </w:pPr>
            <w:r>
              <w:rPr>
                <w:rFonts w:ascii="Arial" w:hAnsi="Arial" w:eastAsia="Microsoft YaHei"/>
                <w:sz w:val="18"/>
              </w:rPr>
              <w:t>迁徙或越冬高峰明显，分值越高</w:t>
            </w:r>
          </w:p>
        </w:tc>
      </w:tr>
      <w:tr>
        <w:tc>
          <w:tcPr>
            <w:tcW w:type="dxa" w:w="1814"/>
            <w:tcMar>
              <w:top w:w="90" w:type="dxa"/>
              <w:start w:w="110" w:type="dxa"/>
              <w:bottom w:w="90" w:type="dxa"/>
              <w:end w:w="110" w:type="dxa"/>
            </w:tcMar>
            <w:vAlign w:val="center"/>
          </w:tcPr>
          <w:p>
            <w:pPr>
              <w:spacing w:after="0"/>
              <w:jc w:val="center"/>
            </w:pPr>
            <w:r>
              <w:rPr>
                <w:rFonts w:ascii="Arial" w:hAnsi="Arial" w:eastAsia="Microsoft YaHei"/>
                <w:sz w:val="18"/>
              </w:rPr>
              <w:t>栖息地与接触场景</w:t>
            </w:r>
          </w:p>
        </w:tc>
        <w:tc>
          <w:tcPr>
            <w:tcW w:type="dxa" w:w="2324"/>
            <w:tcMar>
              <w:top w:w="90" w:type="dxa"/>
              <w:start w:w="110" w:type="dxa"/>
              <w:bottom w:w="90" w:type="dxa"/>
              <w:end w:w="110" w:type="dxa"/>
            </w:tcMar>
            <w:vAlign w:val="center"/>
          </w:tcPr>
          <w:p>
            <w:pPr>
              <w:spacing w:after="0"/>
            </w:pPr>
            <w:r>
              <w:rPr>
                <w:rFonts w:ascii="Arial" w:hAnsi="Arial" w:eastAsia="Microsoft YaHei"/>
                <w:sz w:val="18"/>
              </w:rPr>
              <w:t>滩涂、红树林、鱼塘、水库、城市湿地，以及公众活动、养殖邻近、共用水体等</w:t>
            </w:r>
          </w:p>
        </w:tc>
        <w:tc>
          <w:tcPr>
            <w:tcW w:type="dxa" w:w="2721"/>
            <w:tcMar>
              <w:top w:w="90" w:type="dxa"/>
              <w:start w:w="110" w:type="dxa"/>
              <w:bottom w:w="90" w:type="dxa"/>
              <w:end w:w="110" w:type="dxa"/>
            </w:tcMar>
            <w:vAlign w:val="center"/>
          </w:tcPr>
          <w:p>
            <w:pPr>
              <w:spacing w:after="0"/>
            </w:pPr>
            <w:r>
              <w:rPr>
                <w:rFonts w:ascii="Arial" w:hAnsi="Arial" w:eastAsia="Microsoft YaHei"/>
                <w:sz w:val="18"/>
              </w:rPr>
              <w:t>湿地资源资料、现场踏查、保护区巡护、属地资料</w:t>
            </w:r>
          </w:p>
        </w:tc>
        <w:tc>
          <w:tcPr>
            <w:tcW w:type="dxa" w:w="2551"/>
            <w:tcMar>
              <w:top w:w="90" w:type="dxa"/>
              <w:start w:w="110" w:type="dxa"/>
              <w:bottom w:w="90" w:type="dxa"/>
              <w:end w:w="110" w:type="dxa"/>
            </w:tcMar>
            <w:vAlign w:val="center"/>
          </w:tcPr>
          <w:p>
            <w:pPr>
              <w:spacing w:after="0"/>
            </w:pPr>
            <w:r>
              <w:rPr>
                <w:rFonts w:ascii="Arial" w:hAnsi="Arial" w:eastAsia="Microsoft YaHei"/>
                <w:sz w:val="18"/>
              </w:rPr>
              <w:t>接触场景越明显，分值越高</w:t>
            </w:r>
          </w:p>
        </w:tc>
      </w:tr>
      <w:tr>
        <w:tc>
          <w:tcPr>
            <w:tcW w:type="dxa" w:w="1814"/>
            <w:tcMar>
              <w:top w:w="90" w:type="dxa"/>
              <w:start w:w="110" w:type="dxa"/>
              <w:bottom w:w="90" w:type="dxa"/>
              <w:end w:w="110" w:type="dxa"/>
            </w:tcMar>
            <w:vAlign w:val="center"/>
          </w:tcPr>
          <w:p>
            <w:pPr>
              <w:spacing w:after="0"/>
            </w:pPr>
            <w:r>
              <w:rPr>
                <w:rFonts w:ascii="Arial" w:hAnsi="Arial" w:eastAsia="Microsoft YaHei"/>
                <w:sz w:val="18"/>
              </w:rPr>
              <w:t>监测站覆盖与资料质量</w:t>
            </w:r>
          </w:p>
        </w:tc>
        <w:tc>
          <w:tcPr>
            <w:tcW w:type="dxa" w:w="2324"/>
            <w:tcMar>
              <w:top w:w="90" w:type="dxa"/>
              <w:start w:w="110" w:type="dxa"/>
              <w:bottom w:w="90" w:type="dxa"/>
              <w:end w:w="110" w:type="dxa"/>
            </w:tcMar>
            <w:vAlign w:val="center"/>
          </w:tcPr>
          <w:p>
            <w:pPr>
              <w:spacing w:after="0"/>
            </w:pPr>
            <w:r>
              <w:rPr>
                <w:rFonts w:ascii="Arial" w:hAnsi="Arial" w:eastAsia="Microsoft YaHei"/>
                <w:sz w:val="18"/>
              </w:rPr>
              <w:t>监测站覆盖、数据连续性、物种名录完整性、异常记录完整性</w:t>
            </w:r>
          </w:p>
        </w:tc>
        <w:tc>
          <w:tcPr>
            <w:tcW w:type="dxa" w:w="2721"/>
            <w:tcMar>
              <w:top w:w="90" w:type="dxa"/>
              <w:start w:w="110" w:type="dxa"/>
              <w:bottom w:w="90" w:type="dxa"/>
              <w:end w:w="110" w:type="dxa"/>
            </w:tcMar>
            <w:vAlign w:val="center"/>
          </w:tcPr>
          <w:p>
            <w:pPr>
              <w:spacing w:after="0"/>
            </w:pPr>
            <w:r>
              <w:rPr>
                <w:rFonts w:ascii="Arial" w:hAnsi="Arial" w:eastAsia="Microsoft YaHei"/>
                <w:sz w:val="18"/>
              </w:rPr>
              <w:t>监测站名录、保护区台账、年度报告</w:t>
            </w:r>
          </w:p>
        </w:tc>
        <w:tc>
          <w:tcPr>
            <w:tcW w:type="dxa" w:w="2551"/>
            <w:tcMar>
              <w:top w:w="90" w:type="dxa"/>
              <w:start w:w="110" w:type="dxa"/>
              <w:bottom w:w="90" w:type="dxa"/>
              <w:end w:w="110" w:type="dxa"/>
            </w:tcMar>
            <w:vAlign w:val="center"/>
          </w:tcPr>
          <w:p>
            <w:pPr>
              <w:spacing w:after="0"/>
            </w:pPr>
            <w:r>
              <w:rPr>
                <w:rFonts w:ascii="Arial" w:hAnsi="Arial" w:eastAsia="Microsoft YaHei"/>
                <w:sz w:val="18"/>
              </w:rPr>
              <w:t>监测基础越清楚，结果可信度越高</w:t>
            </w:r>
          </w:p>
        </w:tc>
      </w:tr>
      <w:tr>
        <w:tc>
          <w:tcPr>
            <w:tcW w:type="dxa" w:w="1814"/>
            <w:tcMar>
              <w:top w:w="90" w:type="dxa"/>
              <w:start w:w="110" w:type="dxa"/>
              <w:bottom w:w="90" w:type="dxa"/>
              <w:end w:w="110" w:type="dxa"/>
            </w:tcMar>
            <w:vAlign w:val="center"/>
          </w:tcPr>
          <w:p>
            <w:pPr>
              <w:spacing w:after="0"/>
            </w:pPr>
            <w:r>
              <w:rPr>
                <w:rFonts w:ascii="Arial" w:hAnsi="Arial" w:eastAsia="Microsoft YaHei"/>
                <w:sz w:val="18"/>
              </w:rPr>
              <w:t>异常死亡与检测结果</w:t>
            </w:r>
          </w:p>
        </w:tc>
        <w:tc>
          <w:tcPr>
            <w:tcW w:type="dxa" w:w="2324"/>
            <w:tcMar>
              <w:top w:w="90" w:type="dxa"/>
              <w:start w:w="110" w:type="dxa"/>
              <w:bottom w:w="90" w:type="dxa"/>
              <w:end w:w="110" w:type="dxa"/>
            </w:tcMar>
            <w:vAlign w:val="center"/>
          </w:tcPr>
          <w:p>
            <w:pPr>
              <w:spacing w:after="0"/>
            </w:pPr>
            <w:r>
              <w:rPr>
                <w:rFonts w:ascii="Arial" w:hAnsi="Arial" w:eastAsia="Microsoft YaHei"/>
                <w:sz w:val="18"/>
              </w:rPr>
              <w:t>病弱或死亡野鸟记录、聚集性死亡事件、疑似或确诊结果</w:t>
            </w:r>
          </w:p>
        </w:tc>
        <w:tc>
          <w:tcPr>
            <w:tcW w:type="dxa" w:w="2721"/>
            <w:tcMar>
              <w:top w:w="90" w:type="dxa"/>
              <w:start w:w="110" w:type="dxa"/>
              <w:bottom w:w="90" w:type="dxa"/>
              <w:end w:w="110" w:type="dxa"/>
            </w:tcMar>
            <w:vAlign w:val="center"/>
          </w:tcPr>
          <w:p>
            <w:pPr>
              <w:spacing w:after="0"/>
            </w:pPr>
            <w:r>
              <w:rPr>
                <w:rFonts w:ascii="Arial" w:hAnsi="Arial" w:eastAsia="Microsoft YaHei"/>
                <w:sz w:val="18"/>
              </w:rPr>
              <w:t>巡护记录、公众报告、救护机构记录、实验室报告</w:t>
            </w:r>
          </w:p>
        </w:tc>
        <w:tc>
          <w:tcPr>
            <w:tcW w:type="dxa" w:w="2551"/>
            <w:tcMar>
              <w:top w:w="90" w:type="dxa"/>
              <w:start w:w="110" w:type="dxa"/>
              <w:bottom w:w="90" w:type="dxa"/>
              <w:end w:w="110" w:type="dxa"/>
            </w:tcMar>
            <w:vAlign w:val="center"/>
          </w:tcPr>
          <w:p>
            <w:pPr>
              <w:spacing w:after="0"/>
            </w:pPr>
            <w:r>
              <w:rPr>
                <w:rFonts w:ascii="Arial" w:hAnsi="Arial" w:eastAsia="Microsoft YaHei"/>
                <w:sz w:val="18"/>
              </w:rPr>
              <w:t>作为风险升级和专项评估的重要触发信号</w:t>
            </w:r>
          </w:p>
        </w:tc>
      </w:tr>
    </w:tbl>
    <w:p>
      <w:pPr>
        <w:spacing w:after="60" w:line="276" w:lineRule="auto"/>
      </w:pPr>
    </w:p>
    <w:p>
      <w:pPr>
        <w:pStyle w:val="Heading1"/>
        <w:spacing w:before="200" w:after="100"/>
      </w:pPr>
      <w:r>
        <w:rPr>
          <w:rFonts w:ascii="Arial" w:hAnsi="Arial" w:eastAsia="Microsoft YaHei"/>
          <w:b/>
          <w:color w:val="111111"/>
        </w:rPr>
        <w:t>四、重点关注对象</w:t>
      </w:r>
    </w:p>
    <w:p>
      <w:pPr>
        <w:spacing w:after="120" w:line="276" w:lineRule="auto"/>
      </w:pPr>
      <w:r>
        <w:rPr>
          <w:rFonts w:ascii="Arial" w:hAnsi="Arial" w:eastAsia="Microsoft YaHei"/>
        </w:rPr>
        <w:t>重点关注对象应根据广东迁徙水鸟分布、代表地点鸟类名录和年度监测结果确定。当前阶段可先从类群层面提出重点对象，后续在海丰湿地、深圳湾内伶仃福田湿地、湛江雷州湾等代表地点补充完整鸟类名录后，再细化到具体物种。</w:t>
      </w:r>
    </w:p>
    <w:tbl>
      <w:tblPr>
        <w:tblW w:type="dxa" w:w="9412"/>
        <w:jc w:val="left"/>
        <w:tblLayout w:type="fixed"/>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3137"/>
        <w:gridCol w:w="3137"/>
        <w:gridCol w:w="3137"/>
      </w:tblGrid>
      <w:tr>
        <w:trPr>
          <w:tblHeader w:val="true"/>
        </w:trPr>
        <w:tc>
          <w:tcPr>
            <w:tcW w:type="dxa" w:w="1701"/>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重点类群</w:t>
            </w:r>
          </w:p>
        </w:tc>
        <w:tc>
          <w:tcPr>
            <w:tcW w:type="dxa" w:w="3515"/>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关注依据</w:t>
            </w:r>
          </w:p>
        </w:tc>
        <w:tc>
          <w:tcPr>
            <w:tcW w:type="dxa" w:w="4195"/>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后续名录整理要点</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雁鸭类</w:t>
            </w:r>
          </w:p>
        </w:tc>
        <w:tc>
          <w:tcPr>
            <w:tcW w:type="dxa" w:w="3515"/>
            <w:tcMar>
              <w:top w:w="90" w:type="dxa"/>
              <w:start w:w="110" w:type="dxa"/>
              <w:bottom w:w="90" w:type="dxa"/>
              <w:end w:w="110" w:type="dxa"/>
            </w:tcMar>
            <w:vAlign w:val="center"/>
          </w:tcPr>
          <w:p>
            <w:pPr>
              <w:spacing w:after="0"/>
            </w:pPr>
            <w:r>
              <w:rPr>
                <w:rFonts w:ascii="Arial" w:hAnsi="Arial" w:eastAsia="Microsoft YaHei"/>
                <w:sz w:val="18"/>
              </w:rPr>
              <w:t>与水库、鱼塘、河口、开阔水面等生境关系密切，迁徙和越冬季节数量变化明显。</w:t>
            </w:r>
          </w:p>
        </w:tc>
        <w:tc>
          <w:tcPr>
            <w:tcW w:type="dxa" w:w="4195"/>
            <w:tcMar>
              <w:top w:w="90" w:type="dxa"/>
              <w:start w:w="110" w:type="dxa"/>
              <w:bottom w:w="90" w:type="dxa"/>
              <w:end w:w="110" w:type="dxa"/>
            </w:tcMar>
            <w:vAlign w:val="center"/>
          </w:tcPr>
          <w:p>
            <w:pPr>
              <w:spacing w:after="0"/>
            </w:pPr>
            <w:r>
              <w:rPr>
                <w:rFonts w:ascii="Arial" w:hAnsi="Arial" w:eastAsia="Microsoft YaHei"/>
                <w:sz w:val="18"/>
              </w:rPr>
              <w:t>记录物种名、数量或频次、越冬或迁徙停歇情况、是否形成集中活动区域</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鸻鹬类</w:t>
            </w:r>
          </w:p>
        </w:tc>
        <w:tc>
          <w:tcPr>
            <w:tcW w:type="dxa" w:w="3515"/>
            <w:tcMar>
              <w:top w:w="90" w:type="dxa"/>
              <w:start w:w="110" w:type="dxa"/>
              <w:bottom w:w="90" w:type="dxa"/>
              <w:end w:w="110" w:type="dxa"/>
            </w:tcMar>
            <w:vAlign w:val="center"/>
          </w:tcPr>
          <w:p>
            <w:pPr>
              <w:spacing w:after="0"/>
            </w:pPr>
            <w:r>
              <w:rPr>
                <w:rFonts w:ascii="Arial" w:hAnsi="Arial" w:eastAsia="Microsoft YaHei"/>
                <w:sz w:val="18"/>
              </w:rPr>
              <w:t>多利用河口、滩涂和潮间带湿地，部分沿海区域可形成较高数量聚集。</w:t>
            </w:r>
          </w:p>
        </w:tc>
        <w:tc>
          <w:tcPr>
            <w:tcW w:type="dxa" w:w="4195"/>
            <w:tcMar>
              <w:top w:w="90" w:type="dxa"/>
              <w:start w:w="110" w:type="dxa"/>
              <w:bottom w:w="90" w:type="dxa"/>
              <w:end w:w="110" w:type="dxa"/>
            </w:tcMar>
            <w:vAlign w:val="center"/>
          </w:tcPr>
          <w:p>
            <w:pPr>
              <w:spacing w:after="0"/>
            </w:pPr>
            <w:r>
              <w:rPr>
                <w:rFonts w:ascii="Arial" w:hAnsi="Arial" w:eastAsia="Microsoft YaHei"/>
                <w:sz w:val="18"/>
              </w:rPr>
              <w:t>记录滩涂利用情况、优势物种、潮汐或季节变化、与公众活动或养殖区距离</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鸥类</w:t>
            </w:r>
          </w:p>
        </w:tc>
        <w:tc>
          <w:tcPr>
            <w:tcW w:type="dxa" w:w="3515"/>
            <w:tcMar>
              <w:top w:w="90" w:type="dxa"/>
              <w:start w:w="110" w:type="dxa"/>
              <w:bottom w:w="90" w:type="dxa"/>
              <w:end w:w="110" w:type="dxa"/>
            </w:tcMar>
            <w:vAlign w:val="center"/>
          </w:tcPr>
          <w:p>
            <w:pPr>
              <w:spacing w:after="0"/>
            </w:pPr>
            <w:r>
              <w:rPr>
                <w:rFonts w:ascii="Arial" w:hAnsi="Arial" w:eastAsia="Microsoft YaHei"/>
                <w:sz w:val="18"/>
              </w:rPr>
              <w:t>常在河口、近岸滩涂、水面和人类活动较多区域出现，部分区域数量较高。</w:t>
            </w:r>
          </w:p>
        </w:tc>
        <w:tc>
          <w:tcPr>
            <w:tcW w:type="dxa" w:w="4195"/>
            <w:tcMar>
              <w:top w:w="90" w:type="dxa"/>
              <w:start w:w="110" w:type="dxa"/>
              <w:bottom w:w="90" w:type="dxa"/>
              <w:end w:w="110" w:type="dxa"/>
            </w:tcMar>
            <w:vAlign w:val="center"/>
          </w:tcPr>
          <w:p>
            <w:pPr>
              <w:spacing w:after="0"/>
            </w:pPr>
            <w:r>
              <w:rPr>
                <w:rFonts w:ascii="Arial" w:hAnsi="Arial" w:eastAsia="Microsoft YaHei"/>
                <w:sz w:val="18"/>
              </w:rPr>
              <w:t>记录数量峰值、活动水域、取食场景、与码头、渔港或城市湿地的关系</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其他重点水鸟</w:t>
            </w:r>
          </w:p>
        </w:tc>
        <w:tc>
          <w:tcPr>
            <w:tcW w:type="dxa" w:w="3515"/>
            <w:tcMar>
              <w:top w:w="90" w:type="dxa"/>
              <w:start w:w="110" w:type="dxa"/>
              <w:bottom w:w="90" w:type="dxa"/>
              <w:end w:w="110" w:type="dxa"/>
            </w:tcMar>
            <w:vAlign w:val="center"/>
          </w:tcPr>
          <w:p>
            <w:pPr>
              <w:spacing w:after="0"/>
            </w:pPr>
            <w:r>
              <w:rPr>
                <w:rFonts w:ascii="Arial" w:hAnsi="Arial" w:eastAsia="Microsoft YaHei"/>
                <w:sz w:val="18"/>
              </w:rPr>
              <w:t>包括在代表地点数量较高、保护等级较高、或在异常事件中需要重点关注的水鸟物种。</w:t>
            </w:r>
          </w:p>
        </w:tc>
        <w:tc>
          <w:tcPr>
            <w:tcW w:type="dxa" w:w="4195"/>
            <w:tcMar>
              <w:top w:w="90" w:type="dxa"/>
              <w:start w:w="110" w:type="dxa"/>
              <w:bottom w:w="90" w:type="dxa"/>
              <w:end w:w="110" w:type="dxa"/>
            </w:tcMar>
            <w:vAlign w:val="center"/>
          </w:tcPr>
          <w:p>
            <w:pPr>
              <w:spacing w:after="0"/>
            </w:pPr>
            <w:r>
              <w:rPr>
                <w:rFonts w:ascii="Arial" w:hAnsi="Arial" w:eastAsia="Microsoft YaHei"/>
                <w:sz w:val="18"/>
              </w:rPr>
              <w:t>根据各地点名录和年度监测结果动态补充，不预先扩大到难以核实的所有物种</w:t>
            </w:r>
          </w:p>
        </w:tc>
      </w:tr>
    </w:tbl>
    <w:p>
      <w:pPr>
        <w:spacing w:after="60" w:line="276" w:lineRule="auto"/>
      </w:pPr>
    </w:p>
    <w:p>
      <w:pPr>
        <w:pStyle w:val="Heading1"/>
        <w:spacing w:before="200" w:after="100"/>
      </w:pPr>
      <w:r>
        <w:rPr>
          <w:rFonts w:ascii="Arial" w:hAnsi="Arial" w:eastAsia="Microsoft YaHei"/>
          <w:b/>
          <w:color w:val="111111"/>
        </w:rPr>
        <w:t>五、风险指数计算方法</w:t>
      </w:r>
    </w:p>
    <w:p>
      <w:pPr>
        <w:spacing w:after="120" w:line="276" w:lineRule="auto"/>
      </w:pPr>
      <w:r>
        <w:rPr>
          <w:rFonts w:ascii="Arial" w:hAnsi="Arial" w:eastAsia="Microsoft YaHei"/>
        </w:rPr>
        <w:t>参考风电鸟撞风险评价中按物种风险贡献累加的思路，可将每个代表地点视为一个评价单元，将地点鸟类名录中的每个物种视为一个风险贡献单元。地点风险指数由各物种风险贡献值汇总形成，并根据监测基础和异常事件进行修正。</w:t>
      </w:r>
    </w:p>
    <w:p>
      <w:pPr>
        <w:spacing w:after="120" w:line="276" w:lineRule="auto"/>
      </w:pPr>
      <w:r>
        <w:rPr>
          <w:rFonts w:ascii="Arial" w:hAnsi="Arial" w:eastAsia="Microsoft YaHei"/>
        </w:rPr>
        <w:t>建议计算公式为：R = Σ（Ai × Bi × Ci × Di） × M。</w:t>
      </w:r>
    </w:p>
    <w:tbl>
      <w:tblPr>
        <w:tblW w:type="dxa" w:w="9412"/>
        <w:jc w:val="left"/>
        <w:tblLayout w:type="fixed"/>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3137"/>
        <w:gridCol w:w="3137"/>
        <w:gridCol w:w="3137"/>
      </w:tblGrid>
      <w:tr>
        <w:trPr>
          <w:tblHeader w:val="true"/>
        </w:trPr>
        <w:tc>
          <w:tcPr>
            <w:tcW w:type="dxa" w:w="850"/>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变量</w:t>
            </w:r>
          </w:p>
        </w:tc>
        <w:tc>
          <w:tcPr>
            <w:tcW w:type="dxa" w:w="3628"/>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含义</w:t>
            </w:r>
          </w:p>
        </w:tc>
        <w:tc>
          <w:tcPr>
            <w:tcW w:type="dxa" w:w="4932"/>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建议赋值</w:t>
            </w:r>
          </w:p>
        </w:tc>
      </w:tr>
      <w:tr>
        <w:tc>
          <w:tcPr>
            <w:tcW w:type="dxa" w:w="850"/>
            <w:tcMar>
              <w:top w:w="90" w:type="dxa"/>
              <w:start w:w="110" w:type="dxa"/>
              <w:bottom w:w="90" w:type="dxa"/>
              <w:end w:w="110" w:type="dxa"/>
            </w:tcMar>
            <w:vAlign w:val="center"/>
          </w:tcPr>
          <w:p>
            <w:pPr>
              <w:spacing w:after="0"/>
              <w:jc w:val="center"/>
            </w:pPr>
            <w:r>
              <w:rPr>
                <w:rFonts w:ascii="Arial" w:hAnsi="Arial" w:eastAsia="Microsoft YaHei"/>
                <w:sz w:val="18"/>
              </w:rPr>
              <w:t>Ai</w:t>
            </w:r>
          </w:p>
        </w:tc>
        <w:tc>
          <w:tcPr>
            <w:tcW w:type="dxa" w:w="3628"/>
            <w:tcMar>
              <w:top w:w="90" w:type="dxa"/>
              <w:start w:w="110" w:type="dxa"/>
              <w:bottom w:w="90" w:type="dxa"/>
              <w:end w:w="110" w:type="dxa"/>
            </w:tcMar>
            <w:vAlign w:val="center"/>
          </w:tcPr>
          <w:p>
            <w:pPr>
              <w:spacing w:after="0"/>
            </w:pPr>
            <w:r>
              <w:rPr>
                <w:rFonts w:ascii="Arial" w:hAnsi="Arial" w:eastAsia="Microsoft YaHei"/>
                <w:sz w:val="18"/>
              </w:rPr>
              <w:t>物种数量或出现频率</w:t>
            </w:r>
          </w:p>
        </w:tc>
        <w:tc>
          <w:tcPr>
            <w:tcW w:type="dxa" w:w="4932"/>
            <w:tcMar>
              <w:top w:w="90" w:type="dxa"/>
              <w:start w:w="110" w:type="dxa"/>
              <w:bottom w:w="90" w:type="dxa"/>
              <w:end w:w="110" w:type="dxa"/>
            </w:tcMar>
            <w:vAlign w:val="center"/>
          </w:tcPr>
          <w:p>
            <w:pPr>
              <w:spacing w:after="0"/>
            </w:pPr>
            <w:r>
              <w:rPr>
                <w:rFonts w:ascii="Arial" w:hAnsi="Arial" w:eastAsia="Microsoft YaHei"/>
                <w:sz w:val="18"/>
              </w:rPr>
              <w:t>按实测数量、数量等级、出现频次或优势度赋1—5分</w:t>
            </w:r>
          </w:p>
        </w:tc>
      </w:tr>
      <w:tr>
        <w:tc>
          <w:tcPr>
            <w:tcW w:type="dxa" w:w="850"/>
            <w:tcMar>
              <w:top w:w="90" w:type="dxa"/>
              <w:start w:w="110" w:type="dxa"/>
              <w:bottom w:w="90" w:type="dxa"/>
              <w:end w:w="110" w:type="dxa"/>
            </w:tcMar>
            <w:vAlign w:val="center"/>
          </w:tcPr>
          <w:p>
            <w:pPr>
              <w:spacing w:after="0"/>
              <w:jc w:val="center"/>
            </w:pPr>
            <w:r>
              <w:rPr>
                <w:rFonts w:ascii="Arial" w:hAnsi="Arial" w:eastAsia="Microsoft YaHei"/>
                <w:sz w:val="18"/>
              </w:rPr>
              <w:t>Bi</w:t>
            </w:r>
          </w:p>
        </w:tc>
        <w:tc>
          <w:tcPr>
            <w:tcW w:type="dxa" w:w="3628"/>
            <w:tcMar>
              <w:top w:w="90" w:type="dxa"/>
              <w:start w:w="110" w:type="dxa"/>
              <w:bottom w:w="90" w:type="dxa"/>
              <w:end w:w="110" w:type="dxa"/>
            </w:tcMar>
            <w:vAlign w:val="center"/>
          </w:tcPr>
          <w:p>
            <w:pPr>
              <w:spacing w:after="0"/>
            </w:pPr>
            <w:r>
              <w:rPr>
                <w:rFonts w:ascii="Arial" w:hAnsi="Arial" w:eastAsia="Microsoft YaHei"/>
                <w:sz w:val="18"/>
              </w:rPr>
              <w:t>重点类群或物种关注系数</w:t>
            </w:r>
          </w:p>
        </w:tc>
        <w:tc>
          <w:tcPr>
            <w:tcW w:type="dxa" w:w="4932"/>
            <w:tcMar>
              <w:top w:w="90" w:type="dxa"/>
              <w:start w:w="110" w:type="dxa"/>
              <w:bottom w:w="90" w:type="dxa"/>
              <w:end w:w="110" w:type="dxa"/>
            </w:tcMar>
            <w:vAlign w:val="center"/>
          </w:tcPr>
          <w:p>
            <w:pPr>
              <w:spacing w:after="0"/>
            </w:pPr>
            <w:r>
              <w:rPr>
                <w:rFonts w:ascii="Arial" w:hAnsi="Arial" w:eastAsia="Microsoft YaHei"/>
                <w:sz w:val="18"/>
              </w:rPr>
              <w:t>雁鸭类、鸻鹬类、鸥类及重点物种按关注程度赋1—5分</w:t>
            </w:r>
          </w:p>
        </w:tc>
      </w:tr>
      <w:tr>
        <w:tc>
          <w:tcPr>
            <w:tcW w:type="dxa" w:w="850"/>
            <w:tcMar>
              <w:top w:w="90" w:type="dxa"/>
              <w:start w:w="110" w:type="dxa"/>
              <w:bottom w:w="90" w:type="dxa"/>
              <w:end w:w="110" w:type="dxa"/>
            </w:tcMar>
            <w:vAlign w:val="center"/>
          </w:tcPr>
          <w:p>
            <w:pPr>
              <w:spacing w:after="0"/>
              <w:jc w:val="center"/>
            </w:pPr>
            <w:r>
              <w:rPr>
                <w:rFonts w:ascii="Arial" w:hAnsi="Arial" w:eastAsia="Microsoft YaHei"/>
                <w:sz w:val="18"/>
              </w:rPr>
              <w:t>Ci</w:t>
            </w:r>
          </w:p>
        </w:tc>
        <w:tc>
          <w:tcPr>
            <w:tcW w:type="dxa" w:w="3628"/>
            <w:tcMar>
              <w:top w:w="90" w:type="dxa"/>
              <w:start w:w="110" w:type="dxa"/>
              <w:bottom w:w="90" w:type="dxa"/>
              <w:end w:w="110" w:type="dxa"/>
            </w:tcMar>
            <w:vAlign w:val="center"/>
          </w:tcPr>
          <w:p>
            <w:pPr>
              <w:spacing w:after="0"/>
            </w:pPr>
            <w:r>
              <w:rPr>
                <w:rFonts w:ascii="Arial" w:hAnsi="Arial" w:eastAsia="Microsoft YaHei"/>
                <w:sz w:val="18"/>
              </w:rPr>
              <w:t>季节聚集系数</w:t>
            </w:r>
          </w:p>
        </w:tc>
        <w:tc>
          <w:tcPr>
            <w:tcW w:type="dxa" w:w="4932"/>
            <w:tcMar>
              <w:top w:w="90" w:type="dxa"/>
              <w:start w:w="110" w:type="dxa"/>
              <w:bottom w:w="90" w:type="dxa"/>
              <w:end w:w="110" w:type="dxa"/>
            </w:tcMar>
            <w:vAlign w:val="center"/>
          </w:tcPr>
          <w:p>
            <w:pPr>
              <w:spacing w:after="0"/>
            </w:pPr>
            <w:r>
              <w:rPr>
                <w:rFonts w:ascii="Arial" w:hAnsi="Arial" w:eastAsia="Microsoft YaHei"/>
                <w:sz w:val="18"/>
              </w:rPr>
              <w:t>越冬期、迁徙停歇期或短期高峰明显时赋较高值</w:t>
            </w:r>
          </w:p>
        </w:tc>
      </w:tr>
      <w:tr>
        <w:tc>
          <w:tcPr>
            <w:tcW w:type="dxa" w:w="850"/>
            <w:tcMar>
              <w:top w:w="90" w:type="dxa"/>
              <w:start w:w="110" w:type="dxa"/>
              <w:bottom w:w="90" w:type="dxa"/>
              <w:end w:w="110" w:type="dxa"/>
            </w:tcMar>
            <w:vAlign w:val="center"/>
          </w:tcPr>
          <w:p>
            <w:pPr>
              <w:spacing w:after="0"/>
              <w:jc w:val="center"/>
            </w:pPr>
            <w:r>
              <w:rPr>
                <w:rFonts w:ascii="Arial" w:hAnsi="Arial" w:eastAsia="Microsoft YaHei"/>
                <w:sz w:val="18"/>
              </w:rPr>
              <w:t>Di</w:t>
            </w:r>
          </w:p>
        </w:tc>
        <w:tc>
          <w:tcPr>
            <w:tcW w:type="dxa" w:w="3628"/>
            <w:tcMar>
              <w:top w:w="90" w:type="dxa"/>
              <w:start w:w="110" w:type="dxa"/>
              <w:bottom w:w="90" w:type="dxa"/>
              <w:end w:w="110" w:type="dxa"/>
            </w:tcMar>
            <w:vAlign w:val="center"/>
          </w:tcPr>
          <w:p>
            <w:pPr>
              <w:spacing w:after="0"/>
            </w:pPr>
            <w:r>
              <w:rPr>
                <w:rFonts w:ascii="Arial" w:hAnsi="Arial" w:eastAsia="Microsoft YaHei"/>
                <w:sz w:val="18"/>
              </w:rPr>
              <w:t>栖息地与接触场景系数</w:t>
            </w:r>
          </w:p>
        </w:tc>
        <w:tc>
          <w:tcPr>
            <w:tcW w:type="dxa" w:w="4932"/>
            <w:tcMar>
              <w:top w:w="90" w:type="dxa"/>
              <w:start w:w="110" w:type="dxa"/>
              <w:bottom w:w="90" w:type="dxa"/>
              <w:end w:w="110" w:type="dxa"/>
            </w:tcMar>
            <w:vAlign w:val="center"/>
          </w:tcPr>
          <w:p>
            <w:pPr>
              <w:spacing w:after="0"/>
            </w:pPr>
            <w:r>
              <w:rPr>
                <w:rFonts w:ascii="Arial" w:hAnsi="Arial" w:eastAsia="Microsoft YaHei"/>
                <w:sz w:val="18"/>
              </w:rPr>
              <w:t>与公众活动、养殖界面、鱼塘、水库、河口滩涂等接触场景越明显，赋值越高</w:t>
            </w:r>
          </w:p>
        </w:tc>
      </w:tr>
      <w:tr>
        <w:tc>
          <w:tcPr>
            <w:tcW w:type="dxa" w:w="850"/>
            <w:tcMar>
              <w:top w:w="90" w:type="dxa"/>
              <w:start w:w="110" w:type="dxa"/>
              <w:bottom w:w="90" w:type="dxa"/>
              <w:end w:w="110" w:type="dxa"/>
            </w:tcMar>
            <w:vAlign w:val="center"/>
          </w:tcPr>
          <w:p>
            <w:pPr>
              <w:spacing w:after="0"/>
              <w:jc w:val="center"/>
            </w:pPr>
            <w:r>
              <w:rPr>
                <w:rFonts w:ascii="Arial" w:hAnsi="Arial" w:eastAsia="Microsoft YaHei"/>
                <w:sz w:val="18"/>
              </w:rPr>
              <w:t>M</w:t>
            </w:r>
          </w:p>
        </w:tc>
        <w:tc>
          <w:tcPr>
            <w:tcW w:type="dxa" w:w="3628"/>
            <w:tcMar>
              <w:top w:w="90" w:type="dxa"/>
              <w:start w:w="110" w:type="dxa"/>
              <w:bottom w:w="90" w:type="dxa"/>
              <w:end w:w="110" w:type="dxa"/>
            </w:tcMar>
            <w:vAlign w:val="center"/>
          </w:tcPr>
          <w:p>
            <w:pPr>
              <w:spacing w:after="0"/>
            </w:pPr>
            <w:r>
              <w:rPr>
                <w:rFonts w:ascii="Arial" w:hAnsi="Arial" w:eastAsia="Microsoft YaHei"/>
                <w:sz w:val="18"/>
              </w:rPr>
              <w:t>监测与异常事件修正系数</w:t>
            </w:r>
          </w:p>
        </w:tc>
        <w:tc>
          <w:tcPr>
            <w:tcW w:type="dxa" w:w="4932"/>
            <w:tcMar>
              <w:top w:w="90" w:type="dxa"/>
              <w:start w:w="110" w:type="dxa"/>
              <w:bottom w:w="90" w:type="dxa"/>
              <w:end w:w="110" w:type="dxa"/>
            </w:tcMar>
            <w:vAlign w:val="center"/>
          </w:tcPr>
          <w:p>
            <w:pPr>
              <w:spacing w:after="0"/>
            </w:pPr>
            <w:r>
              <w:rPr>
                <w:rFonts w:ascii="Arial" w:hAnsi="Arial" w:eastAsia="Microsoft YaHei"/>
                <w:sz w:val="18"/>
              </w:rPr>
              <w:t>监测资料完整且无异常可取1.0；出现异常死亡、疑似或确诊结果时上调</w:t>
            </w:r>
          </w:p>
        </w:tc>
      </w:tr>
    </w:tbl>
    <w:p>
      <w:pPr>
        <w:spacing w:after="60" w:line="276" w:lineRule="auto"/>
      </w:pPr>
    </w:p>
    <w:p>
      <w:pPr>
        <w:spacing w:after="120" w:line="276" w:lineRule="auto"/>
      </w:pPr>
      <w:r>
        <w:rPr>
          <w:rFonts w:ascii="Arial" w:hAnsi="Arial" w:eastAsia="Microsoft YaHei"/>
        </w:rPr>
        <w:t>在实际计算中，可先按物种逐项赋值，再按地点汇总。若某一地点暂未取得完整物种名录，可先完成资料表结构和已有水鸟数量记录，待名录补齐后再计算正式风险指数。</w:t>
      </w:r>
    </w:p>
    <w:p>
      <w:pPr>
        <w:pStyle w:val="Heading1"/>
        <w:spacing w:before="200" w:after="100"/>
      </w:pPr>
      <w:r>
        <w:rPr>
          <w:rFonts w:ascii="Arial" w:hAnsi="Arial" w:eastAsia="Microsoft YaHei"/>
          <w:b/>
          <w:color w:val="111111"/>
        </w:rPr>
        <w:t>六、资料收集与年度更新</w:t>
      </w:r>
    </w:p>
    <w:p>
      <w:pPr>
        <w:spacing w:after="120" w:line="276" w:lineRule="auto"/>
      </w:pPr>
      <w:r>
        <w:rPr>
          <w:rFonts w:ascii="Arial" w:hAnsi="Arial" w:eastAsia="Microsoft YaHei"/>
        </w:rPr>
        <w:t>为避免指标体系停留在概念层面，各代表地点应按统一格式整理鸟类名录和监测资料。资料收集不宜追求过多难以获得的管理性指标，应优先保障鸟类、栖息地和监测结果三类数据的完整性。</w:t>
      </w:r>
    </w:p>
    <w:tbl>
      <w:tblPr>
        <w:tblW w:type="dxa" w:w="9412"/>
        <w:jc w:val="left"/>
        <w:tblLayout w:type="fixed"/>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3137"/>
        <w:gridCol w:w="3137"/>
        <w:gridCol w:w="3137"/>
      </w:tblGrid>
      <w:tr>
        <w:trPr>
          <w:tblHeader w:val="true"/>
        </w:trPr>
        <w:tc>
          <w:tcPr>
            <w:tcW w:type="dxa" w:w="1701"/>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字段</w:t>
            </w:r>
          </w:p>
        </w:tc>
        <w:tc>
          <w:tcPr>
            <w:tcW w:type="dxa" w:w="4649"/>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填写内容</w:t>
            </w:r>
          </w:p>
        </w:tc>
        <w:tc>
          <w:tcPr>
            <w:tcW w:type="dxa" w:w="3061"/>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用途</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地点</w:t>
            </w:r>
          </w:p>
        </w:tc>
        <w:tc>
          <w:tcPr>
            <w:tcW w:type="dxa" w:w="4649"/>
            <w:tcMar>
              <w:top w:w="90" w:type="dxa"/>
              <w:start w:w="110" w:type="dxa"/>
              <w:bottom w:w="90" w:type="dxa"/>
              <w:end w:w="110" w:type="dxa"/>
            </w:tcMar>
            <w:vAlign w:val="center"/>
          </w:tcPr>
          <w:p>
            <w:pPr>
              <w:spacing w:after="0"/>
            </w:pPr>
            <w:r>
              <w:rPr>
                <w:rFonts w:ascii="Arial" w:hAnsi="Arial" w:eastAsia="Microsoft YaHei"/>
                <w:sz w:val="18"/>
              </w:rPr>
              <w:t>海丰湿地、深圳湾内伶仃福田湿地、湛江雷州湾等</w:t>
            </w:r>
          </w:p>
        </w:tc>
        <w:tc>
          <w:tcPr>
            <w:tcW w:type="dxa" w:w="3061"/>
            <w:tcMar>
              <w:top w:w="90" w:type="dxa"/>
              <w:start w:w="110" w:type="dxa"/>
              <w:bottom w:w="90" w:type="dxa"/>
              <w:end w:w="110" w:type="dxa"/>
            </w:tcMar>
            <w:vAlign w:val="center"/>
          </w:tcPr>
          <w:p>
            <w:pPr>
              <w:spacing w:after="0"/>
            </w:pPr>
            <w:r>
              <w:rPr>
                <w:rFonts w:ascii="Arial" w:hAnsi="Arial" w:eastAsia="Microsoft YaHei"/>
                <w:sz w:val="18"/>
              </w:rPr>
              <w:t>分地点计算风险指数</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物种名称</w:t>
            </w:r>
          </w:p>
        </w:tc>
        <w:tc>
          <w:tcPr>
            <w:tcW w:type="dxa" w:w="4649"/>
            <w:tcMar>
              <w:top w:w="90" w:type="dxa"/>
              <w:start w:w="110" w:type="dxa"/>
              <w:bottom w:w="90" w:type="dxa"/>
              <w:end w:w="110" w:type="dxa"/>
            </w:tcMar>
            <w:vAlign w:val="center"/>
          </w:tcPr>
          <w:p>
            <w:pPr>
              <w:spacing w:after="0"/>
            </w:pPr>
            <w:r>
              <w:rPr>
                <w:rFonts w:ascii="Arial" w:hAnsi="Arial" w:eastAsia="Microsoft YaHei"/>
                <w:sz w:val="18"/>
              </w:rPr>
              <w:t>中文名、学名、保护等级或重点关注说明</w:t>
            </w:r>
          </w:p>
        </w:tc>
        <w:tc>
          <w:tcPr>
            <w:tcW w:type="dxa" w:w="3061"/>
            <w:tcMar>
              <w:top w:w="90" w:type="dxa"/>
              <w:start w:w="110" w:type="dxa"/>
              <w:bottom w:w="90" w:type="dxa"/>
              <w:end w:w="110" w:type="dxa"/>
            </w:tcMar>
            <w:vAlign w:val="center"/>
          </w:tcPr>
          <w:p>
            <w:pPr>
              <w:spacing w:after="0"/>
            </w:pPr>
            <w:r>
              <w:rPr>
                <w:rFonts w:ascii="Arial" w:hAnsi="Arial" w:eastAsia="Microsoft YaHei"/>
                <w:sz w:val="18"/>
              </w:rPr>
              <w:t>建立物种清单</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类群</w:t>
            </w:r>
          </w:p>
        </w:tc>
        <w:tc>
          <w:tcPr>
            <w:tcW w:type="dxa" w:w="4649"/>
            <w:tcMar>
              <w:top w:w="90" w:type="dxa"/>
              <w:start w:w="110" w:type="dxa"/>
              <w:bottom w:w="90" w:type="dxa"/>
              <w:end w:w="110" w:type="dxa"/>
            </w:tcMar>
            <w:vAlign w:val="center"/>
          </w:tcPr>
          <w:p>
            <w:pPr>
              <w:spacing w:after="0"/>
            </w:pPr>
            <w:r>
              <w:rPr>
                <w:rFonts w:ascii="Arial" w:hAnsi="Arial" w:eastAsia="Microsoft YaHei"/>
                <w:sz w:val="18"/>
              </w:rPr>
              <w:t>雁鸭类、鸻鹬类、鸥类、其他重点水鸟</w:t>
            </w:r>
          </w:p>
        </w:tc>
        <w:tc>
          <w:tcPr>
            <w:tcW w:type="dxa" w:w="3061"/>
            <w:tcMar>
              <w:top w:w="90" w:type="dxa"/>
              <w:start w:w="110" w:type="dxa"/>
              <w:bottom w:w="90" w:type="dxa"/>
              <w:end w:w="110" w:type="dxa"/>
            </w:tcMar>
            <w:vAlign w:val="center"/>
          </w:tcPr>
          <w:p>
            <w:pPr>
              <w:spacing w:after="0"/>
            </w:pPr>
            <w:r>
              <w:rPr>
                <w:rFonts w:ascii="Arial" w:hAnsi="Arial" w:eastAsia="Microsoft YaHei"/>
                <w:sz w:val="18"/>
              </w:rPr>
              <w:t>确定重点类群系数</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数量或频次</w:t>
            </w:r>
          </w:p>
        </w:tc>
        <w:tc>
          <w:tcPr>
            <w:tcW w:type="dxa" w:w="4649"/>
            <w:tcMar>
              <w:top w:w="90" w:type="dxa"/>
              <w:start w:w="110" w:type="dxa"/>
              <w:bottom w:w="90" w:type="dxa"/>
              <w:end w:w="110" w:type="dxa"/>
            </w:tcMar>
            <w:vAlign w:val="center"/>
          </w:tcPr>
          <w:p>
            <w:pPr>
              <w:spacing w:after="0"/>
            </w:pPr>
            <w:r>
              <w:rPr>
                <w:rFonts w:ascii="Arial" w:hAnsi="Arial" w:eastAsia="Microsoft YaHei"/>
                <w:sz w:val="18"/>
              </w:rPr>
              <w:t>实测数量、数量等级、出现频次、优势度</w:t>
            </w:r>
          </w:p>
        </w:tc>
        <w:tc>
          <w:tcPr>
            <w:tcW w:type="dxa" w:w="3061"/>
            <w:tcMar>
              <w:top w:w="90" w:type="dxa"/>
              <w:start w:w="110" w:type="dxa"/>
              <w:bottom w:w="90" w:type="dxa"/>
              <w:end w:w="110" w:type="dxa"/>
            </w:tcMar>
            <w:vAlign w:val="center"/>
          </w:tcPr>
          <w:p>
            <w:pPr>
              <w:spacing w:after="0"/>
            </w:pPr>
            <w:r>
              <w:rPr>
                <w:rFonts w:ascii="Arial" w:hAnsi="Arial" w:eastAsia="Microsoft YaHei"/>
                <w:sz w:val="18"/>
              </w:rPr>
              <w:t>计算Ai</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季节</w:t>
            </w:r>
          </w:p>
        </w:tc>
        <w:tc>
          <w:tcPr>
            <w:tcW w:type="dxa" w:w="4649"/>
            <w:tcMar>
              <w:top w:w="90" w:type="dxa"/>
              <w:start w:w="110" w:type="dxa"/>
              <w:bottom w:w="90" w:type="dxa"/>
              <w:end w:w="110" w:type="dxa"/>
            </w:tcMar>
            <w:vAlign w:val="center"/>
          </w:tcPr>
          <w:p>
            <w:pPr>
              <w:spacing w:after="0"/>
            </w:pPr>
            <w:r>
              <w:rPr>
                <w:rFonts w:ascii="Arial" w:hAnsi="Arial" w:eastAsia="Microsoft YaHei"/>
                <w:sz w:val="18"/>
              </w:rPr>
              <w:t>越冬、迁徙停歇、夏候、留鸟或全年记录</w:t>
            </w:r>
          </w:p>
        </w:tc>
        <w:tc>
          <w:tcPr>
            <w:tcW w:type="dxa" w:w="3061"/>
            <w:tcMar>
              <w:top w:w="90" w:type="dxa"/>
              <w:start w:w="110" w:type="dxa"/>
              <w:bottom w:w="90" w:type="dxa"/>
              <w:end w:w="110" w:type="dxa"/>
            </w:tcMar>
            <w:vAlign w:val="center"/>
          </w:tcPr>
          <w:p>
            <w:pPr>
              <w:spacing w:after="0"/>
            </w:pPr>
            <w:r>
              <w:rPr>
                <w:rFonts w:ascii="Arial" w:hAnsi="Arial" w:eastAsia="Microsoft YaHei"/>
                <w:sz w:val="18"/>
              </w:rPr>
              <w:t>计算Ci</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生境和接触场景</w:t>
            </w:r>
          </w:p>
        </w:tc>
        <w:tc>
          <w:tcPr>
            <w:tcW w:type="dxa" w:w="4649"/>
            <w:tcMar>
              <w:top w:w="90" w:type="dxa"/>
              <w:start w:w="110" w:type="dxa"/>
              <w:bottom w:w="90" w:type="dxa"/>
              <w:end w:w="110" w:type="dxa"/>
            </w:tcMar>
            <w:vAlign w:val="center"/>
          </w:tcPr>
          <w:p>
            <w:pPr>
              <w:spacing w:after="0"/>
            </w:pPr>
            <w:r>
              <w:rPr>
                <w:rFonts w:ascii="Arial" w:hAnsi="Arial" w:eastAsia="Microsoft YaHei"/>
                <w:sz w:val="18"/>
              </w:rPr>
              <w:t>滩涂、红树林、鱼塘、水库、城市湿地、公众活动、养殖邻近等</w:t>
            </w:r>
          </w:p>
        </w:tc>
        <w:tc>
          <w:tcPr>
            <w:tcW w:type="dxa" w:w="3061"/>
            <w:tcMar>
              <w:top w:w="90" w:type="dxa"/>
              <w:start w:w="110" w:type="dxa"/>
              <w:bottom w:w="90" w:type="dxa"/>
              <w:end w:w="110" w:type="dxa"/>
            </w:tcMar>
            <w:vAlign w:val="center"/>
          </w:tcPr>
          <w:p>
            <w:pPr>
              <w:spacing w:after="0"/>
            </w:pPr>
            <w:r>
              <w:rPr>
                <w:rFonts w:ascii="Arial" w:hAnsi="Arial" w:eastAsia="Microsoft YaHei"/>
                <w:sz w:val="18"/>
              </w:rPr>
              <w:t>计算Di</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监测和异常记录</w:t>
            </w:r>
          </w:p>
        </w:tc>
        <w:tc>
          <w:tcPr>
            <w:tcW w:type="dxa" w:w="4649"/>
            <w:tcMar>
              <w:top w:w="90" w:type="dxa"/>
              <w:start w:w="110" w:type="dxa"/>
              <w:bottom w:w="90" w:type="dxa"/>
              <w:end w:w="110" w:type="dxa"/>
            </w:tcMar>
            <w:vAlign w:val="center"/>
          </w:tcPr>
          <w:p>
            <w:pPr>
              <w:spacing w:after="0"/>
            </w:pPr>
            <w:r>
              <w:rPr>
                <w:rFonts w:ascii="Arial" w:hAnsi="Arial" w:eastAsia="Microsoft YaHei"/>
                <w:sz w:val="18"/>
              </w:rPr>
              <w:t>监测站覆盖、异常死亡、疑似或确诊结果、资料来源</w:t>
            </w:r>
          </w:p>
        </w:tc>
        <w:tc>
          <w:tcPr>
            <w:tcW w:type="dxa" w:w="3061"/>
            <w:tcMar>
              <w:top w:w="90" w:type="dxa"/>
              <w:start w:w="110" w:type="dxa"/>
              <w:bottom w:w="90" w:type="dxa"/>
              <w:end w:w="110" w:type="dxa"/>
            </w:tcMar>
            <w:vAlign w:val="center"/>
          </w:tcPr>
          <w:p>
            <w:pPr>
              <w:spacing w:after="0"/>
            </w:pPr>
            <w:r>
              <w:rPr>
                <w:rFonts w:ascii="Arial" w:hAnsi="Arial" w:eastAsia="Microsoft YaHei"/>
                <w:sz w:val="18"/>
              </w:rPr>
              <w:t>确定M和触发专项评估</w:t>
            </w:r>
          </w:p>
        </w:tc>
      </w:tr>
    </w:tbl>
    <w:p>
      <w:pPr>
        <w:spacing w:after="60" w:line="276" w:lineRule="auto"/>
      </w:pPr>
    </w:p>
    <w:p>
      <w:pPr>
        <w:pStyle w:val="Heading1"/>
        <w:spacing w:before="200" w:after="100"/>
      </w:pPr>
      <w:r>
        <w:rPr>
          <w:rFonts w:ascii="Arial" w:hAnsi="Arial" w:eastAsia="Microsoft YaHei"/>
          <w:b/>
          <w:color w:val="111111"/>
        </w:rPr>
        <w:t>七、代表性重点区域及示例计算</w:t>
      </w:r>
    </w:p>
    <w:p>
      <w:pPr>
        <w:spacing w:after="120" w:line="276" w:lineRule="auto"/>
      </w:pPr>
      <w:r>
        <w:rPr>
          <w:rFonts w:ascii="Arial" w:hAnsi="Arial" w:eastAsia="Microsoft YaHei"/>
        </w:rPr>
        <w:t>在指标体系和计算方法明确后，可选择鸟类数量较多、区域代表性较强、监测基础较好的地点开展示例计算。根据广东沿海水鸟长期分布特点、现有监测站布局及年度水鸟调查资料，建议先选取粤东广东海丰湿地、珠江口/大湾区深圳湾内伶仃福田湿地、粤西湛江雷州湾作为代表性重点区域。</w:t>
      </w:r>
    </w:p>
    <w:tbl>
      <w:tblPr>
        <w:tblW w:type="dxa" w:w="9412"/>
        <w:jc w:val="left"/>
        <w:tblLayout w:type="fixed"/>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1882"/>
        <w:gridCol w:w="1882"/>
        <w:gridCol w:w="1882"/>
        <w:gridCol w:w="1882"/>
        <w:gridCol w:w="1882"/>
      </w:tblGrid>
      <w:tr>
        <w:trPr>
          <w:tblHeader w:val="true"/>
        </w:trPr>
        <w:tc>
          <w:tcPr>
            <w:tcW w:type="dxa" w:w="1134"/>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区域</w:t>
            </w:r>
          </w:p>
        </w:tc>
        <w:tc>
          <w:tcPr>
            <w:tcW w:type="dxa" w:w="1587"/>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代表地点</w:t>
            </w:r>
          </w:p>
        </w:tc>
        <w:tc>
          <w:tcPr>
            <w:tcW w:type="dxa" w:w="2608"/>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已有监测基础</w:t>
            </w:r>
          </w:p>
        </w:tc>
        <w:tc>
          <w:tcPr>
            <w:tcW w:type="dxa" w:w="2268"/>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选择理由</w:t>
            </w:r>
          </w:p>
        </w:tc>
        <w:tc>
          <w:tcPr>
            <w:tcW w:type="dxa" w:w="1814"/>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名录补充重点</w:t>
            </w:r>
          </w:p>
        </w:tc>
      </w:tr>
      <w:tr>
        <w:tc>
          <w:tcPr>
            <w:tcW w:type="dxa" w:w="1134"/>
            <w:tcMar>
              <w:top w:w="90" w:type="dxa"/>
              <w:start w:w="110" w:type="dxa"/>
              <w:bottom w:w="90" w:type="dxa"/>
              <w:end w:w="110" w:type="dxa"/>
            </w:tcMar>
            <w:vAlign w:val="center"/>
          </w:tcPr>
          <w:p>
            <w:pPr>
              <w:spacing w:after="0"/>
              <w:jc w:val="center"/>
            </w:pPr>
            <w:r>
              <w:rPr>
                <w:rFonts w:ascii="Arial" w:hAnsi="Arial" w:eastAsia="Microsoft YaHei"/>
                <w:sz w:val="18"/>
              </w:rPr>
              <w:t>粤东</w:t>
            </w:r>
          </w:p>
        </w:tc>
        <w:tc>
          <w:tcPr>
            <w:tcW w:type="dxa" w:w="1587"/>
            <w:tcMar>
              <w:top w:w="90" w:type="dxa"/>
              <w:start w:w="110" w:type="dxa"/>
              <w:bottom w:w="90" w:type="dxa"/>
              <w:end w:w="110" w:type="dxa"/>
            </w:tcMar>
            <w:vAlign w:val="center"/>
          </w:tcPr>
          <w:p>
            <w:pPr>
              <w:spacing w:after="0"/>
            </w:pPr>
            <w:r>
              <w:rPr>
                <w:rFonts w:ascii="Arial" w:hAnsi="Arial" w:eastAsia="Microsoft YaHei"/>
                <w:sz w:val="18"/>
              </w:rPr>
              <w:t>广东海丰湿地</w:t>
            </w:r>
          </w:p>
        </w:tc>
        <w:tc>
          <w:tcPr>
            <w:tcW w:type="dxa" w:w="2608"/>
            <w:tcMar>
              <w:top w:w="90" w:type="dxa"/>
              <w:start w:w="110" w:type="dxa"/>
              <w:bottom w:w="90" w:type="dxa"/>
              <w:end w:w="110" w:type="dxa"/>
            </w:tcMar>
            <w:vAlign w:val="center"/>
          </w:tcPr>
          <w:p>
            <w:pPr>
              <w:spacing w:after="0"/>
            </w:pPr>
            <w:r>
              <w:rPr>
                <w:rFonts w:ascii="Arial" w:hAnsi="Arial" w:eastAsia="Microsoft YaHei"/>
                <w:sz w:val="18"/>
              </w:rPr>
              <w:t>广东海丰保护区国家级陆生野生动物疫源疫病监测站；已有越冬水鸟调查记录约7930只，历史记录数量较高。</w:t>
            </w:r>
          </w:p>
        </w:tc>
        <w:tc>
          <w:tcPr>
            <w:tcW w:type="dxa" w:w="2268"/>
            <w:tcMar>
              <w:top w:w="90" w:type="dxa"/>
              <w:start w:w="110" w:type="dxa"/>
              <w:bottom w:w="90" w:type="dxa"/>
              <w:end w:w="110" w:type="dxa"/>
            </w:tcMar>
            <w:vAlign w:val="center"/>
          </w:tcPr>
          <w:p>
            <w:pPr>
              <w:spacing w:after="0"/>
            </w:pPr>
            <w:r>
              <w:rPr>
                <w:rFonts w:ascii="Arial" w:hAnsi="Arial" w:eastAsia="Microsoft YaHei"/>
                <w:sz w:val="18"/>
              </w:rPr>
              <w:t>滨海湿地和鱼塘复合生境典型，鸟类数量较多，适合作为粤东代表点。</w:t>
            </w:r>
          </w:p>
        </w:tc>
        <w:tc>
          <w:tcPr>
            <w:tcW w:type="dxa" w:w="1814"/>
            <w:tcMar>
              <w:top w:w="90" w:type="dxa"/>
              <w:start w:w="110" w:type="dxa"/>
              <w:bottom w:w="90" w:type="dxa"/>
              <w:end w:w="110" w:type="dxa"/>
            </w:tcMar>
            <w:vAlign w:val="center"/>
          </w:tcPr>
          <w:p>
            <w:pPr>
              <w:spacing w:after="0"/>
            </w:pPr>
            <w:r>
              <w:rPr>
                <w:rFonts w:ascii="Arial" w:hAnsi="Arial" w:eastAsia="Microsoft YaHei"/>
                <w:sz w:val="18"/>
              </w:rPr>
              <w:t>雁鸭类、鸻鹬类、鸥类及优势水鸟物种</w:t>
            </w:r>
          </w:p>
        </w:tc>
      </w:tr>
      <w:tr>
        <w:tc>
          <w:tcPr>
            <w:tcW w:type="dxa" w:w="1134"/>
            <w:tcMar>
              <w:top w:w="90" w:type="dxa"/>
              <w:start w:w="110" w:type="dxa"/>
              <w:bottom w:w="90" w:type="dxa"/>
              <w:end w:w="110" w:type="dxa"/>
            </w:tcMar>
            <w:vAlign w:val="center"/>
          </w:tcPr>
          <w:p>
            <w:pPr>
              <w:spacing w:after="0"/>
            </w:pPr>
            <w:r>
              <w:rPr>
                <w:rFonts w:ascii="Arial" w:hAnsi="Arial" w:eastAsia="Microsoft YaHei"/>
                <w:sz w:val="18"/>
              </w:rPr>
              <w:t>珠江口 / 大湾区</w:t>
            </w:r>
          </w:p>
        </w:tc>
        <w:tc>
          <w:tcPr>
            <w:tcW w:type="dxa" w:w="1587"/>
            <w:tcMar>
              <w:top w:w="90" w:type="dxa"/>
              <w:start w:w="110" w:type="dxa"/>
              <w:bottom w:w="90" w:type="dxa"/>
              <w:end w:w="110" w:type="dxa"/>
            </w:tcMar>
            <w:vAlign w:val="center"/>
          </w:tcPr>
          <w:p>
            <w:pPr>
              <w:spacing w:after="0"/>
            </w:pPr>
            <w:r>
              <w:rPr>
                <w:rFonts w:ascii="Arial" w:hAnsi="Arial" w:eastAsia="Microsoft YaHei"/>
                <w:sz w:val="18"/>
              </w:rPr>
              <w:t>深圳湾内伶仃福田湿地</w:t>
            </w:r>
          </w:p>
        </w:tc>
        <w:tc>
          <w:tcPr>
            <w:tcW w:type="dxa" w:w="2608"/>
            <w:tcMar>
              <w:top w:w="90" w:type="dxa"/>
              <w:start w:w="110" w:type="dxa"/>
              <w:bottom w:w="90" w:type="dxa"/>
              <w:end w:w="110" w:type="dxa"/>
            </w:tcMar>
            <w:vAlign w:val="center"/>
          </w:tcPr>
          <w:p>
            <w:pPr>
              <w:spacing w:after="0"/>
            </w:pPr>
            <w:r>
              <w:rPr>
                <w:rFonts w:ascii="Arial" w:hAnsi="Arial" w:eastAsia="Microsoft YaHei"/>
                <w:sz w:val="18"/>
              </w:rPr>
              <w:t>广东内伶仃岛福田保护区国家级陆生野生动物疫源疫病监测站；已有越冬水鸟调查记录约5363只。</w:t>
            </w:r>
          </w:p>
        </w:tc>
        <w:tc>
          <w:tcPr>
            <w:tcW w:type="dxa" w:w="2268"/>
            <w:tcMar>
              <w:top w:w="90" w:type="dxa"/>
              <w:start w:w="110" w:type="dxa"/>
              <w:bottom w:w="90" w:type="dxa"/>
              <w:end w:w="110" w:type="dxa"/>
            </w:tcMar>
            <w:vAlign w:val="center"/>
          </w:tcPr>
          <w:p>
            <w:pPr>
              <w:spacing w:after="0"/>
            </w:pPr>
            <w:r>
              <w:rPr>
                <w:rFonts w:ascii="Arial" w:hAnsi="Arial" w:eastAsia="Microsoft YaHei"/>
                <w:sz w:val="18"/>
              </w:rPr>
              <w:t>城市湿地特征明显，鸟类数量不低，人鸟接触和公众活动场景突出。</w:t>
            </w:r>
          </w:p>
        </w:tc>
        <w:tc>
          <w:tcPr>
            <w:tcW w:type="dxa" w:w="1814"/>
            <w:tcMar>
              <w:top w:w="90" w:type="dxa"/>
              <w:start w:w="110" w:type="dxa"/>
              <w:bottom w:w="90" w:type="dxa"/>
              <w:end w:w="110" w:type="dxa"/>
            </w:tcMar>
            <w:vAlign w:val="center"/>
          </w:tcPr>
          <w:p>
            <w:pPr>
              <w:spacing w:after="0"/>
            </w:pPr>
            <w:r>
              <w:rPr>
                <w:rFonts w:ascii="Arial" w:hAnsi="Arial" w:eastAsia="Microsoft YaHei"/>
                <w:sz w:val="18"/>
              </w:rPr>
              <w:t>重点水鸟名录、数量频次、公众活动和接触场景</w:t>
            </w:r>
          </w:p>
        </w:tc>
      </w:tr>
      <w:tr>
        <w:tc>
          <w:tcPr>
            <w:tcW w:type="dxa" w:w="1134"/>
            <w:tcMar>
              <w:top w:w="90" w:type="dxa"/>
              <w:start w:w="110" w:type="dxa"/>
              <w:bottom w:w="90" w:type="dxa"/>
              <w:end w:w="110" w:type="dxa"/>
            </w:tcMar>
            <w:vAlign w:val="center"/>
          </w:tcPr>
          <w:p>
            <w:pPr>
              <w:spacing w:after="0"/>
              <w:jc w:val="center"/>
            </w:pPr>
            <w:r>
              <w:rPr>
                <w:rFonts w:ascii="Arial" w:hAnsi="Arial" w:eastAsia="Microsoft YaHei"/>
                <w:sz w:val="18"/>
              </w:rPr>
              <w:t>粤西</w:t>
            </w:r>
          </w:p>
        </w:tc>
        <w:tc>
          <w:tcPr>
            <w:tcW w:type="dxa" w:w="1587"/>
            <w:tcMar>
              <w:top w:w="90" w:type="dxa"/>
              <w:start w:w="110" w:type="dxa"/>
              <w:bottom w:w="90" w:type="dxa"/>
              <w:end w:w="110" w:type="dxa"/>
            </w:tcMar>
            <w:vAlign w:val="center"/>
          </w:tcPr>
          <w:p>
            <w:pPr>
              <w:spacing w:after="0"/>
            </w:pPr>
            <w:r>
              <w:rPr>
                <w:rFonts w:ascii="Arial" w:hAnsi="Arial" w:eastAsia="Microsoft YaHei"/>
                <w:sz w:val="18"/>
              </w:rPr>
              <w:t>湛江雷州湾</w:t>
            </w:r>
          </w:p>
        </w:tc>
        <w:tc>
          <w:tcPr>
            <w:tcW w:type="dxa" w:w="2608"/>
            <w:tcMar>
              <w:top w:w="90" w:type="dxa"/>
              <w:start w:w="110" w:type="dxa"/>
              <w:bottom w:w="90" w:type="dxa"/>
              <w:end w:w="110" w:type="dxa"/>
            </w:tcMar>
            <w:vAlign w:val="center"/>
          </w:tcPr>
          <w:p>
            <w:pPr>
              <w:spacing w:after="0"/>
            </w:pPr>
            <w:r>
              <w:rPr>
                <w:rFonts w:ascii="Arial" w:hAnsi="Arial" w:eastAsia="Microsoft YaHei"/>
                <w:sz w:val="18"/>
              </w:rPr>
              <w:t>广东湛江保护区国家级陆生野生动物疫源疫病监测站；已有越冬水鸟调查记录约15929只。</w:t>
            </w:r>
          </w:p>
        </w:tc>
        <w:tc>
          <w:tcPr>
            <w:tcW w:type="dxa" w:w="2268"/>
            <w:tcMar>
              <w:top w:w="90" w:type="dxa"/>
              <w:start w:w="110" w:type="dxa"/>
              <w:bottom w:w="90" w:type="dxa"/>
              <w:end w:w="110" w:type="dxa"/>
            </w:tcMar>
            <w:vAlign w:val="center"/>
          </w:tcPr>
          <w:p>
            <w:pPr>
              <w:spacing w:after="0"/>
            </w:pPr>
            <w:r>
              <w:rPr>
                <w:rFonts w:ascii="Arial" w:hAnsi="Arial" w:eastAsia="Microsoft YaHei"/>
                <w:sz w:val="18"/>
              </w:rPr>
              <w:t>沿海滩涂和红树林湿地连续分布，水鸟数量高，粤西代表性强。</w:t>
            </w:r>
          </w:p>
        </w:tc>
        <w:tc>
          <w:tcPr>
            <w:tcW w:type="dxa" w:w="1814"/>
            <w:tcMar>
              <w:top w:w="90" w:type="dxa"/>
              <w:start w:w="110" w:type="dxa"/>
              <w:bottom w:w="90" w:type="dxa"/>
              <w:end w:w="110" w:type="dxa"/>
            </w:tcMar>
            <w:vAlign w:val="center"/>
          </w:tcPr>
          <w:p>
            <w:pPr>
              <w:spacing w:after="0"/>
            </w:pPr>
            <w:r>
              <w:rPr>
                <w:rFonts w:ascii="Arial" w:hAnsi="Arial" w:eastAsia="Microsoft YaHei"/>
                <w:sz w:val="18"/>
              </w:rPr>
              <w:t>鸻鹬类、鸥类、雁鸭类及迁徙停歇物种</w:t>
            </w:r>
          </w:p>
        </w:tc>
      </w:tr>
    </w:tbl>
    <w:p>
      <w:pPr>
        <w:spacing w:after="60" w:line="276" w:lineRule="auto"/>
      </w:pPr>
    </w:p>
    <w:p>
      <w:pPr>
        <w:spacing w:after="120" w:line="276" w:lineRule="auto"/>
      </w:pPr>
      <w:r>
        <w:rPr>
          <w:rFonts w:ascii="Arial" w:hAnsi="Arial" w:eastAsia="Microsoft YaHei"/>
        </w:rPr>
        <w:t>示例计算时，可先对每个代表地点建立“地点—物种”表，再按物种逐项赋值。以下为计算表样式，待具体鸟类名录补充后形成正式风险指数。</w:t>
      </w:r>
    </w:p>
    <w:tbl>
      <w:tblPr>
        <w:tblW w:type="dxa" w:w="9412"/>
        <w:jc w:val="left"/>
        <w:tblLayout w:type="fixed"/>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1345"/>
        <w:gridCol w:w="1345"/>
        <w:gridCol w:w="1345"/>
        <w:gridCol w:w="1345"/>
        <w:gridCol w:w="1345"/>
        <w:gridCol w:w="1345"/>
        <w:gridCol w:w="1345"/>
      </w:tblGrid>
      <w:tr>
        <w:trPr>
          <w:tblHeader w:val="true"/>
        </w:trPr>
        <w:tc>
          <w:tcPr>
            <w:tcW w:type="dxa" w:w="1587"/>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地点</w:t>
            </w:r>
          </w:p>
        </w:tc>
        <w:tc>
          <w:tcPr>
            <w:tcW w:type="dxa" w:w="1701"/>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物种或类群</w:t>
            </w:r>
          </w:p>
        </w:tc>
        <w:tc>
          <w:tcPr>
            <w:tcW w:type="dxa" w:w="1304"/>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Ai数量/频次</w:t>
            </w:r>
          </w:p>
        </w:tc>
        <w:tc>
          <w:tcPr>
            <w:tcW w:type="dxa" w:w="1190"/>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Bi关注系数</w:t>
            </w:r>
          </w:p>
        </w:tc>
        <w:tc>
          <w:tcPr>
            <w:tcW w:type="dxa" w:w="1190"/>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Ci季节系数</w:t>
            </w:r>
          </w:p>
        </w:tc>
        <w:tc>
          <w:tcPr>
            <w:tcW w:type="dxa" w:w="1304"/>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Di接触系数</w:t>
            </w:r>
          </w:p>
        </w:tc>
        <w:tc>
          <w:tcPr>
            <w:tcW w:type="dxa" w:w="1134"/>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物种贡献值</w:t>
            </w:r>
          </w:p>
        </w:tc>
      </w:tr>
      <w:tr>
        <w:tc>
          <w:tcPr>
            <w:tcW w:type="dxa" w:w="1587"/>
            <w:tcMar>
              <w:top w:w="90" w:type="dxa"/>
              <w:start w:w="110" w:type="dxa"/>
              <w:bottom w:w="90" w:type="dxa"/>
              <w:end w:w="110" w:type="dxa"/>
            </w:tcMar>
            <w:vAlign w:val="center"/>
          </w:tcPr>
          <w:p>
            <w:pPr>
              <w:spacing w:after="0"/>
              <w:jc w:val="center"/>
            </w:pPr>
            <w:r>
              <w:rPr>
                <w:rFonts w:ascii="Arial" w:hAnsi="Arial" w:eastAsia="Microsoft YaHei"/>
                <w:sz w:val="18"/>
              </w:rPr>
              <w:t>海丰湿地</w:t>
            </w:r>
          </w:p>
        </w:tc>
        <w:tc>
          <w:tcPr>
            <w:tcW w:type="dxa" w:w="1701"/>
            <w:tcMar>
              <w:top w:w="90" w:type="dxa"/>
              <w:start w:w="110" w:type="dxa"/>
              <w:bottom w:w="90" w:type="dxa"/>
              <w:end w:w="110" w:type="dxa"/>
            </w:tcMar>
            <w:vAlign w:val="center"/>
          </w:tcPr>
          <w:p>
            <w:pPr>
              <w:spacing w:after="0"/>
            </w:pPr>
            <w:r>
              <w:rPr>
                <w:rFonts w:ascii="Arial" w:hAnsi="Arial" w:eastAsia="Microsoft YaHei"/>
                <w:sz w:val="18"/>
              </w:rPr>
              <w:t>待补充具体物种</w:t>
            </w:r>
          </w:p>
        </w:tc>
        <w:tc>
          <w:tcPr>
            <w:tcW w:type="dxa" w:w="1304"/>
            <w:tcMar>
              <w:top w:w="90" w:type="dxa"/>
              <w:start w:w="110" w:type="dxa"/>
              <w:bottom w:w="90" w:type="dxa"/>
              <w:end w:w="110" w:type="dxa"/>
            </w:tcMar>
            <w:vAlign w:val="center"/>
          </w:tcPr>
          <w:p>
            <w:pPr>
              <w:spacing w:after="0"/>
            </w:pPr>
            <w:r>
              <w:rPr>
                <w:rFonts w:ascii="Arial" w:hAnsi="Arial" w:eastAsia="Microsoft YaHei"/>
                <w:sz w:val="18"/>
              </w:rPr>
              <w:t>按数量或频次赋值</w:t>
            </w:r>
          </w:p>
        </w:tc>
        <w:tc>
          <w:tcPr>
            <w:tcW w:type="dxa" w:w="1190"/>
            <w:tcMar>
              <w:top w:w="90" w:type="dxa"/>
              <w:start w:w="110" w:type="dxa"/>
              <w:bottom w:w="90" w:type="dxa"/>
              <w:end w:w="110" w:type="dxa"/>
            </w:tcMar>
            <w:vAlign w:val="center"/>
          </w:tcPr>
          <w:p>
            <w:pPr>
              <w:spacing w:after="0"/>
            </w:pPr>
            <w:r>
              <w:rPr>
                <w:rFonts w:ascii="Arial" w:hAnsi="Arial" w:eastAsia="Microsoft YaHei"/>
                <w:sz w:val="18"/>
              </w:rPr>
              <w:t>按类群或物种赋值</w:t>
            </w:r>
          </w:p>
        </w:tc>
        <w:tc>
          <w:tcPr>
            <w:tcW w:type="dxa" w:w="1190"/>
            <w:tcMar>
              <w:top w:w="90" w:type="dxa"/>
              <w:start w:w="110" w:type="dxa"/>
              <w:bottom w:w="90" w:type="dxa"/>
              <w:end w:w="110" w:type="dxa"/>
            </w:tcMar>
            <w:vAlign w:val="center"/>
          </w:tcPr>
          <w:p>
            <w:pPr>
              <w:spacing w:after="0"/>
            </w:pPr>
            <w:r>
              <w:rPr>
                <w:rFonts w:ascii="Arial" w:hAnsi="Arial" w:eastAsia="Microsoft YaHei"/>
                <w:sz w:val="18"/>
              </w:rPr>
              <w:t>按越冬/迁徙情况赋值</w:t>
            </w:r>
          </w:p>
        </w:tc>
        <w:tc>
          <w:tcPr>
            <w:tcW w:type="dxa" w:w="1304"/>
            <w:tcMar>
              <w:top w:w="90" w:type="dxa"/>
              <w:start w:w="110" w:type="dxa"/>
              <w:bottom w:w="90" w:type="dxa"/>
              <w:end w:w="110" w:type="dxa"/>
            </w:tcMar>
            <w:vAlign w:val="center"/>
          </w:tcPr>
          <w:p>
            <w:pPr>
              <w:spacing w:after="0"/>
            </w:pPr>
            <w:r>
              <w:rPr>
                <w:rFonts w:ascii="Arial" w:hAnsi="Arial" w:eastAsia="Microsoft YaHei"/>
                <w:sz w:val="18"/>
              </w:rPr>
              <w:t>按生境和接触场景赋值</w:t>
            </w:r>
          </w:p>
        </w:tc>
        <w:tc>
          <w:tcPr>
            <w:tcW w:type="dxa" w:w="1134"/>
            <w:tcMar>
              <w:top w:w="90" w:type="dxa"/>
              <w:start w:w="110" w:type="dxa"/>
              <w:bottom w:w="90" w:type="dxa"/>
              <w:end w:w="110" w:type="dxa"/>
            </w:tcMar>
            <w:vAlign w:val="center"/>
          </w:tcPr>
          <w:p>
            <w:pPr>
              <w:spacing w:after="0"/>
            </w:pPr>
            <w:r>
              <w:rPr>
                <w:rFonts w:ascii="Arial" w:hAnsi="Arial" w:eastAsia="Microsoft YaHei"/>
                <w:sz w:val="18"/>
              </w:rPr>
              <w:t>Ai×Bi×Ci×Di</w:t>
            </w:r>
          </w:p>
        </w:tc>
      </w:tr>
      <w:tr>
        <w:tc>
          <w:tcPr>
            <w:tcW w:type="dxa" w:w="1587"/>
            <w:tcMar>
              <w:top w:w="90" w:type="dxa"/>
              <w:start w:w="110" w:type="dxa"/>
              <w:bottom w:w="90" w:type="dxa"/>
              <w:end w:w="110" w:type="dxa"/>
            </w:tcMar>
            <w:vAlign w:val="center"/>
          </w:tcPr>
          <w:p>
            <w:pPr>
              <w:spacing w:after="0"/>
            </w:pPr>
            <w:r>
              <w:rPr>
                <w:rFonts w:ascii="Arial" w:hAnsi="Arial" w:eastAsia="Microsoft YaHei"/>
                <w:sz w:val="18"/>
              </w:rPr>
              <w:t>深圳湾内伶仃福田湿地</w:t>
            </w:r>
          </w:p>
        </w:tc>
        <w:tc>
          <w:tcPr>
            <w:tcW w:type="dxa" w:w="1701"/>
            <w:tcMar>
              <w:top w:w="90" w:type="dxa"/>
              <w:start w:w="110" w:type="dxa"/>
              <w:bottom w:w="90" w:type="dxa"/>
              <w:end w:w="110" w:type="dxa"/>
            </w:tcMar>
            <w:vAlign w:val="center"/>
          </w:tcPr>
          <w:p>
            <w:pPr>
              <w:spacing w:after="0"/>
            </w:pPr>
            <w:r>
              <w:rPr>
                <w:rFonts w:ascii="Arial" w:hAnsi="Arial" w:eastAsia="Microsoft YaHei"/>
                <w:sz w:val="18"/>
              </w:rPr>
              <w:t>待补充具体物种</w:t>
            </w:r>
          </w:p>
        </w:tc>
        <w:tc>
          <w:tcPr>
            <w:tcW w:type="dxa" w:w="1304"/>
            <w:tcMar>
              <w:top w:w="90" w:type="dxa"/>
              <w:start w:w="110" w:type="dxa"/>
              <w:bottom w:w="90" w:type="dxa"/>
              <w:end w:w="110" w:type="dxa"/>
            </w:tcMar>
            <w:vAlign w:val="center"/>
          </w:tcPr>
          <w:p>
            <w:pPr>
              <w:spacing w:after="0"/>
            </w:pPr>
            <w:r>
              <w:rPr>
                <w:rFonts w:ascii="Arial" w:hAnsi="Arial" w:eastAsia="Microsoft YaHei"/>
                <w:sz w:val="18"/>
              </w:rPr>
              <w:t>按数量或频次赋值</w:t>
            </w:r>
          </w:p>
        </w:tc>
        <w:tc>
          <w:tcPr>
            <w:tcW w:type="dxa" w:w="1190"/>
            <w:tcMar>
              <w:top w:w="90" w:type="dxa"/>
              <w:start w:w="110" w:type="dxa"/>
              <w:bottom w:w="90" w:type="dxa"/>
              <w:end w:w="110" w:type="dxa"/>
            </w:tcMar>
            <w:vAlign w:val="center"/>
          </w:tcPr>
          <w:p>
            <w:pPr>
              <w:spacing w:after="0"/>
            </w:pPr>
            <w:r>
              <w:rPr>
                <w:rFonts w:ascii="Arial" w:hAnsi="Arial" w:eastAsia="Microsoft YaHei"/>
                <w:sz w:val="18"/>
              </w:rPr>
              <w:t>按类群或物种赋值</w:t>
            </w:r>
          </w:p>
        </w:tc>
        <w:tc>
          <w:tcPr>
            <w:tcW w:type="dxa" w:w="1190"/>
            <w:tcMar>
              <w:top w:w="90" w:type="dxa"/>
              <w:start w:w="110" w:type="dxa"/>
              <w:bottom w:w="90" w:type="dxa"/>
              <w:end w:w="110" w:type="dxa"/>
            </w:tcMar>
            <w:vAlign w:val="center"/>
          </w:tcPr>
          <w:p>
            <w:pPr>
              <w:spacing w:after="0"/>
            </w:pPr>
            <w:r>
              <w:rPr>
                <w:rFonts w:ascii="Arial" w:hAnsi="Arial" w:eastAsia="Microsoft YaHei"/>
                <w:sz w:val="18"/>
              </w:rPr>
              <w:t>按越冬/迁徙情况赋值</w:t>
            </w:r>
          </w:p>
        </w:tc>
        <w:tc>
          <w:tcPr>
            <w:tcW w:type="dxa" w:w="1304"/>
            <w:tcMar>
              <w:top w:w="90" w:type="dxa"/>
              <w:start w:w="110" w:type="dxa"/>
              <w:bottom w:w="90" w:type="dxa"/>
              <w:end w:w="110" w:type="dxa"/>
            </w:tcMar>
            <w:vAlign w:val="center"/>
          </w:tcPr>
          <w:p>
            <w:pPr>
              <w:spacing w:after="0"/>
            </w:pPr>
            <w:r>
              <w:rPr>
                <w:rFonts w:ascii="Arial" w:hAnsi="Arial" w:eastAsia="Microsoft YaHei"/>
                <w:sz w:val="18"/>
              </w:rPr>
              <w:t>按生境和接触场景赋值</w:t>
            </w:r>
          </w:p>
        </w:tc>
        <w:tc>
          <w:tcPr>
            <w:tcW w:type="dxa" w:w="1134"/>
            <w:tcMar>
              <w:top w:w="90" w:type="dxa"/>
              <w:start w:w="110" w:type="dxa"/>
              <w:bottom w:w="90" w:type="dxa"/>
              <w:end w:w="110" w:type="dxa"/>
            </w:tcMar>
            <w:vAlign w:val="center"/>
          </w:tcPr>
          <w:p>
            <w:pPr>
              <w:spacing w:after="0"/>
            </w:pPr>
            <w:r>
              <w:rPr>
                <w:rFonts w:ascii="Arial" w:hAnsi="Arial" w:eastAsia="Microsoft YaHei"/>
                <w:sz w:val="18"/>
              </w:rPr>
              <w:t>Ai×Bi×Ci×Di</w:t>
            </w:r>
          </w:p>
        </w:tc>
      </w:tr>
      <w:tr>
        <w:tc>
          <w:tcPr>
            <w:tcW w:type="dxa" w:w="1587"/>
            <w:tcMar>
              <w:top w:w="90" w:type="dxa"/>
              <w:start w:w="110" w:type="dxa"/>
              <w:bottom w:w="90" w:type="dxa"/>
              <w:end w:w="110" w:type="dxa"/>
            </w:tcMar>
            <w:vAlign w:val="center"/>
          </w:tcPr>
          <w:p>
            <w:pPr>
              <w:spacing w:after="0"/>
              <w:jc w:val="center"/>
            </w:pPr>
            <w:r>
              <w:rPr>
                <w:rFonts w:ascii="Arial" w:hAnsi="Arial" w:eastAsia="Microsoft YaHei"/>
                <w:sz w:val="18"/>
              </w:rPr>
              <w:t>湛江雷州湾</w:t>
            </w:r>
          </w:p>
        </w:tc>
        <w:tc>
          <w:tcPr>
            <w:tcW w:type="dxa" w:w="1701"/>
            <w:tcMar>
              <w:top w:w="90" w:type="dxa"/>
              <w:start w:w="110" w:type="dxa"/>
              <w:bottom w:w="90" w:type="dxa"/>
              <w:end w:w="110" w:type="dxa"/>
            </w:tcMar>
            <w:vAlign w:val="center"/>
          </w:tcPr>
          <w:p>
            <w:pPr>
              <w:spacing w:after="0"/>
            </w:pPr>
            <w:r>
              <w:rPr>
                <w:rFonts w:ascii="Arial" w:hAnsi="Arial" w:eastAsia="Microsoft YaHei"/>
                <w:sz w:val="18"/>
              </w:rPr>
              <w:t>待补充具体物种</w:t>
            </w:r>
          </w:p>
        </w:tc>
        <w:tc>
          <w:tcPr>
            <w:tcW w:type="dxa" w:w="1304"/>
            <w:tcMar>
              <w:top w:w="90" w:type="dxa"/>
              <w:start w:w="110" w:type="dxa"/>
              <w:bottom w:w="90" w:type="dxa"/>
              <w:end w:w="110" w:type="dxa"/>
            </w:tcMar>
            <w:vAlign w:val="center"/>
          </w:tcPr>
          <w:p>
            <w:pPr>
              <w:spacing w:after="0"/>
            </w:pPr>
            <w:r>
              <w:rPr>
                <w:rFonts w:ascii="Arial" w:hAnsi="Arial" w:eastAsia="Microsoft YaHei"/>
                <w:sz w:val="18"/>
              </w:rPr>
              <w:t>按数量或频次赋值</w:t>
            </w:r>
          </w:p>
        </w:tc>
        <w:tc>
          <w:tcPr>
            <w:tcW w:type="dxa" w:w="1190"/>
            <w:tcMar>
              <w:top w:w="90" w:type="dxa"/>
              <w:start w:w="110" w:type="dxa"/>
              <w:bottom w:w="90" w:type="dxa"/>
              <w:end w:w="110" w:type="dxa"/>
            </w:tcMar>
            <w:vAlign w:val="center"/>
          </w:tcPr>
          <w:p>
            <w:pPr>
              <w:spacing w:after="0"/>
            </w:pPr>
            <w:r>
              <w:rPr>
                <w:rFonts w:ascii="Arial" w:hAnsi="Arial" w:eastAsia="Microsoft YaHei"/>
                <w:sz w:val="18"/>
              </w:rPr>
              <w:t>按类群或物种赋值</w:t>
            </w:r>
          </w:p>
        </w:tc>
        <w:tc>
          <w:tcPr>
            <w:tcW w:type="dxa" w:w="1190"/>
            <w:tcMar>
              <w:top w:w="90" w:type="dxa"/>
              <w:start w:w="110" w:type="dxa"/>
              <w:bottom w:w="90" w:type="dxa"/>
              <w:end w:w="110" w:type="dxa"/>
            </w:tcMar>
            <w:vAlign w:val="center"/>
          </w:tcPr>
          <w:p>
            <w:pPr>
              <w:spacing w:after="0"/>
            </w:pPr>
            <w:r>
              <w:rPr>
                <w:rFonts w:ascii="Arial" w:hAnsi="Arial" w:eastAsia="Microsoft YaHei"/>
                <w:sz w:val="18"/>
              </w:rPr>
              <w:t>按越冬/迁徙情况赋值</w:t>
            </w:r>
          </w:p>
        </w:tc>
        <w:tc>
          <w:tcPr>
            <w:tcW w:type="dxa" w:w="1304"/>
            <w:tcMar>
              <w:top w:w="90" w:type="dxa"/>
              <w:start w:w="110" w:type="dxa"/>
              <w:bottom w:w="90" w:type="dxa"/>
              <w:end w:w="110" w:type="dxa"/>
            </w:tcMar>
            <w:vAlign w:val="center"/>
          </w:tcPr>
          <w:p>
            <w:pPr>
              <w:spacing w:after="0"/>
            </w:pPr>
            <w:r>
              <w:rPr>
                <w:rFonts w:ascii="Arial" w:hAnsi="Arial" w:eastAsia="Microsoft YaHei"/>
                <w:sz w:val="18"/>
              </w:rPr>
              <w:t>按生境和接触场景赋值</w:t>
            </w:r>
          </w:p>
        </w:tc>
        <w:tc>
          <w:tcPr>
            <w:tcW w:type="dxa" w:w="1134"/>
            <w:tcMar>
              <w:top w:w="90" w:type="dxa"/>
              <w:start w:w="110" w:type="dxa"/>
              <w:bottom w:w="90" w:type="dxa"/>
              <w:end w:w="110" w:type="dxa"/>
            </w:tcMar>
            <w:vAlign w:val="center"/>
          </w:tcPr>
          <w:p>
            <w:pPr>
              <w:spacing w:after="0"/>
            </w:pPr>
            <w:r>
              <w:rPr>
                <w:rFonts w:ascii="Arial" w:hAnsi="Arial" w:eastAsia="Microsoft YaHei"/>
                <w:sz w:val="18"/>
              </w:rPr>
              <w:t>Ai×Bi×Ci×Di</w:t>
            </w:r>
          </w:p>
        </w:tc>
      </w:tr>
    </w:tbl>
    <w:p>
      <w:pPr>
        <w:spacing w:after="60" w:line="276" w:lineRule="auto"/>
      </w:pPr>
    </w:p>
    <w:p>
      <w:pPr>
        <w:spacing w:after="120" w:line="276" w:lineRule="auto"/>
      </w:pPr>
      <w:r>
        <w:rPr>
          <w:rFonts w:ascii="Arial" w:hAnsi="Arial" w:eastAsia="Microsoft YaHei"/>
        </w:rPr>
        <w:t>地点风险指数按各物种贡献值汇总后乘以监测与异常事件修正系数M。三个代表地点的风险值可用于年度横向比较，优先识别需要补充物种名录、加密巡查或开展专项会商的区域。</w:t>
      </w:r>
    </w:p>
    <w:p>
      <w:pPr>
        <w:pStyle w:val="Heading1"/>
        <w:spacing w:before="200" w:after="100"/>
      </w:pPr>
      <w:r>
        <w:rPr>
          <w:rFonts w:ascii="Arial" w:hAnsi="Arial" w:eastAsia="Microsoft YaHei"/>
          <w:b/>
          <w:color w:val="111111"/>
        </w:rPr>
        <w:t>八、预警应用与运行</w:t>
      </w:r>
    </w:p>
    <w:p>
      <w:pPr>
        <w:spacing w:after="120" w:line="276" w:lineRule="auto"/>
      </w:pPr>
      <w:r>
        <w:rPr>
          <w:rFonts w:ascii="Arial" w:hAnsi="Arial" w:eastAsia="Microsoft YaHei"/>
        </w:rPr>
        <w:t>风险指数主要用于监测预警和年度布点，不替代国家和广东省现行动物疫病、野生动物疫源疫病及突发公共卫生事件相关法定报告和应急处置程序。疑似或确诊高致病性禽流感、聚集性死亡事件、连续异常死亡记录等，应直接进入专项应急响应评估或会商。</w:t>
      </w:r>
    </w:p>
    <w:p>
      <w:pPr>
        <w:spacing w:after="120" w:line="276" w:lineRule="auto"/>
      </w:pPr>
      <w:r>
        <w:rPr>
          <w:rFonts w:ascii="Arial" w:hAnsi="Arial" w:eastAsia="Microsoft YaHei"/>
        </w:rPr>
        <w:t>年度运行中，应在迁徙季前更新代表地点鸟类名录和监测点位，迁徙和越冬高峰期开展滚动评估，年度结束后复核指标权重、重点关注对象和代表地点适用性。</w:t>
      </w:r>
    </w:p>
    <w:p>
      <w:pPr>
        <w:pStyle w:val="Heading1"/>
        <w:spacing w:before="200" w:after="100"/>
      </w:pPr>
      <w:r>
        <w:rPr>
          <w:rFonts w:ascii="Arial" w:hAnsi="Arial" w:eastAsia="Microsoft YaHei"/>
          <w:b/>
          <w:color w:val="111111"/>
        </w:rPr>
        <w:t>九、主要资料依据</w:t>
      </w:r>
    </w:p>
    <w:tbl>
      <w:tblPr>
        <w:tblW w:type="dxa" w:w="9412"/>
        <w:jc w:val="left"/>
        <w:tblLayout w:type="fixed"/>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4706"/>
        <w:gridCol w:w="4706"/>
      </w:tblGrid>
      <w:tr>
        <w:trPr>
          <w:tblHeader w:val="true"/>
        </w:trPr>
        <w:tc>
          <w:tcPr>
            <w:tcW w:type="dxa" w:w="3402"/>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资料</w:t>
            </w:r>
          </w:p>
        </w:tc>
        <w:tc>
          <w:tcPr>
            <w:tcW w:type="dxa" w:w="6010"/>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用途</w:t>
            </w:r>
          </w:p>
        </w:tc>
      </w:tr>
      <w:tr>
        <w:tc>
          <w:tcPr>
            <w:tcW w:type="dxa" w:w="3402"/>
            <w:tcMar>
              <w:top w:w="90" w:type="dxa"/>
              <w:start w:w="110" w:type="dxa"/>
              <w:bottom w:w="90" w:type="dxa"/>
              <w:end w:w="110" w:type="dxa"/>
            </w:tcMar>
            <w:vAlign w:val="center"/>
          </w:tcPr>
          <w:p>
            <w:pPr>
              <w:spacing w:after="0"/>
            </w:pPr>
            <w:r>
              <w:rPr>
                <w:rFonts w:ascii="Arial" w:hAnsi="Arial" w:eastAsia="Microsoft YaHei"/>
                <w:sz w:val="18"/>
              </w:rPr>
              <w:t>广东省林业科技创新项目合同书</w:t>
            </w:r>
          </w:p>
        </w:tc>
        <w:tc>
          <w:tcPr>
            <w:tcW w:type="dxa" w:w="6010"/>
            <w:tcMar>
              <w:top w:w="90" w:type="dxa"/>
              <w:start w:w="110" w:type="dxa"/>
              <w:bottom w:w="90" w:type="dxa"/>
              <w:end w:w="110" w:type="dxa"/>
            </w:tcMar>
            <w:vAlign w:val="center"/>
          </w:tcPr>
          <w:p>
            <w:pPr>
              <w:spacing w:after="0"/>
            </w:pPr>
            <w:r>
              <w:rPr>
                <w:rFonts w:ascii="Arial" w:hAnsi="Arial" w:eastAsia="Microsoft YaHei"/>
                <w:sz w:val="18"/>
              </w:rPr>
              <w:t>明确项目需提出监测预警和风险评估主要技术指标体系。</w:t>
            </w:r>
          </w:p>
        </w:tc>
      </w:tr>
      <w:tr>
        <w:tc>
          <w:tcPr>
            <w:tcW w:type="dxa" w:w="3402"/>
            <w:tcMar>
              <w:top w:w="90" w:type="dxa"/>
              <w:start w:w="110" w:type="dxa"/>
              <w:bottom w:w="90" w:type="dxa"/>
              <w:end w:w="110" w:type="dxa"/>
            </w:tcMar>
            <w:vAlign w:val="center"/>
          </w:tcPr>
          <w:p>
            <w:pPr>
              <w:spacing w:after="0"/>
            </w:pPr>
            <w:r>
              <w:rPr>
                <w:rFonts w:ascii="Arial" w:hAnsi="Arial" w:eastAsia="Microsoft YaHei"/>
                <w:sz w:val="18"/>
              </w:rPr>
              <w:t>广东省陆生野生动物疫源疫病监测站名录</w:t>
            </w:r>
          </w:p>
        </w:tc>
        <w:tc>
          <w:tcPr>
            <w:tcW w:type="dxa" w:w="6010"/>
            <w:tcMar>
              <w:top w:w="90" w:type="dxa"/>
              <w:start w:w="110" w:type="dxa"/>
              <w:bottom w:w="90" w:type="dxa"/>
              <w:end w:w="110" w:type="dxa"/>
            </w:tcMar>
            <w:vAlign w:val="center"/>
          </w:tcPr>
          <w:p>
            <w:pPr>
              <w:spacing w:after="0"/>
            </w:pPr>
            <w:r>
              <w:rPr>
                <w:rFonts w:ascii="Arial" w:hAnsi="Arial" w:eastAsia="Microsoft YaHei"/>
                <w:sz w:val="18"/>
              </w:rPr>
              <w:t>匹配代表地点与现有监测站基础。</w:t>
            </w:r>
          </w:p>
        </w:tc>
      </w:tr>
      <w:tr>
        <w:tc>
          <w:tcPr>
            <w:tcW w:type="dxa" w:w="3402"/>
            <w:tcMar>
              <w:top w:w="90" w:type="dxa"/>
              <w:start w:w="110" w:type="dxa"/>
              <w:bottom w:w="90" w:type="dxa"/>
              <w:end w:w="110" w:type="dxa"/>
            </w:tcMar>
            <w:vAlign w:val="center"/>
          </w:tcPr>
          <w:p>
            <w:pPr>
              <w:spacing w:after="0"/>
            </w:pPr>
            <w:r>
              <w:rPr>
                <w:rFonts w:ascii="Arial" w:hAnsi="Arial" w:eastAsia="Microsoft YaHei"/>
                <w:sz w:val="18"/>
              </w:rPr>
              <w:t>广东省越冬水鸟同步监测资料</w:t>
            </w:r>
          </w:p>
        </w:tc>
        <w:tc>
          <w:tcPr>
            <w:tcW w:type="dxa" w:w="6010"/>
            <w:tcMar>
              <w:top w:w="90" w:type="dxa"/>
              <w:start w:w="110" w:type="dxa"/>
              <w:bottom w:w="90" w:type="dxa"/>
              <w:end w:w="110" w:type="dxa"/>
            </w:tcMar>
            <w:vAlign w:val="center"/>
          </w:tcPr>
          <w:p>
            <w:pPr>
              <w:spacing w:after="0"/>
            </w:pPr>
            <w:r>
              <w:rPr>
                <w:rFonts w:ascii="Arial" w:hAnsi="Arial" w:eastAsia="Microsoft YaHei"/>
                <w:sz w:val="18"/>
              </w:rPr>
              <w:t>提供水鸟数量、监测单元和重点区域参考。</w:t>
            </w:r>
          </w:p>
        </w:tc>
      </w:tr>
      <w:tr>
        <w:tc>
          <w:tcPr>
            <w:tcW w:type="dxa" w:w="3402"/>
            <w:tcMar>
              <w:top w:w="90" w:type="dxa"/>
              <w:start w:w="110" w:type="dxa"/>
              <w:bottom w:w="90" w:type="dxa"/>
              <w:end w:w="110" w:type="dxa"/>
            </w:tcMar>
            <w:vAlign w:val="center"/>
          </w:tcPr>
          <w:p>
            <w:pPr>
              <w:spacing w:after="0"/>
            </w:pPr>
            <w:r>
              <w:rPr>
                <w:rFonts w:ascii="Arial" w:hAnsi="Arial" w:eastAsia="Microsoft YaHei"/>
                <w:sz w:val="18"/>
              </w:rPr>
              <w:t>国家林草局、广东省林业局等公开资料</w:t>
            </w:r>
          </w:p>
        </w:tc>
        <w:tc>
          <w:tcPr>
            <w:tcW w:type="dxa" w:w="6010"/>
            <w:tcMar>
              <w:top w:w="90" w:type="dxa"/>
              <w:start w:w="110" w:type="dxa"/>
              <w:bottom w:w="90" w:type="dxa"/>
              <w:end w:w="110" w:type="dxa"/>
            </w:tcMar>
            <w:vAlign w:val="center"/>
          </w:tcPr>
          <w:p>
            <w:pPr>
              <w:spacing w:after="0"/>
            </w:pPr>
            <w:r>
              <w:rPr>
                <w:rFonts w:ascii="Arial" w:hAnsi="Arial" w:eastAsia="Microsoft YaHei"/>
                <w:sz w:val="18"/>
              </w:rPr>
              <w:t>支撑广东迁徙通道、野生鸟类和越冬水鸟基础背景。</w:t>
            </w:r>
          </w:p>
        </w:tc>
      </w:tr>
    </w:tbl>
    <w:p>
      <w:pPr>
        <w:spacing w:after="60" w:line="276" w:lineRule="auto"/>
      </w:pP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Microsoft YaHei"/>
        <w:color w:val="666666"/>
        <w:sz w:val="18"/>
      </w:rPr>
      <w:t xml:space="preserve">第 </w:t>
      <w:fldChar w:fldCharType="begin"/>
      <w:instrText xml:space="preserve">PAGE</w:instrText>
      <w:fldChar w:fldCharType="end"/>
    </w:r>
    <w:r>
      <w:rPr>
        <w:rFonts w:ascii="Arial" w:hAnsi="Arial" w:eastAsia="Microsoft YaHei"/>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Microsoft YaHei"/>
        <w:color w:val="666666"/>
        <w:sz w:val="18"/>
      </w:rPr>
      <w:t>广东省重要迁徙鸟类疫病监测预警体系与风险评估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