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Microsoft YaHei"/>
          <w:b/>
          <w:color w:val="111111"/>
          <w:sz w:val="40"/>
        </w:rPr>
        <w:t>广东省重要迁徙鸟类疫病监测预警体系与风险评估</w:t>
      </w:r>
    </w:p>
    <w:p>
      <w:pPr>
        <w:spacing w:after="280"/>
        <w:jc w:val="center"/>
      </w:pPr>
      <w:r>
        <w:rPr>
          <w:rFonts w:ascii="Arial" w:hAnsi="Arial" w:eastAsia="Microsoft YaHei"/>
          <w:color w:val="5F6B63"/>
          <w:sz w:val="26"/>
        </w:rPr>
        <w:t>重点区域与鸟类数据支撑框架（修改稿）</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4706"/>
        <w:gridCol w:w="4706"/>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项目</w:t>
            </w:r>
          </w:p>
        </w:tc>
        <w:tc>
          <w:tcPr>
            <w:tcW w:type="dxa" w:w="771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说明</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适用对象</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广东省迁徙水鸟及其主要停歇、越冬、觅食和人鸟接触区域的疫病监测预警。</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修改重点</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将原指标体系调整为以鸟类数据、重点湿地、监测站布局和异常事件为核心的可更新框架。</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资料基础</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广东省沿海水鸟长期分布特点、重要湿地格局、现有陆生野生动物疫源疫病监测站布局，以及年度水鸟监测资料。</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使用方式</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先以代表性重点区域建立资料框架，后续补充物种名录、优势物种、数量变化和年度检测结果后开展评分。</w:t>
            </w:r>
          </w:p>
        </w:tc>
      </w:tr>
    </w:tbl>
    <w:p>
      <w:pPr>
        <w:spacing w:after="80"/>
      </w:pPr>
    </w:p>
    <w:p>
      <w:pPr>
        <w:pStyle w:val="Heading1"/>
        <w:spacing w:before="200" w:after="100"/>
      </w:pPr>
      <w:r>
        <w:rPr>
          <w:rFonts w:ascii="Arial" w:hAnsi="Arial" w:eastAsia="Microsoft YaHei"/>
          <w:b/>
          <w:color w:val="111111"/>
        </w:rPr>
        <w:t>一、总体框架</w:t>
      </w:r>
    </w:p>
    <w:p>
      <w:pPr>
        <w:spacing w:after="120"/>
      </w:pPr>
      <w:r>
        <w:rPr>
          <w:rFonts w:ascii="Arial" w:hAnsi="Arial" w:eastAsia="Microsoft YaHei"/>
        </w:rPr>
        <w:t>本体系用于广东省重要迁徙鸟类疫病监测预警和风险研判。修改后的指标体系不另行构建新的地点风险指数，而是在原有预警框架中强化鸟类数据、广东沿海湿地格局和监测站可获得资料的支撑作用。体系重点关注迁徙路线和越冬地分布、重点水鸟栖息地、主要水鸟类群和重点宿主、现有疫源疫病监测站布局、异常死亡记录和检测结果等信息。</w:t>
      </w:r>
    </w:p>
    <w:p>
      <w:pPr>
        <w:spacing w:after="120"/>
      </w:pPr>
      <w:r>
        <w:rPr>
          <w:rFonts w:ascii="Arial" w:hAnsi="Arial" w:eastAsia="Microsoft YaHei"/>
        </w:rPr>
        <w:t>综合广东省沿海水鸟分布特点、重要湿地格局、现有监测站布局及年度越冬水鸟同步监测结果，可先选取粤东海丰湿地、珠江口/大湾区深圳湾内伶仃福田湿地、粤西湛江雷州湾作为代表性重点区域。三个区域用于组织资料补充和指标评分，不表示其他区域不纳入常规监测。</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204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评估维度</w:t>
            </w:r>
          </w:p>
        </w:tc>
        <w:tc>
          <w:tcPr>
            <w:tcW w:type="dxa" w:w="260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260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主要数据基础</w:t>
            </w:r>
          </w:p>
        </w:tc>
        <w:tc>
          <w:tcPr>
            <w:tcW w:type="dxa" w:w="215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应用场景</w:t>
            </w:r>
          </w:p>
        </w:tc>
      </w:tr>
      <w:tr>
        <w:tc>
          <w:tcPr>
            <w:tcW w:type="dxa" w:w="2041"/>
            <w:tcMar>
              <w:top w:w="90" w:type="dxa"/>
              <w:start w:w="110" w:type="dxa"/>
              <w:bottom w:w="90" w:type="dxa"/>
              <w:end w:w="110" w:type="dxa"/>
            </w:tcMar>
            <w:vAlign w:val="center"/>
          </w:tcPr>
          <w:p>
            <w:pPr>
              <w:spacing w:after="0"/>
            </w:pPr>
            <w:r>
              <w:rPr>
                <w:rFonts w:ascii="Arial" w:hAnsi="Arial" w:eastAsia="Microsoft YaHei"/>
                <w:sz w:val="18"/>
              </w:rPr>
              <w:t>鸟类迁徙与区域重要性</w:t>
            </w:r>
          </w:p>
        </w:tc>
        <w:tc>
          <w:tcPr>
            <w:tcW w:type="dxa" w:w="2608"/>
            <w:tcMar>
              <w:top w:w="90" w:type="dxa"/>
              <w:start w:w="110" w:type="dxa"/>
              <w:bottom w:w="90" w:type="dxa"/>
              <w:end w:w="110" w:type="dxa"/>
            </w:tcMar>
            <w:vAlign w:val="center"/>
          </w:tcPr>
          <w:p>
            <w:pPr>
              <w:spacing w:after="0"/>
            </w:pPr>
            <w:r>
              <w:rPr>
                <w:rFonts w:ascii="Arial" w:hAnsi="Arial" w:eastAsia="Microsoft YaHei"/>
                <w:sz w:val="18"/>
              </w:rPr>
              <w:t>迁徙路线与区域重要性；水鸟聚集强度；重点宿主类群与物种组成</w:t>
            </w:r>
          </w:p>
        </w:tc>
        <w:tc>
          <w:tcPr>
            <w:tcW w:type="dxa" w:w="2608"/>
            <w:tcMar>
              <w:top w:w="90" w:type="dxa"/>
              <w:start w:w="110" w:type="dxa"/>
              <w:bottom w:w="90" w:type="dxa"/>
              <w:end w:w="110" w:type="dxa"/>
            </w:tcMar>
            <w:vAlign w:val="center"/>
          </w:tcPr>
          <w:p>
            <w:pPr>
              <w:spacing w:after="0"/>
            </w:pPr>
            <w:r>
              <w:rPr>
                <w:rFonts w:ascii="Arial" w:hAnsi="Arial" w:eastAsia="Microsoft YaHei"/>
                <w:sz w:val="18"/>
              </w:rPr>
              <w:t>迁徙通道资料、保护区鸟类调查、年度水鸟同步监测、固定样线或样点计数</w:t>
            </w:r>
          </w:p>
        </w:tc>
        <w:tc>
          <w:tcPr>
            <w:tcW w:type="dxa" w:w="2154"/>
            <w:tcMar>
              <w:top w:w="90" w:type="dxa"/>
              <w:start w:w="110" w:type="dxa"/>
              <w:bottom w:w="90" w:type="dxa"/>
              <w:end w:w="110" w:type="dxa"/>
            </w:tcMar>
            <w:vAlign w:val="center"/>
          </w:tcPr>
          <w:p>
            <w:pPr>
              <w:spacing w:after="0"/>
            </w:pPr>
            <w:r>
              <w:rPr>
                <w:rFonts w:ascii="Arial" w:hAnsi="Arial" w:eastAsia="Microsoft YaHei"/>
                <w:sz w:val="18"/>
              </w:rPr>
              <w:t>识别重点区域、安排巡查频次、确定年度补充名录</w:t>
            </w:r>
          </w:p>
        </w:tc>
      </w:tr>
      <w:tr>
        <w:tc>
          <w:tcPr>
            <w:tcW w:type="dxa" w:w="2041"/>
            <w:tcMar>
              <w:top w:w="90" w:type="dxa"/>
              <w:start w:w="110" w:type="dxa"/>
              <w:bottom w:w="90" w:type="dxa"/>
              <w:end w:w="110" w:type="dxa"/>
            </w:tcMar>
            <w:vAlign w:val="center"/>
          </w:tcPr>
          <w:p>
            <w:pPr>
              <w:spacing w:after="0"/>
              <w:jc w:val="center"/>
            </w:pPr>
            <w:r>
              <w:rPr>
                <w:rFonts w:ascii="Arial" w:hAnsi="Arial" w:eastAsia="Microsoft YaHei"/>
                <w:sz w:val="18"/>
              </w:rPr>
              <w:t>栖息地与接触场景</w:t>
            </w:r>
          </w:p>
        </w:tc>
        <w:tc>
          <w:tcPr>
            <w:tcW w:type="dxa" w:w="2608"/>
            <w:tcMar>
              <w:top w:w="90" w:type="dxa"/>
              <w:start w:w="110" w:type="dxa"/>
              <w:bottom w:w="90" w:type="dxa"/>
              <w:end w:w="110" w:type="dxa"/>
            </w:tcMar>
            <w:vAlign w:val="center"/>
          </w:tcPr>
          <w:p>
            <w:pPr>
              <w:spacing w:after="0"/>
            </w:pPr>
            <w:r>
              <w:rPr>
                <w:rFonts w:ascii="Arial" w:hAnsi="Arial" w:eastAsia="Microsoft YaHei"/>
                <w:sz w:val="18"/>
              </w:rPr>
              <w:t>栖息地类型与人鸟接触场景</w:t>
            </w:r>
          </w:p>
        </w:tc>
        <w:tc>
          <w:tcPr>
            <w:tcW w:type="dxa" w:w="2608"/>
            <w:tcMar>
              <w:top w:w="90" w:type="dxa"/>
              <w:start w:w="110" w:type="dxa"/>
              <w:bottom w:w="90" w:type="dxa"/>
              <w:end w:w="110" w:type="dxa"/>
            </w:tcMar>
            <w:vAlign w:val="center"/>
          </w:tcPr>
          <w:p>
            <w:pPr>
              <w:spacing w:after="0"/>
            </w:pPr>
            <w:r>
              <w:rPr>
                <w:rFonts w:ascii="Arial" w:hAnsi="Arial" w:eastAsia="Microsoft YaHei"/>
                <w:sz w:val="18"/>
              </w:rPr>
              <w:t>湿地类型、滩涂/鱼塘/水库分布、公众活动、养殖和市场周边情况</w:t>
            </w:r>
          </w:p>
        </w:tc>
        <w:tc>
          <w:tcPr>
            <w:tcW w:type="dxa" w:w="2154"/>
            <w:tcMar>
              <w:top w:w="90" w:type="dxa"/>
              <w:start w:w="110" w:type="dxa"/>
              <w:bottom w:w="90" w:type="dxa"/>
              <w:end w:w="110" w:type="dxa"/>
            </w:tcMar>
            <w:vAlign w:val="center"/>
          </w:tcPr>
          <w:p>
            <w:pPr>
              <w:spacing w:after="0"/>
            </w:pPr>
            <w:r>
              <w:rPr>
                <w:rFonts w:ascii="Arial" w:hAnsi="Arial" w:eastAsia="Microsoft YaHei"/>
                <w:sz w:val="18"/>
              </w:rPr>
              <w:t>识别需要提示、隔离、巡护或现场管理的接触界面</w:t>
            </w:r>
          </w:p>
        </w:tc>
      </w:tr>
      <w:tr>
        <w:tc>
          <w:tcPr>
            <w:tcW w:type="dxa" w:w="2041"/>
            <w:tcMar>
              <w:top w:w="90" w:type="dxa"/>
              <w:start w:w="110" w:type="dxa"/>
              <w:bottom w:w="90" w:type="dxa"/>
              <w:end w:w="110" w:type="dxa"/>
            </w:tcMar>
            <w:vAlign w:val="center"/>
          </w:tcPr>
          <w:p>
            <w:pPr>
              <w:spacing w:after="0"/>
            </w:pPr>
            <w:r>
              <w:rPr>
                <w:rFonts w:ascii="Arial" w:hAnsi="Arial" w:eastAsia="Microsoft YaHei"/>
                <w:sz w:val="18"/>
              </w:rPr>
              <w:t>监测基础与事件信号</w:t>
            </w:r>
          </w:p>
        </w:tc>
        <w:tc>
          <w:tcPr>
            <w:tcW w:type="dxa" w:w="2608"/>
            <w:tcMar>
              <w:top w:w="90" w:type="dxa"/>
              <w:start w:w="110" w:type="dxa"/>
              <w:bottom w:w="90" w:type="dxa"/>
              <w:end w:w="110" w:type="dxa"/>
            </w:tcMar>
            <w:vAlign w:val="center"/>
          </w:tcPr>
          <w:p>
            <w:pPr>
              <w:spacing w:after="0"/>
            </w:pPr>
            <w:r>
              <w:rPr>
                <w:rFonts w:ascii="Arial" w:hAnsi="Arial" w:eastAsia="Microsoft YaHei"/>
                <w:sz w:val="18"/>
              </w:rPr>
              <w:t>监测站覆盖与数据可获得性；异常死亡野鸟与检测结果</w:t>
            </w:r>
          </w:p>
        </w:tc>
        <w:tc>
          <w:tcPr>
            <w:tcW w:type="dxa" w:w="2608"/>
            <w:tcMar>
              <w:top w:w="90" w:type="dxa"/>
              <w:start w:w="110" w:type="dxa"/>
              <w:bottom w:w="90" w:type="dxa"/>
              <w:end w:w="110" w:type="dxa"/>
            </w:tcMar>
            <w:vAlign w:val="center"/>
          </w:tcPr>
          <w:p>
            <w:pPr>
              <w:spacing w:after="0"/>
            </w:pPr>
            <w:r>
              <w:rPr>
                <w:rFonts w:ascii="Arial" w:hAnsi="Arial" w:eastAsia="Microsoft YaHei"/>
                <w:sz w:val="18"/>
              </w:rPr>
              <w:t>疫源疫病监测站名录、巡护台账、异常死亡记录、检测结果反馈</w:t>
            </w:r>
          </w:p>
        </w:tc>
        <w:tc>
          <w:tcPr>
            <w:tcW w:type="dxa" w:w="2154"/>
            <w:tcMar>
              <w:top w:w="90" w:type="dxa"/>
              <w:start w:w="110" w:type="dxa"/>
              <w:bottom w:w="90" w:type="dxa"/>
              <w:end w:w="110" w:type="dxa"/>
            </w:tcMar>
            <w:vAlign w:val="center"/>
          </w:tcPr>
          <w:p>
            <w:pPr>
              <w:spacing w:after="0"/>
            </w:pPr>
            <w:r>
              <w:rPr>
                <w:rFonts w:ascii="Arial" w:hAnsi="Arial" w:eastAsia="Microsoft YaHei"/>
                <w:sz w:val="18"/>
              </w:rPr>
              <w:t>支撑评分更新、会商研判和专项应急响应评估</w:t>
            </w:r>
          </w:p>
        </w:tc>
      </w:tr>
    </w:tbl>
    <w:p>
      <w:pPr>
        <w:spacing w:after="80"/>
      </w:pPr>
    </w:p>
    <w:p>
      <w:pPr>
        <w:pStyle w:val="Heading1"/>
        <w:spacing w:before="200" w:after="100"/>
      </w:pPr>
      <w:r>
        <w:rPr>
          <w:rFonts w:ascii="Arial" w:hAnsi="Arial" w:eastAsia="Microsoft YaHei"/>
          <w:b/>
          <w:color w:val="111111"/>
        </w:rPr>
        <w:t>二、广东省代表性重点区域划定</w:t>
      </w:r>
    </w:p>
    <w:p>
      <w:pPr>
        <w:spacing w:after="120"/>
      </w:pPr>
      <w:r>
        <w:rPr>
          <w:rFonts w:ascii="Arial" w:hAnsi="Arial" w:eastAsia="Microsoft YaHei"/>
        </w:rPr>
        <w:t>代表区域按“区域覆盖、鸟类数量、湿地代表性、监测基础和后续资料可补充性”综合选取。后续工作应围绕每个区域补充鸟类名录、优势物种、候鸟数量、季节变化和异常记录，使指标评分有据可查。</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1882"/>
        <w:gridCol w:w="1882"/>
        <w:gridCol w:w="1882"/>
        <w:gridCol w:w="1882"/>
        <w:gridCol w:w="1882"/>
      </w:tblGrid>
      <w:tr>
        <w:trPr>
          <w:tblHeader w:val="true"/>
        </w:trPr>
        <w:tc>
          <w:tcPr>
            <w:tcW w:type="dxa" w:w="119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区域</w:t>
            </w:r>
          </w:p>
        </w:tc>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代表性重点区域</w:t>
            </w:r>
          </w:p>
        </w:tc>
        <w:tc>
          <w:tcPr>
            <w:tcW w:type="dxa" w:w="226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对应监测基础</w:t>
            </w:r>
          </w:p>
        </w:tc>
        <w:tc>
          <w:tcPr>
            <w:tcW w:type="dxa" w:w="221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后续需补充资料</w:t>
            </w:r>
          </w:p>
        </w:tc>
        <w:tc>
          <w:tcPr>
            <w:tcW w:type="dxa" w:w="192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风险关注点</w:t>
            </w:r>
          </w:p>
        </w:tc>
      </w:tr>
      <w:tr>
        <w:tc>
          <w:tcPr>
            <w:tcW w:type="dxa" w:w="1190"/>
            <w:tcMar>
              <w:top w:w="90" w:type="dxa"/>
              <w:start w:w="110" w:type="dxa"/>
              <w:bottom w:w="90" w:type="dxa"/>
              <w:end w:w="110" w:type="dxa"/>
            </w:tcMar>
            <w:vAlign w:val="center"/>
          </w:tcPr>
          <w:p>
            <w:pPr>
              <w:spacing w:after="0"/>
              <w:jc w:val="center"/>
            </w:pPr>
            <w:r>
              <w:rPr>
                <w:rFonts w:ascii="Arial" w:hAnsi="Arial" w:eastAsia="Microsoft YaHei"/>
                <w:sz w:val="18"/>
              </w:rPr>
              <w:t>粤东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广东海丰湿地</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广东海丰保护区国家级陆生野生动物疫源疫病监测站；海丰鸟类省级自然保护区长期巡护基础</w:t>
            </w:r>
          </w:p>
        </w:tc>
        <w:tc>
          <w:tcPr>
            <w:tcW w:type="dxa" w:w="2211"/>
            <w:tcMar>
              <w:top w:w="90" w:type="dxa"/>
              <w:start w:w="110" w:type="dxa"/>
              <w:bottom w:w="90" w:type="dxa"/>
              <w:end w:w="110" w:type="dxa"/>
            </w:tcMar>
            <w:vAlign w:val="center"/>
          </w:tcPr>
          <w:p>
            <w:pPr>
              <w:spacing w:after="0"/>
            </w:pPr>
            <w:r>
              <w:rPr>
                <w:rFonts w:ascii="Arial" w:hAnsi="Arial" w:eastAsia="Microsoft YaHei"/>
                <w:sz w:val="18"/>
              </w:rPr>
              <w:t>物种名录、优势水鸟、迁徙和越冬数量、季节变化、历史异常记录</w:t>
            </w:r>
          </w:p>
        </w:tc>
        <w:tc>
          <w:tcPr>
            <w:tcW w:type="dxa" w:w="1927"/>
            <w:tcMar>
              <w:top w:w="90" w:type="dxa"/>
              <w:start w:w="110" w:type="dxa"/>
              <w:bottom w:w="90" w:type="dxa"/>
              <w:end w:w="110" w:type="dxa"/>
            </w:tcMar>
            <w:vAlign w:val="center"/>
          </w:tcPr>
          <w:p>
            <w:pPr>
              <w:spacing w:after="0"/>
            </w:pPr>
            <w:r>
              <w:rPr>
                <w:rFonts w:ascii="Arial" w:hAnsi="Arial" w:eastAsia="Microsoft YaHei"/>
                <w:sz w:val="18"/>
              </w:rPr>
              <w:t>滨海湿地和鱼塘复合生境，多类群水鸟聚集</w:t>
            </w:r>
          </w:p>
        </w:tc>
      </w:tr>
      <w:tr>
        <w:tc>
          <w:tcPr>
            <w:tcW w:type="dxa" w:w="1190"/>
            <w:tcMar>
              <w:top w:w="90" w:type="dxa"/>
              <w:start w:w="110" w:type="dxa"/>
              <w:bottom w:w="90" w:type="dxa"/>
              <w:end w:w="110" w:type="dxa"/>
            </w:tcMar>
            <w:vAlign w:val="center"/>
          </w:tcPr>
          <w:p>
            <w:pPr>
              <w:spacing w:after="0"/>
            </w:pPr>
            <w:r>
              <w:rPr>
                <w:rFonts w:ascii="Arial" w:hAnsi="Arial" w:eastAsia="Microsoft YaHei"/>
                <w:sz w:val="18"/>
              </w:rPr>
              <w:t>珠江口 / 大湾区</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广东内伶仃岛福田保护区国家级陆生野生动物疫源疫病监测站；深圳湾长期鸟类监测基础</w:t>
            </w:r>
          </w:p>
        </w:tc>
        <w:tc>
          <w:tcPr>
            <w:tcW w:type="dxa" w:w="2211"/>
            <w:tcMar>
              <w:top w:w="90" w:type="dxa"/>
              <w:start w:w="110" w:type="dxa"/>
              <w:bottom w:w="90" w:type="dxa"/>
              <w:end w:w="110" w:type="dxa"/>
            </w:tcMar>
            <w:vAlign w:val="center"/>
          </w:tcPr>
          <w:p>
            <w:pPr>
              <w:spacing w:after="0"/>
            </w:pPr>
            <w:r>
              <w:rPr>
                <w:rFonts w:ascii="Arial" w:hAnsi="Arial" w:eastAsia="Microsoft YaHei"/>
                <w:sz w:val="18"/>
              </w:rPr>
              <w:t>物种名录、重点宿主类群、人鸟接触场景、公众活动强度、救护记录</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城市湿地、人鸟接触明显，公众活动和管理界面复杂</w:t>
            </w:r>
          </w:p>
        </w:tc>
      </w:tr>
      <w:tr>
        <w:tc>
          <w:tcPr>
            <w:tcW w:type="dxa" w:w="1190"/>
            <w:tcMar>
              <w:top w:w="90" w:type="dxa"/>
              <w:start w:w="110" w:type="dxa"/>
              <w:bottom w:w="90" w:type="dxa"/>
              <w:end w:w="110" w:type="dxa"/>
            </w:tcMar>
            <w:vAlign w:val="center"/>
          </w:tcPr>
          <w:p>
            <w:pPr>
              <w:spacing w:after="0"/>
              <w:jc w:val="center"/>
            </w:pPr>
            <w:r>
              <w:rPr>
                <w:rFonts w:ascii="Arial" w:hAnsi="Arial" w:eastAsia="Microsoft YaHei"/>
                <w:sz w:val="18"/>
              </w:rPr>
              <w:t>粤西</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湛江雷州湾</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广东湛江保护区国家级陆生野生动物疫源疫病监测站；湛江红树林保护区及沿海滩涂监测基础</w:t>
            </w:r>
          </w:p>
        </w:tc>
        <w:tc>
          <w:tcPr>
            <w:tcW w:type="dxa" w:w="2211"/>
            <w:tcMar>
              <w:top w:w="90" w:type="dxa"/>
              <w:start w:w="110" w:type="dxa"/>
              <w:bottom w:w="90" w:type="dxa"/>
              <w:end w:w="110" w:type="dxa"/>
            </w:tcMar>
            <w:vAlign w:val="center"/>
          </w:tcPr>
          <w:p>
            <w:pPr>
              <w:spacing w:after="0"/>
            </w:pPr>
            <w:r>
              <w:rPr>
                <w:rFonts w:ascii="Arial" w:hAnsi="Arial" w:eastAsia="Microsoft YaHei"/>
                <w:sz w:val="18"/>
              </w:rPr>
              <w:t>物种名录、优势物种、迁徙停歇情况、年度数量变化、异常死亡记录</w:t>
            </w:r>
          </w:p>
        </w:tc>
        <w:tc>
          <w:tcPr>
            <w:tcW w:type="dxa" w:w="1927"/>
            <w:tcMar>
              <w:top w:w="90" w:type="dxa"/>
              <w:start w:w="110" w:type="dxa"/>
              <w:bottom w:w="90" w:type="dxa"/>
              <w:end w:w="110" w:type="dxa"/>
            </w:tcMar>
            <w:vAlign w:val="center"/>
          </w:tcPr>
          <w:p>
            <w:pPr>
              <w:spacing w:after="0"/>
            </w:pPr>
            <w:r>
              <w:rPr>
                <w:rFonts w:ascii="Arial" w:hAnsi="Arial" w:eastAsia="Microsoft YaHei"/>
                <w:sz w:val="18"/>
              </w:rPr>
              <w:t>高数量水鸟聚集，沿海滩涂和红树林湿地连续分布</w:t>
            </w:r>
          </w:p>
        </w:tc>
      </w:tr>
    </w:tbl>
    <w:p>
      <w:pPr>
        <w:spacing w:after="80"/>
      </w:pPr>
    </w:p>
    <w:p>
      <w:pPr>
        <w:pStyle w:val="Heading1"/>
        <w:spacing w:before="200" w:after="100"/>
      </w:pPr>
      <w:r>
        <w:rPr>
          <w:rFonts w:ascii="Arial" w:hAnsi="Arial" w:eastAsia="Microsoft YaHei"/>
          <w:b/>
          <w:color w:val="111111"/>
        </w:rPr>
        <w:t>三、指标体系详细内容</w:t>
      </w:r>
    </w:p>
    <w:p>
      <w:pPr>
        <w:spacing w:after="120"/>
      </w:pPr>
      <w:r>
        <w:rPr>
          <w:rFonts w:ascii="Arial" w:hAnsi="Arial" w:eastAsia="Microsoft YaHei"/>
        </w:rPr>
        <w:t>修改后建议保留六个一级指标。每个二级指标采用1—5分描述风险或关注程度，评分依据应尽量来自保护区巡护、监测站月报、年度水鸟调查、鸟类名录、异常死亡记录和检测结果等可获得资料。部门协同、培训和宣传不再作为一级指标，转入预警响应和运行保障部分。</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1882"/>
        <w:gridCol w:w="1882"/>
        <w:gridCol w:w="1882"/>
        <w:gridCol w:w="1882"/>
        <w:gridCol w:w="1882"/>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二级指标</w:t>
            </w:r>
          </w:p>
        </w:tc>
        <w:tc>
          <w:tcPr>
            <w:tcW w:type="dxa" w:w="226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观测或判定要点</w:t>
            </w:r>
          </w:p>
        </w:tc>
        <w:tc>
          <w:tcPr>
            <w:tcW w:type="dxa" w:w="192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主要数据来源</w:t>
            </w:r>
          </w:p>
        </w:tc>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评分关注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1. 迁徙路线与区域重要性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1.1 迁徙通道位置</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是否位于东亚—澳大利西亚迁飞通道及广东沿海重要停歇、越冬或补给区域</w:t>
            </w:r>
          </w:p>
        </w:tc>
        <w:tc>
          <w:tcPr>
            <w:tcW w:type="dxa" w:w="1927"/>
            <w:tcMar>
              <w:top w:w="90" w:type="dxa"/>
              <w:start w:w="110" w:type="dxa"/>
              <w:bottom w:w="90" w:type="dxa"/>
              <w:end w:w="110" w:type="dxa"/>
            </w:tcMar>
            <w:vAlign w:val="center"/>
          </w:tcPr>
          <w:p>
            <w:pPr>
              <w:spacing w:after="0"/>
            </w:pPr>
            <w:r>
              <w:rPr>
                <w:rFonts w:ascii="Arial" w:hAnsi="Arial" w:eastAsia="Microsoft YaHei"/>
                <w:sz w:val="18"/>
              </w:rPr>
              <w:t>迁徙通道资料、环志和卫星追踪资料、保护区记录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通道位置越关键，关注分值越高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1. 迁徙路线与区域重要性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1.2 区域代表性</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是否能代表粤东、珠江口/大湾区或粤西等广东重点水鸟分布单元</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省内湿地格局、监测站名录、历史鸟类调查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代表性越强，越适合作为重点样区</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1. 迁徙路线与区域重要性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1.3 与周边区域连通性</w:t>
            </w:r>
          </w:p>
        </w:tc>
        <w:tc>
          <w:tcPr>
            <w:tcW w:type="dxa" w:w="2268"/>
            <w:tcMar>
              <w:top w:w="90" w:type="dxa"/>
              <w:start w:w="110" w:type="dxa"/>
              <w:bottom w:w="90" w:type="dxa"/>
              <w:end w:w="110" w:type="dxa"/>
            </w:tcMar>
            <w:vAlign w:val="center"/>
          </w:tcPr>
          <w:p>
            <w:pPr>
              <w:spacing w:after="0"/>
            </w:pPr>
            <w:r>
              <w:rPr>
                <w:rFonts w:ascii="Arial" w:hAnsi="Arial" w:eastAsia="Microsoft YaHei"/>
                <w:sz w:val="18"/>
              </w:rPr>
              <w:t>与河口、滩涂、鱼塘、水库、红树林等相邻生境是否形成连续活动空间</w:t>
            </w:r>
          </w:p>
        </w:tc>
        <w:tc>
          <w:tcPr>
            <w:tcW w:type="dxa" w:w="1927"/>
            <w:tcMar>
              <w:top w:w="90" w:type="dxa"/>
              <w:start w:w="110" w:type="dxa"/>
              <w:bottom w:w="90" w:type="dxa"/>
              <w:end w:w="110" w:type="dxa"/>
            </w:tcMar>
            <w:vAlign w:val="center"/>
          </w:tcPr>
          <w:p>
            <w:pPr>
              <w:spacing w:after="0"/>
            </w:pPr>
            <w:r>
              <w:rPr>
                <w:rFonts w:ascii="Arial" w:hAnsi="Arial" w:eastAsia="Microsoft YaHei"/>
                <w:sz w:val="18"/>
              </w:rPr>
              <w:t>遥感底图、保护区边界、巡护记录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连通性强时应关注跨点位移动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2. 水鸟聚集强度</w:t>
            </w:r>
          </w:p>
        </w:tc>
        <w:tc>
          <w:tcPr>
            <w:tcW w:type="dxa" w:w="1814"/>
            <w:tcMar>
              <w:top w:w="90" w:type="dxa"/>
              <w:start w:w="110" w:type="dxa"/>
              <w:bottom w:w="90" w:type="dxa"/>
              <w:end w:w="110" w:type="dxa"/>
            </w:tcMar>
            <w:vAlign w:val="center"/>
          </w:tcPr>
          <w:p>
            <w:pPr>
              <w:spacing w:after="0"/>
            </w:pPr>
            <w:r>
              <w:rPr>
                <w:rFonts w:ascii="Arial" w:hAnsi="Arial" w:eastAsia="Microsoft YaHei"/>
                <w:sz w:val="18"/>
              </w:rPr>
              <w:t>2.1 年度数量规模</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年度监测中水鸟总量及重点类群数量水平</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年度水鸟同步监测、固定样线/样点计数</w:t>
            </w:r>
          </w:p>
        </w:tc>
        <w:tc>
          <w:tcPr>
            <w:tcW w:type="dxa" w:w="1701"/>
            <w:tcMar>
              <w:top w:w="90" w:type="dxa"/>
              <w:start w:w="110" w:type="dxa"/>
              <w:bottom w:w="90" w:type="dxa"/>
              <w:end w:w="110" w:type="dxa"/>
            </w:tcMar>
            <w:vAlign w:val="center"/>
          </w:tcPr>
          <w:p>
            <w:pPr>
              <w:spacing w:after="0"/>
            </w:pPr>
            <w:r>
              <w:rPr>
                <w:rFonts w:ascii="Arial" w:hAnsi="Arial" w:eastAsia="Microsoft YaHei"/>
                <w:sz w:val="18"/>
              </w:rPr>
              <w:t>数量越高，现场巡查优先级越高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2. 水鸟聚集强度</w:t>
            </w:r>
          </w:p>
        </w:tc>
        <w:tc>
          <w:tcPr>
            <w:tcW w:type="dxa" w:w="1814"/>
            <w:tcMar>
              <w:top w:w="90" w:type="dxa"/>
              <w:start w:w="110" w:type="dxa"/>
              <w:bottom w:w="90" w:type="dxa"/>
              <w:end w:w="110" w:type="dxa"/>
            </w:tcMar>
            <w:vAlign w:val="center"/>
          </w:tcPr>
          <w:p>
            <w:pPr>
              <w:spacing w:after="0"/>
            </w:pPr>
            <w:r>
              <w:rPr>
                <w:rFonts w:ascii="Arial" w:hAnsi="Arial" w:eastAsia="Microsoft YaHei"/>
                <w:sz w:val="18"/>
              </w:rPr>
              <w:t>2.2 季节变化</w:t>
            </w:r>
          </w:p>
        </w:tc>
        <w:tc>
          <w:tcPr>
            <w:tcW w:type="dxa" w:w="2268"/>
            <w:tcMar>
              <w:top w:w="90" w:type="dxa"/>
              <w:start w:w="110" w:type="dxa"/>
              <w:bottom w:w="90" w:type="dxa"/>
              <w:end w:w="110" w:type="dxa"/>
            </w:tcMar>
            <w:vAlign w:val="center"/>
          </w:tcPr>
          <w:p>
            <w:pPr>
              <w:spacing w:after="0"/>
            </w:pPr>
            <w:r>
              <w:rPr>
                <w:rFonts w:ascii="Arial" w:hAnsi="Arial" w:eastAsia="Microsoft YaHei"/>
                <w:sz w:val="18"/>
              </w:rPr>
              <w:t>秋冬越冬期、春季北迁期及异常天气后的数量变化</w:t>
            </w:r>
          </w:p>
        </w:tc>
        <w:tc>
          <w:tcPr>
            <w:tcW w:type="dxa" w:w="1927"/>
            <w:tcMar>
              <w:top w:w="90" w:type="dxa"/>
              <w:start w:w="110" w:type="dxa"/>
              <w:bottom w:w="90" w:type="dxa"/>
              <w:end w:w="110" w:type="dxa"/>
            </w:tcMar>
            <w:vAlign w:val="center"/>
          </w:tcPr>
          <w:p>
            <w:pPr>
              <w:spacing w:after="0"/>
            </w:pPr>
            <w:r>
              <w:rPr>
                <w:rFonts w:ascii="Arial" w:hAnsi="Arial" w:eastAsia="Microsoft YaHei"/>
                <w:sz w:val="18"/>
              </w:rPr>
              <w:t>月度巡护、保护区记录、气象资料</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短期快速增加时提高关注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2. 水鸟聚集强度</w:t>
            </w:r>
          </w:p>
        </w:tc>
        <w:tc>
          <w:tcPr>
            <w:tcW w:type="dxa" w:w="1814"/>
            <w:tcMar>
              <w:top w:w="90" w:type="dxa"/>
              <w:start w:w="110" w:type="dxa"/>
              <w:bottom w:w="90" w:type="dxa"/>
              <w:end w:w="110" w:type="dxa"/>
            </w:tcMar>
            <w:vAlign w:val="center"/>
          </w:tcPr>
          <w:p>
            <w:pPr>
              <w:spacing w:after="0"/>
            </w:pPr>
            <w:r>
              <w:rPr>
                <w:rFonts w:ascii="Arial" w:hAnsi="Arial" w:eastAsia="Microsoft YaHei"/>
                <w:sz w:val="18"/>
              </w:rPr>
              <w:t>2.3 高密度聚集点</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是否形成稳定聚集的滩涂、鱼塘、河口、水库或湿地公园点位</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巡护台账、点位照片、无人机或望远镜观察记录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聚集点稳定且密度高时提高分值</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3. 重点宿主类群与物种组成</w:t>
            </w:r>
          </w:p>
        </w:tc>
        <w:tc>
          <w:tcPr>
            <w:tcW w:type="dxa" w:w="1814"/>
            <w:tcMar>
              <w:top w:w="90" w:type="dxa"/>
              <w:start w:w="110" w:type="dxa"/>
              <w:bottom w:w="90" w:type="dxa"/>
              <w:end w:w="110" w:type="dxa"/>
            </w:tcMar>
            <w:vAlign w:val="center"/>
          </w:tcPr>
          <w:p>
            <w:pPr>
              <w:spacing w:after="0"/>
            </w:pPr>
            <w:r>
              <w:rPr>
                <w:rFonts w:ascii="Arial" w:hAnsi="Arial" w:eastAsia="Microsoft YaHei"/>
                <w:sz w:val="18"/>
              </w:rPr>
              <w:t>3.1 重点水鸟类群</w:t>
            </w:r>
          </w:p>
        </w:tc>
        <w:tc>
          <w:tcPr>
            <w:tcW w:type="dxa" w:w="2268"/>
            <w:tcMar>
              <w:top w:w="90" w:type="dxa"/>
              <w:start w:w="110" w:type="dxa"/>
              <w:bottom w:w="90" w:type="dxa"/>
              <w:end w:w="110" w:type="dxa"/>
            </w:tcMar>
            <w:vAlign w:val="center"/>
          </w:tcPr>
          <w:p>
            <w:pPr>
              <w:spacing w:after="0"/>
            </w:pPr>
            <w:r>
              <w:rPr>
                <w:rFonts w:ascii="Arial" w:hAnsi="Arial" w:eastAsia="Microsoft YaHei"/>
                <w:sz w:val="18"/>
              </w:rPr>
              <w:t>雁鸭类、鸻鹬类、鸥类、鹭类等水鸟类群的出现和占比</w:t>
            </w:r>
          </w:p>
        </w:tc>
        <w:tc>
          <w:tcPr>
            <w:tcW w:type="dxa" w:w="1927"/>
            <w:tcMar>
              <w:top w:w="90" w:type="dxa"/>
              <w:start w:w="110" w:type="dxa"/>
              <w:bottom w:w="90" w:type="dxa"/>
              <w:end w:w="110" w:type="dxa"/>
            </w:tcMar>
            <w:vAlign w:val="center"/>
          </w:tcPr>
          <w:p>
            <w:pPr>
              <w:spacing w:after="0"/>
            </w:pPr>
            <w:r>
              <w:rPr>
                <w:rFonts w:ascii="Arial" w:hAnsi="Arial" w:eastAsia="Microsoft YaHei"/>
                <w:sz w:val="18"/>
              </w:rPr>
              <w:t>鸟类名录、样线调查、保护区年度报告</w:t>
            </w:r>
          </w:p>
        </w:tc>
        <w:tc>
          <w:tcPr>
            <w:tcW w:type="dxa" w:w="1701"/>
            <w:tcMar>
              <w:top w:w="90" w:type="dxa"/>
              <w:start w:w="110" w:type="dxa"/>
              <w:bottom w:w="90" w:type="dxa"/>
              <w:end w:w="110" w:type="dxa"/>
            </w:tcMar>
            <w:vAlign w:val="center"/>
          </w:tcPr>
          <w:p>
            <w:pPr>
              <w:spacing w:after="0"/>
            </w:pPr>
            <w:r>
              <w:rPr>
                <w:rFonts w:ascii="Arial" w:hAnsi="Arial" w:eastAsia="Microsoft YaHei"/>
                <w:sz w:val="18"/>
              </w:rPr>
              <w:t>重点类群丰富或占比高时提高关注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3. 重点宿主类群与物种组成</w:t>
            </w:r>
          </w:p>
        </w:tc>
        <w:tc>
          <w:tcPr>
            <w:tcW w:type="dxa" w:w="1814"/>
            <w:tcMar>
              <w:top w:w="90" w:type="dxa"/>
              <w:start w:w="110" w:type="dxa"/>
              <w:bottom w:w="90" w:type="dxa"/>
              <w:end w:w="110" w:type="dxa"/>
            </w:tcMar>
            <w:vAlign w:val="center"/>
          </w:tcPr>
          <w:p>
            <w:pPr>
              <w:spacing w:after="0"/>
            </w:pPr>
            <w:r>
              <w:rPr>
                <w:rFonts w:ascii="Arial" w:hAnsi="Arial" w:eastAsia="Microsoft YaHei"/>
                <w:sz w:val="18"/>
              </w:rPr>
              <w:t>3.2 优势物种</w:t>
            </w:r>
          </w:p>
        </w:tc>
        <w:tc>
          <w:tcPr>
            <w:tcW w:type="dxa" w:w="2268"/>
            <w:tcMar>
              <w:top w:w="90" w:type="dxa"/>
              <w:start w:w="110" w:type="dxa"/>
              <w:bottom w:w="90" w:type="dxa"/>
              <w:end w:w="110" w:type="dxa"/>
            </w:tcMar>
            <w:vAlign w:val="center"/>
          </w:tcPr>
          <w:p>
            <w:pPr>
              <w:spacing w:after="0"/>
            </w:pPr>
            <w:r>
              <w:rPr>
                <w:rFonts w:ascii="Arial" w:hAnsi="Arial" w:eastAsia="Microsoft YaHei"/>
                <w:sz w:val="18"/>
              </w:rPr>
              <w:t>代表区域内优势物种及其季节变化是否清楚</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后续补充物种名录、历史调查、观鸟记录辅助核对</w:t>
            </w:r>
          </w:p>
        </w:tc>
        <w:tc>
          <w:tcPr>
            <w:tcW w:type="dxa" w:w="1701"/>
            <w:tcMar>
              <w:top w:w="90" w:type="dxa"/>
              <w:start w:w="110" w:type="dxa"/>
              <w:bottom w:w="90" w:type="dxa"/>
              <w:end w:w="110" w:type="dxa"/>
            </w:tcMar>
            <w:vAlign w:val="center"/>
          </w:tcPr>
          <w:p>
            <w:pPr>
              <w:spacing w:after="0"/>
            </w:pPr>
            <w:r>
              <w:rPr>
                <w:rFonts w:ascii="Arial" w:hAnsi="Arial" w:eastAsia="Microsoft YaHei"/>
                <w:sz w:val="18"/>
              </w:rPr>
              <w:t>优势物种明确后可作为年度跟踪对象</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3. 重点宿主类群与物种组成</w:t>
            </w:r>
          </w:p>
        </w:tc>
        <w:tc>
          <w:tcPr>
            <w:tcW w:type="dxa" w:w="1814"/>
            <w:tcMar>
              <w:top w:w="90" w:type="dxa"/>
              <w:start w:w="110" w:type="dxa"/>
              <w:bottom w:w="90" w:type="dxa"/>
              <w:end w:w="110" w:type="dxa"/>
            </w:tcMar>
            <w:vAlign w:val="center"/>
          </w:tcPr>
          <w:p>
            <w:pPr>
              <w:spacing w:after="0"/>
            </w:pPr>
            <w:r>
              <w:rPr>
                <w:rFonts w:ascii="Arial" w:hAnsi="Arial" w:eastAsia="Microsoft YaHei"/>
                <w:sz w:val="18"/>
              </w:rPr>
              <w:t>3.3 异常个体记录</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是否记录病弱、行动异常、死亡或聚集异常的野鸟</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巡护员、公众报告、救护机构、监测站日报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异常个体出现时触发核查</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4. 栖息地类型与人鸟接触场景</w:t>
            </w:r>
          </w:p>
        </w:tc>
        <w:tc>
          <w:tcPr>
            <w:tcW w:type="dxa" w:w="1814"/>
            <w:tcMar>
              <w:top w:w="90" w:type="dxa"/>
              <w:start w:w="110" w:type="dxa"/>
              <w:bottom w:w="90" w:type="dxa"/>
              <w:end w:w="110" w:type="dxa"/>
            </w:tcMar>
            <w:vAlign w:val="center"/>
          </w:tcPr>
          <w:p>
            <w:pPr>
              <w:spacing w:after="0"/>
            </w:pPr>
            <w:r>
              <w:rPr>
                <w:rFonts w:ascii="Arial" w:hAnsi="Arial" w:eastAsia="Microsoft YaHei"/>
                <w:sz w:val="18"/>
              </w:rPr>
              <w:t>4.1 栖息地类型</w:t>
            </w:r>
          </w:p>
        </w:tc>
        <w:tc>
          <w:tcPr>
            <w:tcW w:type="dxa" w:w="2268"/>
            <w:tcMar>
              <w:top w:w="90" w:type="dxa"/>
              <w:start w:w="110" w:type="dxa"/>
              <w:bottom w:w="90" w:type="dxa"/>
              <w:end w:w="110" w:type="dxa"/>
            </w:tcMar>
            <w:vAlign w:val="center"/>
          </w:tcPr>
          <w:p>
            <w:pPr>
              <w:spacing w:after="0"/>
            </w:pPr>
            <w:r>
              <w:rPr>
                <w:rFonts w:ascii="Arial" w:hAnsi="Arial" w:eastAsia="Microsoft YaHei"/>
                <w:sz w:val="18"/>
              </w:rPr>
              <w:t>红树林、河口滩涂、鱼塘、水库、湿地公园等生境类型及其组合</w:t>
            </w:r>
          </w:p>
        </w:tc>
        <w:tc>
          <w:tcPr>
            <w:tcW w:type="dxa" w:w="1927"/>
            <w:tcMar>
              <w:top w:w="90" w:type="dxa"/>
              <w:start w:w="110" w:type="dxa"/>
              <w:bottom w:w="90" w:type="dxa"/>
              <w:end w:w="110" w:type="dxa"/>
            </w:tcMar>
            <w:vAlign w:val="center"/>
          </w:tcPr>
          <w:p>
            <w:pPr>
              <w:spacing w:after="0"/>
            </w:pPr>
            <w:r>
              <w:rPr>
                <w:rFonts w:ascii="Arial" w:hAnsi="Arial" w:eastAsia="Microsoft YaHei"/>
                <w:sz w:val="18"/>
              </w:rPr>
              <w:t>保护区资料、湿地资源调查、现场踏查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复合生境和高频利用生境需重点记录</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4. 栖息地类型与人鸟接触场景</w:t>
            </w:r>
          </w:p>
        </w:tc>
        <w:tc>
          <w:tcPr>
            <w:tcW w:type="dxa" w:w="1814"/>
            <w:tcMar>
              <w:top w:w="90" w:type="dxa"/>
              <w:start w:w="110" w:type="dxa"/>
              <w:bottom w:w="90" w:type="dxa"/>
              <w:end w:w="110" w:type="dxa"/>
            </w:tcMar>
            <w:vAlign w:val="center"/>
          </w:tcPr>
          <w:p>
            <w:pPr>
              <w:spacing w:after="0"/>
            </w:pPr>
            <w:r>
              <w:rPr>
                <w:rFonts w:ascii="Arial" w:hAnsi="Arial" w:eastAsia="Microsoft YaHei"/>
                <w:sz w:val="18"/>
              </w:rPr>
              <w:t>4.2 人鸟接触场景</w:t>
            </w:r>
          </w:p>
        </w:tc>
        <w:tc>
          <w:tcPr>
            <w:tcW w:type="dxa" w:w="2268"/>
            <w:tcMar>
              <w:top w:w="90" w:type="dxa"/>
              <w:start w:w="110" w:type="dxa"/>
              <w:bottom w:w="90" w:type="dxa"/>
              <w:end w:w="110" w:type="dxa"/>
            </w:tcMar>
            <w:vAlign w:val="center"/>
          </w:tcPr>
          <w:p>
            <w:pPr>
              <w:spacing w:after="0"/>
            </w:pPr>
            <w:r>
              <w:rPr>
                <w:rFonts w:ascii="Arial" w:hAnsi="Arial" w:eastAsia="Microsoft YaHei"/>
                <w:sz w:val="18"/>
              </w:rPr>
              <w:t>观鸟、游憩、投喂、捕鱼、养殖、市场周边等接触或扰动场景</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现场巡护、属地管理记录、公众活动信息</w:t>
            </w:r>
          </w:p>
        </w:tc>
        <w:tc>
          <w:tcPr>
            <w:tcW w:type="dxa" w:w="1701"/>
            <w:tcMar>
              <w:top w:w="90" w:type="dxa"/>
              <w:start w:w="110" w:type="dxa"/>
              <w:bottom w:w="90" w:type="dxa"/>
              <w:end w:w="110" w:type="dxa"/>
            </w:tcMar>
            <w:vAlign w:val="center"/>
          </w:tcPr>
          <w:p>
            <w:pPr>
              <w:spacing w:after="0"/>
            </w:pPr>
            <w:r>
              <w:rPr>
                <w:rFonts w:ascii="Arial" w:hAnsi="Arial" w:eastAsia="Microsoft YaHei"/>
                <w:sz w:val="18"/>
              </w:rPr>
              <w:t>接触越频繁，提示和管理需求越高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4. 栖息地类型与人鸟接触场景</w:t>
            </w:r>
          </w:p>
        </w:tc>
        <w:tc>
          <w:tcPr>
            <w:tcW w:type="dxa" w:w="1814"/>
            <w:tcMar>
              <w:top w:w="90" w:type="dxa"/>
              <w:start w:w="110" w:type="dxa"/>
              <w:bottom w:w="90" w:type="dxa"/>
              <w:end w:w="110" w:type="dxa"/>
            </w:tcMar>
            <w:vAlign w:val="center"/>
          </w:tcPr>
          <w:p>
            <w:pPr>
              <w:spacing w:after="0"/>
            </w:pPr>
            <w:r>
              <w:rPr>
                <w:rFonts w:ascii="Arial" w:hAnsi="Arial" w:eastAsia="Microsoft YaHei"/>
                <w:sz w:val="18"/>
              </w:rPr>
              <w:t>4.3 周边养殖和共用水体</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水鸟活动区域与水禽养殖、鱼塘、沟渠或生活水体是否相邻</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农业农村部门台账、现场核查、水系图</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相邻或共用水体时提高关注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5. 监测站覆盖与数据可获得性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5.1 监测站覆盖</w:t>
            </w:r>
          </w:p>
        </w:tc>
        <w:tc>
          <w:tcPr>
            <w:tcW w:type="dxa" w:w="2268"/>
            <w:tcMar>
              <w:top w:w="90" w:type="dxa"/>
              <w:start w:w="110" w:type="dxa"/>
              <w:bottom w:w="90" w:type="dxa"/>
              <w:end w:w="110" w:type="dxa"/>
            </w:tcMar>
            <w:vAlign w:val="center"/>
          </w:tcPr>
          <w:p>
            <w:pPr>
              <w:spacing w:after="0"/>
            </w:pPr>
            <w:r>
              <w:rPr>
                <w:rFonts w:ascii="Arial" w:hAnsi="Arial" w:eastAsia="Microsoft YaHei"/>
                <w:sz w:val="18"/>
              </w:rPr>
              <w:t>代表区域及周边是否有国家级或省级陆生野生动物疫源疫病监测站支撑</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监测站名录、保护区管理机构资料</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覆盖清楚、责任主体明确时便于年度更新</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5. 监测站覆盖与数据可获得性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5.2 数据连续性</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是否具备月度巡护、年度水鸟调查、异常事件记录等连续资料</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监测站月报、保护区台账、年度报告</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连续性越好，评分可信度越高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5. 监测站覆盖与数据可获得性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5.3 数据补充缺口</w:t>
            </w:r>
          </w:p>
        </w:tc>
        <w:tc>
          <w:tcPr>
            <w:tcW w:type="dxa" w:w="2268"/>
            <w:tcMar>
              <w:top w:w="90" w:type="dxa"/>
              <w:start w:w="110" w:type="dxa"/>
              <w:bottom w:w="90" w:type="dxa"/>
              <w:end w:w="110" w:type="dxa"/>
            </w:tcMar>
            <w:vAlign w:val="center"/>
          </w:tcPr>
          <w:p>
            <w:pPr>
              <w:spacing w:after="0"/>
            </w:pPr>
            <w:r>
              <w:rPr>
                <w:rFonts w:ascii="Arial" w:hAnsi="Arial" w:eastAsia="Microsoft YaHei"/>
                <w:sz w:val="18"/>
              </w:rPr>
              <w:t>物种名录、优势物种、数量变化或接触场景是否仍需补充</w:t>
            </w:r>
          </w:p>
        </w:tc>
        <w:tc>
          <w:tcPr>
            <w:tcW w:type="dxa" w:w="1927"/>
            <w:tcMar>
              <w:top w:w="90" w:type="dxa"/>
              <w:start w:w="110" w:type="dxa"/>
              <w:bottom w:w="90" w:type="dxa"/>
              <w:end w:w="110" w:type="dxa"/>
            </w:tcMar>
            <w:vAlign w:val="center"/>
          </w:tcPr>
          <w:p>
            <w:pPr>
              <w:spacing w:after="0"/>
            </w:pPr>
            <w:r>
              <w:rPr>
                <w:rFonts w:ascii="Arial" w:hAnsi="Arial" w:eastAsia="Microsoft YaHei"/>
                <w:sz w:val="18"/>
              </w:rPr>
              <w:t>资料清单、专家核对、现场补充调查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缺口越大，先标注待补充而非强行评分</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6. 异常死亡野鸟与检测结果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6.1 异常死亡记录</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同地点多只死亡、连续多日发现或伴随病弱个体等事件信号</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巡护记录、公众报告、救护机构记录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聚集性死亡或连续发现应即时会商</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6. 异常死亡野鸟与检测结果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6.2 报告和处置时效</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发现后是否完成定位、拍照、属地报告、临时提示和规范处置</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监测站台账、属地报告、现场记录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时效越差，运行风险越高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6. 异常死亡野鸟与检测结果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6.3 检测结果反馈</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是否有疑似、确诊或其他异常检测结果，以及反馈至属地和相关部门的时效</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实验室报告、信息平台、会商记录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疑似或确诊高致病性禽流感、聚集性死亡事件触发专项应急响应评估</w:t>
            </w:r>
          </w:p>
        </w:tc>
      </w:tr>
    </w:tbl>
    <w:p>
      <w:pPr>
        <w:spacing w:after="80"/>
      </w:pPr>
    </w:p>
    <w:p>
      <w:pPr>
        <w:pStyle w:val="Heading1"/>
        <w:spacing w:before="200" w:after="100"/>
      </w:pPr>
      <w:r>
        <w:rPr>
          <w:rFonts w:ascii="Arial" w:hAnsi="Arial" w:eastAsia="Microsoft YaHei"/>
          <w:b/>
          <w:color w:val="111111"/>
        </w:rPr>
        <w:t>四、评分与预警</w:t>
      </w:r>
    </w:p>
    <w:p>
      <w:pPr>
        <w:spacing w:after="120"/>
      </w:pPr>
      <w:r>
        <w:rPr>
          <w:rFonts w:ascii="Arial" w:hAnsi="Arial" w:eastAsia="Microsoft YaHei"/>
        </w:rPr>
        <w:t>评分采用“二级指标1—5分、一级指标汇总、综合指数研判、异常事件直接触发”的方式。常态期可按季度更新，迁徙高峰期或出现异常事件时可按月或即时更新。资料不足的二级指标应标注“待补充”，不宜用无法核实的数据替代。</w:t>
      </w:r>
    </w:p>
    <w:p>
      <w:pPr>
        <w:pStyle w:val="ListBullet"/>
        <w:spacing w:after="80"/>
      </w:pPr>
      <w:r>
        <w:rPr>
          <w:rFonts w:ascii="Arial" w:hAnsi="Arial" w:eastAsia="Microsoft YaHei"/>
        </w:rPr>
        <w:t>二级指标评分：1分表示关注程度较低或资料显示风险较低，3分表示需持续关注，5分表示需要优先核查、加密巡查或组织会商。</w:t>
      </w:r>
    </w:p>
    <w:p>
      <w:pPr>
        <w:pStyle w:val="ListBullet"/>
        <w:spacing w:after="80"/>
      </w:pPr>
      <w:r>
        <w:rPr>
          <w:rFonts w:ascii="Arial" w:hAnsi="Arial" w:eastAsia="Microsoft YaHei"/>
        </w:rPr>
        <w:t>一级指标得分：原则上取该一级指标下二级指标平均值；若出现4分及以上的异常信号，可按最高二级指标得分计入，避免被平均值稀释。</w:t>
      </w:r>
    </w:p>
    <w:p>
      <w:pPr>
        <w:pStyle w:val="ListBullet"/>
        <w:spacing w:after="80"/>
      </w:pPr>
      <w:r>
        <w:rPr>
          <w:rFonts w:ascii="Arial" w:hAnsi="Arial" w:eastAsia="Microsoft YaHei"/>
        </w:rPr>
        <w:t>综合风险指数：R = Σ(Wi × Si)。Wi为一级指标权重，Si为一级指标得分，权重可根据年度复盘和资料完整度调整。</w:t>
      </w:r>
    </w:p>
    <w:p>
      <w:pPr>
        <w:pStyle w:val="ListBullet"/>
        <w:spacing w:after="80"/>
      </w:pPr>
      <w:r>
        <w:rPr>
          <w:rFonts w:ascii="Arial" w:hAnsi="Arial" w:eastAsia="Microsoft YaHei"/>
        </w:rPr>
        <w:t>直接触发机制：疑似或确诊高致病性禽流感、聚集性死亡事件、连续异常死亡记录等，应直接进入专项应急响应评估或省级会商。</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351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124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建议权重</w:t>
            </w:r>
          </w:p>
        </w:tc>
        <w:tc>
          <w:tcPr>
            <w:tcW w:type="dxa" w:w="4649"/>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权重设置理由</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迁徙路线与区域重要性</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体现广东沿海迁徙和越冬格局，是划定重点区域的基础。</w:t>
            </w:r>
          </w:p>
        </w:tc>
      </w:tr>
      <w:tr>
        <w:tc>
          <w:tcPr>
            <w:tcW w:type="dxa" w:w="3515"/>
            <w:tcMar>
              <w:top w:w="90" w:type="dxa"/>
              <w:start w:w="110" w:type="dxa"/>
              <w:bottom w:w="90" w:type="dxa"/>
              <w:end w:w="110" w:type="dxa"/>
            </w:tcMar>
            <w:vAlign w:val="center"/>
          </w:tcPr>
          <w:p>
            <w:pPr>
              <w:spacing w:after="0"/>
              <w:jc w:val="center"/>
            </w:pPr>
            <w:r>
              <w:rPr>
                <w:rFonts w:ascii="Arial" w:hAnsi="Arial" w:eastAsia="Microsoft YaHei"/>
                <w:sz w:val="18"/>
              </w:rPr>
              <w:t>水鸟聚集强度</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0.20</w:t>
            </w:r>
          </w:p>
        </w:tc>
        <w:tc>
          <w:tcPr>
            <w:tcW w:type="dxa" w:w="4649"/>
            <w:tcMar>
              <w:top w:w="90" w:type="dxa"/>
              <w:start w:w="110" w:type="dxa"/>
              <w:bottom w:w="90" w:type="dxa"/>
              <w:end w:w="110" w:type="dxa"/>
            </w:tcMar>
            <w:vAlign w:val="center"/>
          </w:tcPr>
          <w:p>
            <w:pPr>
              <w:spacing w:after="0"/>
            </w:pPr>
            <w:r>
              <w:rPr>
                <w:rFonts w:ascii="Arial" w:hAnsi="Arial" w:eastAsia="Microsoft YaHei"/>
                <w:sz w:val="18"/>
              </w:rPr>
              <w:t>直接反映现场鸟群规模和巡查优先级。</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重点宿主类群与物种组成</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0.20</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体现鸟类数据支撑，是后续补充名录和优势物种的核心。</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栖息地类型与人鸟接触场景</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用于识别人鸟接触、养殖邻近和公众活动管理需求。</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监测站覆盖与数据可获得性</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保证评分有资料来源，避免指标体系停留在概念层面。</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异常死亡野鸟与检测结果</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作为事件信号和预警升级的重要依据，同时保留直接触发机制。</w:t>
            </w:r>
          </w:p>
        </w:tc>
      </w:tr>
    </w:tbl>
    <w:p>
      <w:pPr>
        <w:spacing w:after="80"/>
      </w:pP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综合风险指数R</w:t>
            </w:r>
          </w:p>
        </w:tc>
        <w:tc>
          <w:tcPr>
            <w:tcW w:type="dxa" w:w="119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等级</w:t>
            </w:r>
          </w:p>
        </w:tc>
        <w:tc>
          <w:tcPr>
            <w:tcW w:type="dxa" w:w="306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监测预警建议</w:t>
            </w:r>
          </w:p>
        </w:tc>
        <w:tc>
          <w:tcPr>
            <w:tcW w:type="dxa" w:w="334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响应重点</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1.0≤R&lt;2.0</w:t>
            </w:r>
          </w:p>
        </w:tc>
        <w:tc>
          <w:tcPr>
            <w:tcW w:type="dxa" w:w="1190"/>
            <w:tcMar>
              <w:top w:w="90" w:type="dxa"/>
              <w:start w:w="110" w:type="dxa"/>
              <w:bottom w:w="90" w:type="dxa"/>
              <w:end w:w="110" w:type="dxa"/>
            </w:tcMar>
            <w:vAlign w:val="center"/>
          </w:tcPr>
          <w:p>
            <w:pPr>
              <w:spacing w:after="0"/>
            </w:pPr>
            <w:r>
              <w:rPr>
                <w:rFonts w:ascii="Arial" w:hAnsi="Arial" w:eastAsia="Microsoft YaHei"/>
                <w:sz w:val="18"/>
              </w:rPr>
              <w:t>常规关注</w:t>
            </w:r>
          </w:p>
        </w:tc>
        <w:tc>
          <w:tcPr>
            <w:tcW w:type="dxa" w:w="3061"/>
            <w:tcMar>
              <w:top w:w="90" w:type="dxa"/>
              <w:start w:w="110" w:type="dxa"/>
              <w:bottom w:w="90" w:type="dxa"/>
              <w:end w:w="110" w:type="dxa"/>
            </w:tcMar>
            <w:vAlign w:val="center"/>
          </w:tcPr>
          <w:p>
            <w:pPr>
              <w:spacing w:after="0"/>
            </w:pPr>
            <w:r>
              <w:rPr>
                <w:rFonts w:ascii="Arial" w:hAnsi="Arial" w:eastAsia="Microsoft YaHei"/>
                <w:sz w:val="18"/>
              </w:rPr>
              <w:t>维持常规巡护，更新重点区域基础资料和联系人清单。</w:t>
            </w:r>
          </w:p>
        </w:tc>
        <w:tc>
          <w:tcPr>
            <w:tcW w:type="dxa" w:w="3345"/>
            <w:tcMar>
              <w:top w:w="90" w:type="dxa"/>
              <w:start w:w="110" w:type="dxa"/>
              <w:bottom w:w="90" w:type="dxa"/>
              <w:end w:w="110" w:type="dxa"/>
            </w:tcMar>
            <w:vAlign w:val="center"/>
          </w:tcPr>
          <w:p>
            <w:pPr>
              <w:spacing w:after="0"/>
            </w:pPr>
            <w:r>
              <w:rPr>
                <w:rFonts w:ascii="Arial" w:hAnsi="Arial" w:eastAsia="Microsoft YaHei"/>
                <w:sz w:val="18"/>
              </w:rPr>
              <w:t>做好年度鸟类名录和监测数据归档。</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2.0≤R&lt;3.0</w:t>
            </w:r>
          </w:p>
        </w:tc>
        <w:tc>
          <w:tcPr>
            <w:tcW w:type="dxa" w:w="1190"/>
            <w:tcMar>
              <w:top w:w="90" w:type="dxa"/>
              <w:start w:w="110" w:type="dxa"/>
              <w:bottom w:w="90" w:type="dxa"/>
              <w:end w:w="110" w:type="dxa"/>
            </w:tcMar>
            <w:vAlign w:val="center"/>
          </w:tcPr>
          <w:p>
            <w:pPr>
              <w:spacing w:after="0"/>
            </w:pPr>
            <w:r>
              <w:rPr>
                <w:rFonts w:ascii="Arial" w:hAnsi="Arial" w:eastAsia="Microsoft YaHei"/>
                <w:sz w:val="18"/>
              </w:rPr>
              <w:t>加强关注</w:t>
            </w:r>
          </w:p>
        </w:tc>
        <w:tc>
          <w:tcPr>
            <w:tcW w:type="dxa" w:w="3061"/>
            <w:tcMar>
              <w:top w:w="90" w:type="dxa"/>
              <w:start w:w="110" w:type="dxa"/>
              <w:bottom w:w="90" w:type="dxa"/>
              <w:end w:w="110" w:type="dxa"/>
            </w:tcMar>
            <w:vAlign w:val="center"/>
          </w:tcPr>
          <w:p>
            <w:pPr>
              <w:spacing w:after="0"/>
            </w:pPr>
            <w:r>
              <w:rPr>
                <w:rFonts w:ascii="Arial" w:hAnsi="Arial" w:eastAsia="Microsoft YaHei"/>
                <w:sz w:val="18"/>
              </w:rPr>
              <w:t>迁徙季适当加密重点湿地巡查，补齐优势物种、数量变化和接触场景资料。</w:t>
            </w:r>
          </w:p>
        </w:tc>
        <w:tc>
          <w:tcPr>
            <w:tcW w:type="dxa" w:w="3345"/>
            <w:tcMar>
              <w:top w:w="90" w:type="dxa"/>
              <w:start w:w="110" w:type="dxa"/>
              <w:bottom w:w="90" w:type="dxa"/>
              <w:end w:w="110" w:type="dxa"/>
            </w:tcMar>
            <w:vAlign w:val="center"/>
          </w:tcPr>
          <w:p>
            <w:pPr>
              <w:spacing w:after="0"/>
            </w:pPr>
            <w:r>
              <w:rPr>
                <w:rFonts w:ascii="Arial" w:hAnsi="Arial" w:eastAsia="Microsoft YaHei"/>
                <w:sz w:val="18"/>
              </w:rPr>
              <w:t>开展部门信息共享和重点点位提示。</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3.0≤R&lt;4.0</w:t>
            </w:r>
          </w:p>
        </w:tc>
        <w:tc>
          <w:tcPr>
            <w:tcW w:type="dxa" w:w="1190"/>
            <w:tcMar>
              <w:top w:w="90" w:type="dxa"/>
              <w:start w:w="110" w:type="dxa"/>
              <w:bottom w:w="90" w:type="dxa"/>
              <w:end w:w="110" w:type="dxa"/>
            </w:tcMar>
            <w:vAlign w:val="center"/>
          </w:tcPr>
          <w:p>
            <w:pPr>
              <w:spacing w:after="0"/>
            </w:pPr>
            <w:r>
              <w:rPr>
                <w:rFonts w:ascii="Arial" w:hAnsi="Arial" w:eastAsia="Microsoft YaHei"/>
                <w:sz w:val="18"/>
              </w:rPr>
              <w:t>较高关注</w:t>
            </w:r>
          </w:p>
        </w:tc>
        <w:tc>
          <w:tcPr>
            <w:tcW w:type="dxa" w:w="3061"/>
            <w:tcMar>
              <w:top w:w="90" w:type="dxa"/>
              <w:start w:w="110" w:type="dxa"/>
              <w:bottom w:w="90" w:type="dxa"/>
              <w:end w:w="110" w:type="dxa"/>
            </w:tcMar>
            <w:vAlign w:val="center"/>
          </w:tcPr>
          <w:p>
            <w:pPr>
              <w:spacing w:after="0"/>
            </w:pPr>
            <w:r>
              <w:rPr>
                <w:rFonts w:ascii="Arial" w:hAnsi="Arial" w:eastAsia="Microsoft YaHei"/>
                <w:sz w:val="18"/>
              </w:rPr>
              <w:t>对代表区域及周边接触界面加密巡查，组织风险会商。</w:t>
            </w:r>
          </w:p>
        </w:tc>
        <w:tc>
          <w:tcPr>
            <w:tcW w:type="dxa" w:w="3345"/>
            <w:tcMar>
              <w:top w:w="90" w:type="dxa"/>
              <w:start w:w="110" w:type="dxa"/>
              <w:bottom w:w="90" w:type="dxa"/>
              <w:end w:w="110" w:type="dxa"/>
            </w:tcMar>
            <w:vAlign w:val="center"/>
          </w:tcPr>
          <w:p>
            <w:pPr>
              <w:spacing w:after="0"/>
            </w:pPr>
            <w:r>
              <w:rPr>
                <w:rFonts w:ascii="Arial" w:hAnsi="Arial" w:eastAsia="Microsoft YaHei"/>
                <w:sz w:val="18"/>
              </w:rPr>
              <w:t>设置现场提示，关注异常个体和周边养殖/公众活动。</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R≥4.0或出现直接触发事件</w:t>
            </w:r>
          </w:p>
        </w:tc>
        <w:tc>
          <w:tcPr>
            <w:tcW w:type="dxa" w:w="1190"/>
            <w:tcMar>
              <w:top w:w="90" w:type="dxa"/>
              <w:start w:w="110" w:type="dxa"/>
              <w:bottom w:w="90" w:type="dxa"/>
              <w:end w:w="110" w:type="dxa"/>
            </w:tcMar>
            <w:vAlign w:val="center"/>
          </w:tcPr>
          <w:p>
            <w:pPr>
              <w:spacing w:after="0"/>
            </w:pPr>
            <w:r>
              <w:rPr>
                <w:rFonts w:ascii="Arial" w:hAnsi="Arial" w:eastAsia="Microsoft YaHei"/>
                <w:sz w:val="18"/>
              </w:rPr>
              <w:t>专项评估</w:t>
            </w:r>
          </w:p>
        </w:tc>
        <w:tc>
          <w:tcPr>
            <w:tcW w:type="dxa" w:w="3061"/>
            <w:tcMar>
              <w:top w:w="90" w:type="dxa"/>
              <w:start w:w="110" w:type="dxa"/>
              <w:bottom w:w="90" w:type="dxa"/>
              <w:end w:w="110" w:type="dxa"/>
            </w:tcMar>
            <w:vAlign w:val="center"/>
          </w:tcPr>
          <w:p>
            <w:pPr>
              <w:spacing w:after="0"/>
            </w:pPr>
            <w:r>
              <w:rPr>
                <w:rFonts w:ascii="Arial" w:hAnsi="Arial" w:eastAsia="Microsoft YaHei"/>
                <w:sz w:val="18"/>
              </w:rPr>
              <w:t>即时核查异常死亡、疑似或确诊结果、聚集性死亡等事件。</w:t>
            </w:r>
          </w:p>
        </w:tc>
        <w:tc>
          <w:tcPr>
            <w:tcW w:type="dxa" w:w="3345"/>
            <w:tcMar>
              <w:top w:w="90" w:type="dxa"/>
              <w:start w:w="110" w:type="dxa"/>
              <w:bottom w:w="90" w:type="dxa"/>
              <w:end w:w="110" w:type="dxa"/>
            </w:tcMar>
            <w:vAlign w:val="center"/>
          </w:tcPr>
          <w:p>
            <w:pPr>
              <w:spacing w:after="0"/>
            </w:pPr>
            <w:r>
              <w:rPr>
                <w:rFonts w:ascii="Arial" w:hAnsi="Arial" w:eastAsia="Microsoft YaHei"/>
                <w:sz w:val="18"/>
              </w:rPr>
              <w:t>按现行规定启动专项应急响应评估和属地协同处置。</w:t>
            </w:r>
          </w:p>
        </w:tc>
      </w:tr>
    </w:tbl>
    <w:p>
      <w:pPr>
        <w:spacing w:after="80"/>
      </w:pPr>
    </w:p>
    <w:p>
      <w:pPr>
        <w:pStyle w:val="Heading1"/>
        <w:spacing w:before="200" w:after="100"/>
      </w:pPr>
      <w:r>
        <w:rPr>
          <w:rFonts w:ascii="Arial" w:hAnsi="Arial" w:eastAsia="Microsoft YaHei"/>
          <w:b/>
          <w:color w:val="111111"/>
        </w:rPr>
        <w:t>五、资料补充和年度更新</w:t>
      </w:r>
    </w:p>
    <w:p>
      <w:pPr>
        <w:spacing w:after="120"/>
      </w:pPr>
      <w:r>
        <w:rPr>
          <w:rFonts w:ascii="Arial" w:hAnsi="Arial" w:eastAsia="Microsoft YaHei"/>
        </w:rPr>
        <w:t>本体系为动态更新框架。后续可根据三个代表性重点区域的鸟类名录、年度水鸟数量、优势物种、重点宿主类群、异常死亡记录和检测结果，对指标评分和重点关注对象进行年度修订。建议每个代表区域建立一张可持续更新的资料表，先补齐“有什么鸟、数量如何、何时聚集、在哪里接触、由谁监测、是否有异常”六类信息。</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187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代表区域</w:t>
            </w:r>
          </w:p>
        </w:tc>
        <w:tc>
          <w:tcPr>
            <w:tcW w:type="dxa" w:w="266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需补充的鸟类资料</w:t>
            </w:r>
          </w:p>
        </w:tc>
        <w:tc>
          <w:tcPr>
            <w:tcW w:type="dxa" w:w="249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需补充的监测资料</w:t>
            </w:r>
          </w:p>
        </w:tc>
        <w:tc>
          <w:tcPr>
            <w:tcW w:type="dxa" w:w="238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年度更新产出</w:t>
            </w:r>
          </w:p>
        </w:tc>
      </w:tr>
      <w:tr>
        <w:tc>
          <w:tcPr>
            <w:tcW w:type="dxa" w:w="1871"/>
            <w:tcMar>
              <w:top w:w="90" w:type="dxa"/>
              <w:start w:w="110" w:type="dxa"/>
              <w:bottom w:w="90" w:type="dxa"/>
              <w:end w:w="110" w:type="dxa"/>
            </w:tcMar>
            <w:vAlign w:val="center"/>
          </w:tcPr>
          <w:p>
            <w:pPr>
              <w:spacing w:after="0"/>
              <w:jc w:val="center"/>
            </w:pPr>
            <w:r>
              <w:rPr>
                <w:rFonts w:ascii="Arial" w:hAnsi="Arial" w:eastAsia="Microsoft YaHei"/>
                <w:sz w:val="18"/>
              </w:rPr>
              <w:t>广东海丰湿地</w:t>
            </w:r>
          </w:p>
        </w:tc>
        <w:tc>
          <w:tcPr>
            <w:tcW w:type="dxa" w:w="2664"/>
            <w:tcMar>
              <w:top w:w="90" w:type="dxa"/>
              <w:start w:w="110" w:type="dxa"/>
              <w:bottom w:w="90" w:type="dxa"/>
              <w:end w:w="110" w:type="dxa"/>
            </w:tcMar>
            <w:vAlign w:val="center"/>
          </w:tcPr>
          <w:p>
            <w:pPr>
              <w:spacing w:after="0"/>
            </w:pPr>
            <w:r>
              <w:rPr>
                <w:rFonts w:ascii="Arial" w:hAnsi="Arial" w:eastAsia="Microsoft YaHei"/>
                <w:sz w:val="18"/>
              </w:rPr>
              <w:t>完整物种名录、优势水鸟、迁徙和越冬数量、重点类群季节变化</w:t>
            </w:r>
          </w:p>
        </w:tc>
        <w:tc>
          <w:tcPr>
            <w:tcW w:type="dxa" w:w="2494"/>
            <w:tcMar>
              <w:top w:w="90" w:type="dxa"/>
              <w:start w:w="110" w:type="dxa"/>
              <w:bottom w:w="90" w:type="dxa"/>
              <w:end w:w="110" w:type="dxa"/>
            </w:tcMar>
            <w:vAlign w:val="center"/>
          </w:tcPr>
          <w:p>
            <w:pPr>
              <w:spacing w:after="0"/>
            </w:pPr>
            <w:r>
              <w:rPr>
                <w:rFonts w:ascii="Arial" w:hAnsi="Arial" w:eastAsia="Microsoft YaHei"/>
                <w:sz w:val="18"/>
              </w:rPr>
              <w:t>海丰保护区巡护台账、异常死亡记录、检测结果摘要</w:t>
            </w:r>
          </w:p>
        </w:tc>
        <w:tc>
          <w:tcPr>
            <w:tcW w:type="dxa" w:w="2381"/>
            <w:tcMar>
              <w:top w:w="90" w:type="dxa"/>
              <w:start w:w="110" w:type="dxa"/>
              <w:bottom w:w="90" w:type="dxa"/>
              <w:end w:w="110" w:type="dxa"/>
            </w:tcMar>
            <w:vAlign w:val="center"/>
          </w:tcPr>
          <w:p>
            <w:pPr>
              <w:spacing w:after="0"/>
            </w:pPr>
            <w:r>
              <w:rPr>
                <w:rFonts w:ascii="Arial" w:hAnsi="Arial" w:eastAsia="Microsoft YaHei"/>
                <w:sz w:val="18"/>
              </w:rPr>
              <w:t>粤东重点区域年度鸟类与预警评分表</w:t>
            </w:r>
          </w:p>
        </w:tc>
      </w:tr>
      <w:tr>
        <w:tc>
          <w:tcPr>
            <w:tcW w:type="dxa" w:w="1871"/>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2664"/>
            <w:tcMar>
              <w:top w:w="90" w:type="dxa"/>
              <w:start w:w="110" w:type="dxa"/>
              <w:bottom w:w="90" w:type="dxa"/>
              <w:end w:w="110" w:type="dxa"/>
            </w:tcMar>
            <w:vAlign w:val="center"/>
          </w:tcPr>
          <w:p>
            <w:pPr>
              <w:spacing w:after="0"/>
            </w:pPr>
            <w:r>
              <w:rPr>
                <w:rFonts w:ascii="Arial" w:hAnsi="Arial" w:eastAsia="Microsoft YaHei"/>
                <w:sz w:val="18"/>
              </w:rPr>
              <w:t>深圳湾及内伶仃福田湿地物种名录、优势物种、人鸟接触场景记录</w:t>
            </w:r>
          </w:p>
        </w:tc>
        <w:tc>
          <w:tcPr>
            <w:tcW w:type="dxa" w:w="2494"/>
            <w:tcMar>
              <w:top w:w="90" w:type="dxa"/>
              <w:start w:w="110" w:type="dxa"/>
              <w:bottom w:w="90" w:type="dxa"/>
              <w:end w:w="110" w:type="dxa"/>
            </w:tcMar>
            <w:vAlign w:val="center"/>
          </w:tcPr>
          <w:p>
            <w:pPr>
              <w:spacing w:after="0"/>
            </w:pPr>
            <w:r>
              <w:rPr>
                <w:rFonts w:ascii="Arial" w:hAnsi="Arial" w:eastAsia="Microsoft YaHei"/>
                <w:sz w:val="18"/>
              </w:rPr>
              <w:t>保护区和城市湿地巡护、公众活动、救护和异常报告记录</w:t>
            </w:r>
          </w:p>
        </w:tc>
        <w:tc>
          <w:tcPr>
            <w:tcW w:type="dxa" w:w="2381"/>
            <w:tcMar>
              <w:top w:w="90" w:type="dxa"/>
              <w:start w:w="110" w:type="dxa"/>
              <w:bottom w:w="90" w:type="dxa"/>
              <w:end w:w="110" w:type="dxa"/>
            </w:tcMar>
            <w:vAlign w:val="center"/>
          </w:tcPr>
          <w:p>
            <w:pPr>
              <w:spacing w:after="0"/>
            </w:pPr>
            <w:r>
              <w:rPr>
                <w:rFonts w:ascii="Arial" w:hAnsi="Arial" w:eastAsia="Microsoft YaHei"/>
                <w:sz w:val="18"/>
              </w:rPr>
              <w:t>珠江口/大湾区城市湿地年度风险关注清单</w:t>
            </w:r>
          </w:p>
        </w:tc>
      </w:tr>
      <w:tr>
        <w:tc>
          <w:tcPr>
            <w:tcW w:type="dxa" w:w="1871"/>
            <w:tcMar>
              <w:top w:w="90" w:type="dxa"/>
              <w:start w:w="110" w:type="dxa"/>
              <w:bottom w:w="90" w:type="dxa"/>
              <w:end w:w="110" w:type="dxa"/>
            </w:tcMar>
            <w:vAlign w:val="center"/>
          </w:tcPr>
          <w:p>
            <w:pPr>
              <w:spacing w:after="0"/>
              <w:jc w:val="center"/>
            </w:pPr>
            <w:r>
              <w:rPr>
                <w:rFonts w:ascii="Arial" w:hAnsi="Arial" w:eastAsia="Microsoft YaHei"/>
                <w:sz w:val="18"/>
              </w:rPr>
              <w:t>湛江雷州湾</w:t>
            </w:r>
          </w:p>
        </w:tc>
        <w:tc>
          <w:tcPr>
            <w:tcW w:type="dxa" w:w="2664"/>
            <w:tcMar>
              <w:top w:w="90" w:type="dxa"/>
              <w:start w:w="110" w:type="dxa"/>
              <w:bottom w:w="90" w:type="dxa"/>
              <w:end w:w="110" w:type="dxa"/>
            </w:tcMar>
            <w:vAlign w:val="center"/>
          </w:tcPr>
          <w:p>
            <w:pPr>
              <w:spacing w:after="0"/>
            </w:pPr>
            <w:r>
              <w:rPr>
                <w:rFonts w:ascii="Arial" w:hAnsi="Arial" w:eastAsia="Microsoft YaHei"/>
                <w:sz w:val="18"/>
              </w:rPr>
              <w:t>雷州湾及周边红树林、滩涂水鸟名录、数量峰值、迁徙停歇情况</w:t>
            </w:r>
          </w:p>
        </w:tc>
        <w:tc>
          <w:tcPr>
            <w:tcW w:type="dxa" w:w="2494"/>
            <w:tcMar>
              <w:top w:w="90" w:type="dxa"/>
              <w:start w:w="110" w:type="dxa"/>
              <w:bottom w:w="90" w:type="dxa"/>
              <w:end w:w="110" w:type="dxa"/>
            </w:tcMar>
            <w:vAlign w:val="center"/>
          </w:tcPr>
          <w:p>
            <w:pPr>
              <w:spacing w:after="0"/>
            </w:pPr>
            <w:r>
              <w:rPr>
                <w:rFonts w:ascii="Arial" w:hAnsi="Arial" w:eastAsia="Microsoft YaHei"/>
                <w:sz w:val="18"/>
              </w:rPr>
              <w:t>湛江红树林保护区及相关监测站巡护、异常死亡、检测结果摘要</w:t>
            </w:r>
          </w:p>
        </w:tc>
        <w:tc>
          <w:tcPr>
            <w:tcW w:type="dxa" w:w="2381"/>
            <w:tcMar>
              <w:top w:w="90" w:type="dxa"/>
              <w:start w:w="110" w:type="dxa"/>
              <w:bottom w:w="90" w:type="dxa"/>
              <w:end w:w="110" w:type="dxa"/>
            </w:tcMar>
            <w:vAlign w:val="center"/>
          </w:tcPr>
          <w:p>
            <w:pPr>
              <w:spacing w:after="0"/>
            </w:pPr>
            <w:r>
              <w:rPr>
                <w:rFonts w:ascii="Arial" w:hAnsi="Arial" w:eastAsia="Microsoft YaHei"/>
                <w:sz w:val="18"/>
              </w:rPr>
              <w:t>粤西沿海滩涂年度鸟类与预警评分表</w:t>
            </w:r>
          </w:p>
        </w:tc>
      </w:tr>
    </w:tbl>
    <w:p>
      <w:pPr>
        <w:spacing w:after="80"/>
      </w:pPr>
    </w:p>
    <w:p>
      <w:pPr>
        <w:pStyle w:val="Heading1"/>
        <w:spacing w:before="200" w:after="100"/>
      </w:pPr>
      <w:r>
        <w:rPr>
          <w:rFonts w:ascii="Arial" w:hAnsi="Arial" w:eastAsia="Microsoft YaHei"/>
          <w:b/>
          <w:color w:val="111111"/>
        </w:rPr>
        <w:t>六、指标体系运行</w:t>
      </w:r>
    </w:p>
    <w:p>
      <w:pPr>
        <w:spacing w:after="120"/>
      </w:pPr>
      <w:r>
        <w:rPr>
          <w:rFonts w:ascii="Arial" w:hAnsi="Arial" w:eastAsia="Microsoft YaHei"/>
        </w:rPr>
        <w:t>（一）日常监测。各监测站围绕代表性重点区域及周边湿地、河口、滩涂、鱼塘、水库和城市湿地开展巡护记录，重点记录鸟类种类、数量、聚集点、异常个体和人鸟接触场景。</w:t>
      </w:r>
    </w:p>
    <w:p>
      <w:pPr>
        <w:spacing w:after="120"/>
      </w:pPr>
      <w:r>
        <w:rPr>
          <w:rFonts w:ascii="Arial" w:hAnsi="Arial" w:eastAsia="Microsoft YaHei"/>
        </w:rPr>
        <w:t>（二）资料汇集。省级或属地平台按月汇总监测站、保护区、救护机构、年度水鸟调查和检测结果摘要，形成可追溯的数据台账。</w:t>
      </w:r>
    </w:p>
    <w:p>
      <w:pPr>
        <w:spacing w:after="120"/>
      </w:pPr>
      <w:r>
        <w:rPr>
          <w:rFonts w:ascii="Arial" w:hAnsi="Arial" w:eastAsia="Microsoft YaHei"/>
        </w:rPr>
        <w:t>（三）评分会商。常态期按季度评分，迁徙高峰期按月评分；出现异常死亡、疑似或确诊结果、聚集性死亡事件时即时会商。</w:t>
      </w:r>
    </w:p>
    <w:p>
      <w:pPr>
        <w:spacing w:after="120"/>
      </w:pPr>
      <w:r>
        <w:rPr>
          <w:rFonts w:ascii="Arial" w:hAnsi="Arial" w:eastAsia="Microsoft YaHei"/>
        </w:rPr>
        <w:t>（四）分级响应。预警等级确定后，应同步明确责任单位、时间要求和现场措施。公众提示、人员培训和部门协同作为响应保障措施，不再单独作为一级评分指标。</w:t>
      </w:r>
    </w:p>
    <w:p>
      <w:pPr>
        <w:spacing w:after="120"/>
      </w:pPr>
      <w:r>
        <w:rPr>
          <w:rFonts w:ascii="Arial" w:hAnsi="Arial" w:eastAsia="Microsoft YaHei"/>
        </w:rPr>
        <w:t>（五）年度复盘。每年迁徙季结束后，复核代表区域、优势物种、数据缺口和权重设置，必要时调整重点区域清单和指标评分说明。</w:t>
      </w:r>
    </w:p>
    <w:p>
      <w:pPr>
        <w:spacing w:after="120"/>
      </w:pPr>
      <w:r>
        <w:rPr>
          <w:rFonts w:ascii="Arial" w:hAnsi="Arial" w:eastAsia="Microsoft YaHei"/>
        </w:rPr>
        <w:t>本指标体系主要用于监测预警和风险研判，不替代国家和广东省现行动物疫病、野生动物疫源疫病及突发公共卫生事件相关法定报告和应急处置程序；涉及疑似或确诊疫情的，应按现行规定执行。</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5F6B63"/>
        <w:sz w:val="18"/>
      </w:rPr>
      <w:t xml:space="preserve">第 </w:t>
      <w:fldChar w:fldCharType="begin"/>
      <w:instrText xml:space="preserve">PAGE</w:instrText>
      <w:fldChar w:fldCharType="end"/>
    </w:r>
    <w:r>
      <w:rPr>
        <w:rFonts w:ascii="Arial" w:hAnsi="Arial" w:eastAsia="Microsoft YaHei"/>
        <w:color w:val="5F6B6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color w:val="5F6B63"/>
        <w:sz w:val="18"/>
      </w:rPr>
      <w:t>广东省重要迁徙鸟类疫病监测预警体系与风险评估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