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79038B">
      <w:pPr>
        <w:jc w:val="center"/>
      </w:pPr>
      <w:bookmarkStart w:id="0" w:name="_GoBack"/>
      <w:r>
        <w:rPr>
          <w:rFonts w:ascii="Times New Roman" w:hAnsi="Times New Roman" w:eastAsia="黑体"/>
          <w:b/>
          <w:sz w:val="36"/>
        </w:rPr>
        <w:t>广东省重要迁徙鸟类疫病传入监测预警与风险评估</w:t>
      </w:r>
    </w:p>
    <w:p w14:paraId="35FA32B1">
      <w:pPr>
        <w:jc w:val="center"/>
      </w:pPr>
      <w:r>
        <w:rPr>
          <w:rFonts w:ascii="Times New Roman" w:hAnsi="Times New Roman" w:eastAsia="黑体"/>
          <w:b/>
          <w:sz w:val="36"/>
        </w:rPr>
        <w:t>主要技术指标体系</w:t>
      </w:r>
    </w:p>
    <w:p w14:paraId="71C393C6">
      <w:pPr>
        <w:spacing w:before="280" w:after="120"/>
      </w:pPr>
      <w:r>
        <w:rPr>
          <w:rFonts w:ascii="Times New Roman" w:hAnsi="Times New Roman" w:eastAsia="黑体"/>
          <w:b/>
          <w:sz w:val="28"/>
        </w:rPr>
        <w:t>一、总体框架</w:t>
      </w:r>
    </w:p>
    <w:p w14:paraId="4FF2B8B7">
      <w:pPr>
        <w:spacing w:before="0" w:after="100" w:line="360" w:lineRule="auto"/>
        <w:ind w:firstLine="420"/>
      </w:pPr>
      <w:r>
        <w:rPr>
          <w:rFonts w:ascii="Times New Roman" w:hAnsi="Times New Roman" w:eastAsia="仿宋"/>
          <w:b w:val="0"/>
          <w:sz w:val="21"/>
        </w:rPr>
        <w:t>本指标体系结合广东省迁徙鸟类生态特征、禽流感等疫病传播规律和现有监测工作基础构建，用于识别迁徙鸟类疫病传入风险，指导监测布点、预警研判和分级响应。指标体系从外部输入压力、重点宿主与聚集风险、本地暴露三个方面开展评估，并以综合风险指数确定预警等级和处置措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1984"/>
        <w:gridCol w:w="2835"/>
      </w:tblGrid>
      <w:tr w14:paraId="7B78C392">
        <w:trPr>
          <w:jc w:val="center"/>
        </w:trPr>
        <w:tc>
          <w:tcPr>
            <w:tcW w:w="1984" w:type="dxa"/>
            <w:shd w:val="clear" w:color="auto" w:fill="D9E1F2"/>
            <w:vAlign w:val="center"/>
          </w:tcPr>
          <w:p w14:paraId="37D76168">
            <w:pPr>
              <w:spacing w:after="0" w:line="240" w:lineRule="auto"/>
              <w:jc w:val="center"/>
            </w:pPr>
            <w:r>
              <w:rPr>
                <w:rFonts w:ascii="Times New Roman" w:hAnsi="Times New Roman" w:eastAsia="黑体"/>
                <w:b/>
                <w:sz w:val="20"/>
              </w:rPr>
              <w:t>评估维度</w:t>
            </w:r>
          </w:p>
        </w:tc>
        <w:tc>
          <w:tcPr>
            <w:tcW w:w="1984" w:type="dxa"/>
            <w:shd w:val="clear" w:color="auto" w:fill="D9E1F2"/>
            <w:vAlign w:val="center"/>
          </w:tcPr>
          <w:p w14:paraId="25A188C1">
            <w:pPr>
              <w:spacing w:after="0" w:line="240" w:lineRule="auto"/>
              <w:jc w:val="center"/>
            </w:pPr>
            <w:r>
              <w:rPr>
                <w:rFonts w:ascii="Times New Roman" w:hAnsi="Times New Roman" w:eastAsia="黑体"/>
                <w:b/>
                <w:sz w:val="20"/>
              </w:rPr>
              <w:t>一级指标</w:t>
            </w:r>
          </w:p>
        </w:tc>
        <w:tc>
          <w:tcPr>
            <w:tcW w:w="2835" w:type="dxa"/>
            <w:shd w:val="clear" w:color="auto" w:fill="D9E1F2"/>
            <w:vAlign w:val="center"/>
          </w:tcPr>
          <w:p w14:paraId="261600E5">
            <w:pPr>
              <w:spacing w:after="0" w:line="240" w:lineRule="auto"/>
              <w:jc w:val="center"/>
            </w:pPr>
            <w:r>
              <w:rPr>
                <w:rFonts w:ascii="Times New Roman" w:hAnsi="Times New Roman" w:eastAsia="黑体"/>
                <w:b/>
                <w:sz w:val="20"/>
              </w:rPr>
              <w:t>防控含义</w:t>
            </w:r>
          </w:p>
        </w:tc>
      </w:tr>
      <w:tr w14:paraId="6DFF0ECD">
        <w:trPr>
          <w:jc w:val="center"/>
        </w:trPr>
        <w:tc>
          <w:tcPr>
            <w:tcW w:w="1984" w:type="dxa"/>
            <w:vAlign w:val="center"/>
          </w:tcPr>
          <w:p w14:paraId="10C1E6B4">
            <w:pPr>
              <w:spacing w:after="0" w:line="240" w:lineRule="auto"/>
              <w:jc w:val="left"/>
            </w:pPr>
            <w:r>
              <w:rPr>
                <w:rFonts w:ascii="Times New Roman" w:hAnsi="Times New Roman" w:eastAsia="仿宋"/>
                <w:b w:val="0"/>
                <w:sz w:val="19"/>
              </w:rPr>
              <w:t>I  外部输入压力</w:t>
            </w:r>
          </w:p>
        </w:tc>
        <w:tc>
          <w:tcPr>
            <w:tcW w:w="1984" w:type="dxa"/>
            <w:vAlign w:val="center"/>
          </w:tcPr>
          <w:p w14:paraId="3E88DFCE">
            <w:pPr>
              <w:spacing w:after="0" w:line="240" w:lineRule="auto"/>
              <w:jc w:val="left"/>
            </w:pPr>
            <w:r>
              <w:rPr>
                <w:rFonts w:ascii="Times New Roman" w:hAnsi="Times New Roman" w:eastAsia="仿宋"/>
                <w:b w:val="0"/>
                <w:sz w:val="19"/>
              </w:rPr>
              <w:t>①外部疫情与重点病毒风险</w:t>
            </w:r>
          </w:p>
        </w:tc>
        <w:tc>
          <w:tcPr>
            <w:tcW w:w="2835" w:type="dxa"/>
            <w:vAlign w:val="center"/>
          </w:tcPr>
          <w:p w14:paraId="4781EE00">
            <w:pPr>
              <w:spacing w:after="0" w:line="240" w:lineRule="auto"/>
              <w:jc w:val="left"/>
            </w:pPr>
            <w:r>
              <w:rPr>
                <w:rFonts w:ascii="Times New Roman" w:hAnsi="Times New Roman" w:eastAsia="仿宋"/>
                <w:b w:val="0"/>
                <w:sz w:val="19"/>
              </w:rPr>
              <w:t>判断境外、省外或相邻区域是否存在输入压力</w:t>
            </w:r>
          </w:p>
        </w:tc>
      </w:tr>
      <w:tr w14:paraId="0DBDD666">
        <w:trPr>
          <w:jc w:val="center"/>
        </w:trPr>
        <w:tc>
          <w:tcPr>
            <w:tcW w:w="1984" w:type="dxa"/>
            <w:vAlign w:val="center"/>
          </w:tcPr>
          <w:p w14:paraId="1C16CBA7">
            <w:pPr>
              <w:spacing w:after="0" w:line="240" w:lineRule="auto"/>
              <w:jc w:val="left"/>
            </w:pPr>
            <w:r>
              <w:rPr>
                <w:rFonts w:ascii="Times New Roman" w:hAnsi="Times New Roman" w:eastAsia="仿宋"/>
                <w:b w:val="0"/>
                <w:sz w:val="19"/>
              </w:rPr>
              <w:t>II  重点宿主与聚集风险</w:t>
            </w:r>
          </w:p>
        </w:tc>
        <w:tc>
          <w:tcPr>
            <w:tcW w:w="1984" w:type="dxa"/>
            <w:vAlign w:val="center"/>
          </w:tcPr>
          <w:p w14:paraId="3E67D506">
            <w:pPr>
              <w:spacing w:after="0" w:line="240" w:lineRule="auto"/>
              <w:jc w:val="left"/>
            </w:pPr>
            <w:r>
              <w:rPr>
                <w:rFonts w:ascii="Times New Roman" w:hAnsi="Times New Roman" w:eastAsia="仿宋"/>
                <w:b w:val="0"/>
                <w:sz w:val="19"/>
              </w:rPr>
              <w:t>②禽流感易感度</w:t>
            </w:r>
            <w:r>
              <w:rPr>
                <w:rFonts w:ascii="Times New Roman" w:hAnsi="Times New Roman" w:eastAsia="仿宋"/>
                <w:b w:val="0"/>
                <w:sz w:val="19"/>
              </w:rPr>
              <w:br w:type="textWrapping"/>
            </w:r>
            <w:r>
              <w:rPr>
                <w:rFonts w:ascii="Times New Roman" w:hAnsi="Times New Roman" w:eastAsia="仿宋"/>
                <w:b w:val="0"/>
                <w:sz w:val="19"/>
              </w:rPr>
              <w:t>③人禽接触</w:t>
            </w:r>
          </w:p>
        </w:tc>
        <w:tc>
          <w:tcPr>
            <w:tcW w:w="2835" w:type="dxa"/>
            <w:vAlign w:val="center"/>
          </w:tcPr>
          <w:p w14:paraId="0051E757">
            <w:pPr>
              <w:spacing w:after="0" w:line="240" w:lineRule="auto"/>
              <w:jc w:val="left"/>
            </w:pPr>
            <w:r>
              <w:rPr>
                <w:rFonts w:ascii="Times New Roman" w:hAnsi="Times New Roman" w:eastAsia="仿宋"/>
                <w:b w:val="0"/>
                <w:sz w:val="19"/>
              </w:rPr>
              <w:t>判断重点宿主是否进入广东，是否在湿地等区域聚集</w:t>
            </w:r>
          </w:p>
        </w:tc>
      </w:tr>
      <w:tr w14:paraId="0A978FBF">
        <w:trPr>
          <w:jc w:val="center"/>
        </w:trPr>
        <w:tc>
          <w:tcPr>
            <w:tcW w:w="1984" w:type="dxa"/>
            <w:vAlign w:val="center"/>
          </w:tcPr>
          <w:p w14:paraId="39C6C98E">
            <w:pPr>
              <w:spacing w:after="0" w:line="240" w:lineRule="auto"/>
              <w:jc w:val="left"/>
            </w:pPr>
            <w:r>
              <w:rPr>
                <w:rFonts w:ascii="Times New Roman" w:hAnsi="Times New Roman" w:eastAsia="仿宋"/>
                <w:b w:val="0"/>
                <w:sz w:val="19"/>
              </w:rPr>
              <w:t>III  本地暴露</w:t>
            </w:r>
          </w:p>
        </w:tc>
        <w:tc>
          <w:tcPr>
            <w:tcW w:w="1984" w:type="dxa"/>
            <w:vAlign w:val="center"/>
          </w:tcPr>
          <w:p w14:paraId="0268294A">
            <w:pPr>
              <w:spacing w:after="0" w:line="240" w:lineRule="auto"/>
              <w:jc w:val="left"/>
            </w:pPr>
            <w:r>
              <w:rPr>
                <w:rFonts w:ascii="Times New Roman" w:hAnsi="Times New Roman" w:eastAsia="仿宋"/>
                <w:b w:val="0"/>
                <w:sz w:val="19"/>
              </w:rPr>
              <w:t>④异常死亡和事件报告</w:t>
            </w:r>
          </w:p>
        </w:tc>
        <w:tc>
          <w:tcPr>
            <w:tcW w:w="2835" w:type="dxa"/>
            <w:vAlign w:val="center"/>
          </w:tcPr>
          <w:p w14:paraId="6C09DF20">
            <w:pPr>
              <w:spacing w:after="0" w:line="240" w:lineRule="auto"/>
              <w:jc w:val="left"/>
            </w:pPr>
            <w:r>
              <w:rPr>
                <w:rFonts w:ascii="Times New Roman" w:hAnsi="Times New Roman" w:eastAsia="仿宋"/>
                <w:b w:val="0"/>
                <w:sz w:val="19"/>
              </w:rPr>
              <w:t>记录异常死亡野鸟和实验室检测结果，作为现场处置和预警升级的直接信号</w:t>
            </w:r>
          </w:p>
        </w:tc>
      </w:tr>
    </w:tbl>
    <w:p w14:paraId="18728122">
      <w:pPr>
        <w:spacing w:before="280" w:after="120"/>
      </w:pPr>
      <w:r>
        <w:rPr>
          <w:rFonts w:ascii="Times New Roman" w:hAnsi="Times New Roman" w:eastAsia="黑体"/>
          <w:b/>
          <w:sz w:val="28"/>
        </w:rPr>
        <w:t>二、广东省迁徙鸟类与疫病风险基础</w:t>
      </w:r>
    </w:p>
    <w:p w14:paraId="6C0DA68F">
      <w:pPr>
        <w:spacing w:before="0" w:after="100" w:line="360" w:lineRule="auto"/>
        <w:ind w:firstLine="420"/>
      </w:pPr>
      <w:r>
        <w:rPr>
          <w:rFonts w:ascii="Times New Roman" w:hAnsi="Times New Roman" w:eastAsia="仿宋"/>
          <w:b w:val="0"/>
          <w:sz w:val="21"/>
        </w:rPr>
        <w:t>广东位于东亚—澳大利西亚候鸟</w:t>
      </w:r>
      <w:r>
        <w:rPr>
          <w:rFonts w:hint="eastAsia" w:ascii="Times New Roman" w:hAnsi="Times New Roman" w:eastAsia="仿宋"/>
          <w:b w:val="0"/>
          <w:sz w:val="21"/>
          <w:lang w:val="en-US" w:eastAsia="zh-CN"/>
        </w:rPr>
        <w:t>迁飞通道（以下简称EAAF）的中段</w:t>
      </w:r>
      <w:r>
        <w:rPr>
          <w:rFonts w:ascii="Times New Roman" w:hAnsi="Times New Roman" w:eastAsia="仿宋"/>
          <w:b w:val="0"/>
          <w:sz w:val="21"/>
        </w:rPr>
        <w:t>，为</w:t>
      </w:r>
      <w:r>
        <w:rPr>
          <w:rFonts w:hint="eastAsia" w:ascii="Times New Roman" w:hAnsi="Times New Roman" w:eastAsia="仿宋"/>
          <w:b w:val="0"/>
          <w:sz w:val="21"/>
          <w:lang w:val="en-US" w:eastAsia="zh-CN"/>
        </w:rPr>
        <w:t>大量</w:t>
      </w:r>
      <w:r>
        <w:rPr>
          <w:rFonts w:ascii="Times New Roman" w:hAnsi="Times New Roman" w:eastAsia="仿宋"/>
          <w:b w:val="0"/>
          <w:sz w:val="21"/>
        </w:rPr>
        <w:t>迁徙</w:t>
      </w:r>
      <w:r>
        <w:rPr>
          <w:rFonts w:hint="eastAsia" w:ascii="Times New Roman" w:hAnsi="Times New Roman" w:eastAsia="仿宋"/>
          <w:b w:val="0"/>
          <w:sz w:val="21"/>
          <w:lang w:val="en-US" w:eastAsia="zh-CN"/>
        </w:rPr>
        <w:t>鸟类</w:t>
      </w:r>
      <w:r>
        <w:rPr>
          <w:rFonts w:ascii="Times New Roman" w:hAnsi="Times New Roman" w:eastAsia="仿宋"/>
          <w:b w:val="0"/>
          <w:sz w:val="21"/>
        </w:rPr>
        <w:t>提供停歇</w:t>
      </w:r>
      <w:r>
        <w:rPr>
          <w:rFonts w:hint="eastAsia" w:ascii="Times New Roman" w:hAnsi="Times New Roman" w:eastAsia="仿宋"/>
          <w:b w:val="0"/>
          <w:sz w:val="21"/>
          <w:lang w:val="en-US" w:eastAsia="zh-CN"/>
        </w:rPr>
        <w:t>和</w:t>
      </w:r>
      <w:r>
        <w:rPr>
          <w:rFonts w:ascii="Times New Roman" w:hAnsi="Times New Roman" w:eastAsia="仿宋"/>
          <w:b w:val="0"/>
          <w:sz w:val="21"/>
        </w:rPr>
        <w:t>觅食场所。广东已记录野生鸟类584种，其中迁徙鸟类412种</w:t>
      </w:r>
      <w:r>
        <w:rPr>
          <w:rFonts w:hint="eastAsia" w:ascii="Times New Roman" w:hAnsi="Times New Roman" w:eastAsia="仿宋"/>
          <w:b w:val="0"/>
          <w:sz w:val="21"/>
          <w:lang w:eastAsia="zh-CN"/>
        </w:rPr>
        <w:t>（</w:t>
      </w:r>
      <w:r>
        <w:rPr>
          <w:rFonts w:hint="eastAsia" w:ascii="Times New Roman" w:hAnsi="Times New Roman" w:eastAsia="仿宋"/>
          <w:b w:val="0"/>
          <w:sz w:val="21"/>
          <w:lang w:val="en-US" w:eastAsia="zh-CN"/>
        </w:rPr>
        <w:t>张敏等，2022）</w:t>
      </w:r>
      <w:r>
        <w:rPr>
          <w:rFonts w:ascii="Times New Roman" w:hAnsi="Times New Roman" w:eastAsia="仿宋"/>
          <w:b w:val="0"/>
          <w:sz w:val="21"/>
        </w:rPr>
        <w:t>。根据Du等（2026）基于GISAID EpiFlu数据库1973—2023年共23,358株野鸟来源禽流感病毒分离株构建的全球野生鸟类宿主数据集，雁形目（雁鸭类）与鸻形目（鸻鹬类、鸥类）所占分离株比例最高，是全球禽流感的主要野鸟宿主。2026年广东省越冬水鸟同步调查记录显示，广东省水鸟共7目14科94种、15.79万只，以雁鸭类、鸻鹬类和鸥类为主，与上述主要野鸟宿主类群高度重叠，是本省迁徙鸟类禽流感监测预警的重点对象。</w:t>
      </w:r>
    </w:p>
    <w:p w14:paraId="078DA9FB">
      <w:pPr>
        <w:spacing w:before="280" w:after="120"/>
      </w:pPr>
      <w:r>
        <w:rPr>
          <w:rFonts w:ascii="Times New Roman" w:hAnsi="Times New Roman" w:eastAsia="黑体"/>
          <w:b/>
          <w:sz w:val="28"/>
        </w:rPr>
        <w:t>三、指标体系详细内容</w:t>
      </w:r>
    </w:p>
    <w:p w14:paraId="6912B3CE">
      <w:pPr>
        <w:spacing w:before="160" w:after="80"/>
      </w:pPr>
      <w:r>
        <w:rPr>
          <w:rFonts w:ascii="Times New Roman" w:hAnsi="Times New Roman" w:eastAsia="黑体"/>
          <w:b/>
          <w:sz w:val="24"/>
        </w:rPr>
        <w:t>一级指标①  外部疫情与重点病毒风险</w:t>
      </w:r>
    </w:p>
    <w:tbl>
      <w:tblPr>
        <w:tblStyle w:val="33"/>
        <w:tblW w:w="90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1587"/>
        <w:gridCol w:w="1701"/>
        <w:gridCol w:w="5190"/>
      </w:tblGrid>
      <w:tr w14:paraId="28E02561">
        <w:trPr>
          <w:jc w:val="center"/>
        </w:trPr>
        <w:tc>
          <w:tcPr>
            <w:tcW w:w="567" w:type="dxa"/>
            <w:shd w:val="clear" w:color="auto" w:fill="D9E1F2"/>
            <w:vAlign w:val="center"/>
          </w:tcPr>
          <w:p w14:paraId="5809E3F4">
            <w:pPr>
              <w:spacing w:after="0" w:line="240" w:lineRule="auto"/>
              <w:jc w:val="center"/>
            </w:pPr>
            <w:r>
              <w:rPr>
                <w:rFonts w:ascii="Times New Roman" w:hAnsi="Times New Roman" w:eastAsia="黑体"/>
                <w:b/>
                <w:sz w:val="20"/>
              </w:rPr>
              <w:t>编号</w:t>
            </w:r>
          </w:p>
        </w:tc>
        <w:tc>
          <w:tcPr>
            <w:tcW w:w="1587" w:type="dxa"/>
            <w:shd w:val="clear" w:color="auto" w:fill="D9E1F2"/>
            <w:vAlign w:val="center"/>
          </w:tcPr>
          <w:p w14:paraId="7DE8680D">
            <w:pPr>
              <w:spacing w:after="0" w:line="240" w:lineRule="auto"/>
              <w:jc w:val="center"/>
            </w:pPr>
            <w:r>
              <w:rPr>
                <w:rFonts w:ascii="Times New Roman" w:hAnsi="Times New Roman" w:eastAsia="黑体"/>
                <w:b/>
                <w:sz w:val="20"/>
              </w:rPr>
              <w:t>二级指标</w:t>
            </w:r>
          </w:p>
        </w:tc>
        <w:tc>
          <w:tcPr>
            <w:tcW w:w="1701" w:type="dxa"/>
            <w:shd w:val="clear" w:color="auto" w:fill="D9E1F2"/>
            <w:vAlign w:val="center"/>
          </w:tcPr>
          <w:p w14:paraId="0F0A9CB4">
            <w:pPr>
              <w:spacing w:after="0" w:line="240" w:lineRule="auto"/>
              <w:jc w:val="center"/>
            </w:pPr>
            <w:r>
              <w:rPr>
                <w:rFonts w:ascii="Times New Roman" w:hAnsi="Times New Roman" w:eastAsia="黑体"/>
                <w:b/>
                <w:sz w:val="20"/>
              </w:rPr>
              <w:t>观测或判定要点</w:t>
            </w:r>
          </w:p>
        </w:tc>
        <w:tc>
          <w:tcPr>
            <w:tcW w:w="5190" w:type="dxa"/>
            <w:shd w:val="clear" w:color="auto" w:fill="D9E1F2"/>
            <w:vAlign w:val="center"/>
          </w:tcPr>
          <w:p w14:paraId="4025B622">
            <w:pPr>
              <w:spacing w:after="0" w:line="240" w:lineRule="auto"/>
              <w:jc w:val="center"/>
            </w:pPr>
            <w:r>
              <w:rPr>
                <w:rFonts w:ascii="Times New Roman" w:hAnsi="Times New Roman" w:eastAsia="黑体"/>
                <w:b/>
                <w:sz w:val="20"/>
              </w:rPr>
              <w:t>赋分方法</w:t>
            </w:r>
          </w:p>
        </w:tc>
      </w:tr>
      <w:tr w14:paraId="6C1AFC20">
        <w:trPr>
          <w:jc w:val="center"/>
        </w:trPr>
        <w:tc>
          <w:tcPr>
            <w:tcW w:w="567" w:type="dxa"/>
            <w:vAlign w:val="center"/>
          </w:tcPr>
          <w:p w14:paraId="4791EB59">
            <w:pPr>
              <w:spacing w:after="0" w:line="240" w:lineRule="auto"/>
              <w:jc w:val="left"/>
            </w:pPr>
            <w:r>
              <w:rPr>
                <w:rFonts w:ascii="Times New Roman" w:hAnsi="Times New Roman" w:eastAsia="仿宋"/>
                <w:b w:val="0"/>
                <w:sz w:val="19"/>
              </w:rPr>
              <w:t>1.1</w:t>
            </w:r>
          </w:p>
        </w:tc>
        <w:tc>
          <w:tcPr>
            <w:tcW w:w="1587" w:type="dxa"/>
            <w:vAlign w:val="center"/>
          </w:tcPr>
          <w:p w14:paraId="187603A6">
            <w:pPr>
              <w:spacing w:after="0" w:line="240" w:lineRule="auto"/>
              <w:jc w:val="left"/>
            </w:pPr>
            <w:r>
              <w:rPr>
                <w:rFonts w:ascii="Times New Roman" w:hAnsi="Times New Roman" w:eastAsia="仿宋"/>
                <w:b w:val="0"/>
                <w:sz w:val="19"/>
              </w:rPr>
              <w:t>境外及省外高致病性禽流感通报情况</w:t>
            </w:r>
          </w:p>
        </w:tc>
        <w:tc>
          <w:tcPr>
            <w:tcW w:w="1701" w:type="dxa"/>
            <w:vAlign w:val="center"/>
          </w:tcPr>
          <w:p w14:paraId="026EDEFC">
            <w:pPr>
              <w:spacing w:after="0" w:line="240" w:lineRule="auto"/>
              <w:jc w:val="left"/>
            </w:pPr>
            <w:r>
              <w:rPr>
                <w:rFonts w:ascii="Times New Roman" w:hAnsi="Times New Roman" w:eastAsia="仿宋"/>
                <w:b w:val="0"/>
                <w:sz w:val="19"/>
              </w:rPr>
              <w:t>关注东亚—澳大利西亚迁飞通道沿线国家和湖南、江西、福建和广西的近期通报</w:t>
            </w:r>
          </w:p>
        </w:tc>
        <w:tc>
          <w:tcPr>
            <w:tcW w:w="5190" w:type="dxa"/>
            <w:vAlign w:val="center"/>
          </w:tcPr>
          <w:p w14:paraId="7661A1BB">
            <w:pPr>
              <w:spacing w:after="0" w:line="240" w:lineRule="auto"/>
              <w:jc w:val="left"/>
            </w:pPr>
            <w:r>
              <w:rPr>
                <w:rFonts w:ascii="Times New Roman" w:hAnsi="Times New Roman" w:eastAsia="仿宋"/>
                <w:b w:val="0"/>
                <w:sz w:val="19"/>
              </w:rPr>
              <w:t>5分：近3个月内，</w:t>
            </w:r>
            <w:r>
              <w:rPr>
                <w:rFonts w:hint="eastAsia" w:ascii="Times New Roman" w:hAnsi="Times New Roman" w:eastAsia="仿宋"/>
                <w:b w:val="0"/>
                <w:sz w:val="21"/>
                <w:lang w:val="en-US" w:eastAsia="zh-CN"/>
              </w:rPr>
              <w:t>EAAF</w:t>
            </w:r>
            <w:r>
              <w:rPr>
                <w:rFonts w:ascii="Times New Roman" w:hAnsi="Times New Roman" w:eastAsia="仿宋"/>
                <w:b w:val="0"/>
                <w:sz w:val="19"/>
              </w:rPr>
              <w:t>沿线国家或相邻/相关省区出现多起高致病性禽流感通报，且呈持续或扩散趋势。</w:t>
            </w:r>
            <w:r>
              <w:rPr>
                <w:rFonts w:ascii="Times New Roman" w:hAnsi="Times New Roman" w:eastAsia="仿宋"/>
                <w:b w:val="0"/>
                <w:sz w:val="19"/>
              </w:rPr>
              <w:br w:type="textWrapping"/>
            </w:r>
            <w:r>
              <w:rPr>
                <w:rFonts w:ascii="Times New Roman" w:hAnsi="Times New Roman" w:eastAsia="仿宋"/>
                <w:b w:val="0"/>
                <w:sz w:val="19"/>
              </w:rPr>
              <w:t>4分：近3个月内相关国家或省区有多起</w:t>
            </w:r>
            <w:r>
              <w:rPr>
                <w:rFonts w:hint="eastAsia" w:ascii="Times New Roman" w:hAnsi="Times New Roman" w:eastAsia="仿宋"/>
                <w:b w:val="0"/>
                <w:sz w:val="19"/>
                <w:lang w:eastAsia="zh-CN"/>
              </w:rPr>
              <w:t>（</w:t>
            </w:r>
            <w:r>
              <w:rPr>
                <w:rFonts w:hint="eastAsia" w:ascii="Times New Roman" w:hAnsi="Times New Roman" w:eastAsia="仿宋"/>
                <w:b w:val="0"/>
                <w:sz w:val="19"/>
                <w:lang w:val="en-US" w:eastAsia="zh-CN"/>
              </w:rPr>
              <w:t>＞5</w:t>
            </w:r>
            <w:r>
              <w:rPr>
                <w:rFonts w:hint="eastAsia" w:ascii="Times New Roman" w:hAnsi="Times New Roman" w:eastAsia="仿宋"/>
                <w:b w:val="0"/>
                <w:sz w:val="19"/>
                <w:lang w:eastAsia="zh-CN"/>
              </w:rPr>
              <w:t>）</w:t>
            </w:r>
            <w:r>
              <w:rPr>
                <w:rFonts w:ascii="Times New Roman" w:hAnsi="Times New Roman" w:eastAsia="仿宋"/>
                <w:b w:val="0"/>
                <w:sz w:val="19"/>
              </w:rPr>
              <w:t>通报，但范围相对集中，未见明显扩散。</w:t>
            </w:r>
            <w:r>
              <w:rPr>
                <w:rFonts w:ascii="Times New Roman" w:hAnsi="Times New Roman" w:eastAsia="仿宋"/>
                <w:b w:val="0"/>
                <w:sz w:val="19"/>
              </w:rPr>
              <w:br w:type="textWrapping"/>
            </w:r>
            <w:r>
              <w:rPr>
                <w:rFonts w:ascii="Times New Roman" w:hAnsi="Times New Roman" w:eastAsia="仿宋"/>
                <w:b w:val="0"/>
                <w:sz w:val="19"/>
              </w:rPr>
              <w:t>3分：近6个月内相关国家或省区有零星</w:t>
            </w:r>
            <w:r>
              <w:rPr>
                <w:rFonts w:hint="eastAsia" w:ascii="Times New Roman" w:hAnsi="Times New Roman" w:eastAsia="仿宋"/>
                <w:b w:val="0"/>
                <w:sz w:val="19"/>
                <w:lang w:eastAsia="zh-CN"/>
              </w:rPr>
              <w:t>（</w:t>
            </w:r>
            <w:r>
              <w:rPr>
                <w:rFonts w:hint="eastAsia" w:ascii="Times New Roman" w:hAnsi="Times New Roman" w:eastAsia="仿宋"/>
                <w:b w:val="0"/>
                <w:sz w:val="19"/>
                <w:lang w:val="en-US" w:eastAsia="zh-CN"/>
              </w:rPr>
              <w:t>≤5</w:t>
            </w:r>
            <w:r>
              <w:rPr>
                <w:rFonts w:hint="eastAsia" w:ascii="Times New Roman" w:hAnsi="Times New Roman" w:eastAsia="仿宋"/>
                <w:b w:val="0"/>
                <w:sz w:val="19"/>
                <w:lang w:eastAsia="zh-CN"/>
              </w:rPr>
              <w:t>）</w:t>
            </w:r>
            <w:r>
              <w:rPr>
                <w:rFonts w:ascii="Times New Roman" w:hAnsi="Times New Roman" w:eastAsia="仿宋"/>
                <w:b w:val="0"/>
                <w:sz w:val="19"/>
              </w:rPr>
              <w:t>通报。</w:t>
            </w:r>
            <w:r>
              <w:rPr>
                <w:rFonts w:ascii="Times New Roman" w:hAnsi="Times New Roman" w:eastAsia="仿宋"/>
                <w:b w:val="0"/>
                <w:sz w:val="19"/>
              </w:rPr>
              <w:br w:type="textWrapping"/>
            </w:r>
            <w:r>
              <w:rPr>
                <w:rFonts w:ascii="Times New Roman" w:hAnsi="Times New Roman" w:eastAsia="仿宋"/>
                <w:b w:val="0"/>
                <w:sz w:val="19"/>
              </w:rPr>
              <w:t>2分：近6个月内无直接相关区域通报，但周边区域或迁飞通道其他区域有零星</w:t>
            </w:r>
            <w:r>
              <w:rPr>
                <w:rFonts w:hint="eastAsia" w:ascii="Times New Roman" w:hAnsi="Times New Roman" w:eastAsia="仿宋"/>
                <w:b w:val="0"/>
                <w:sz w:val="19"/>
                <w:lang w:eastAsia="zh-CN"/>
              </w:rPr>
              <w:t>（</w:t>
            </w:r>
            <w:r>
              <w:rPr>
                <w:rFonts w:hint="eastAsia" w:ascii="Times New Roman" w:hAnsi="Times New Roman" w:eastAsia="仿宋"/>
                <w:b w:val="0"/>
                <w:sz w:val="19"/>
                <w:lang w:val="en-US" w:eastAsia="zh-CN"/>
              </w:rPr>
              <w:t>≤5</w:t>
            </w:r>
            <w:r>
              <w:rPr>
                <w:rFonts w:hint="eastAsia" w:ascii="Times New Roman" w:hAnsi="Times New Roman" w:eastAsia="仿宋"/>
                <w:b w:val="0"/>
                <w:sz w:val="19"/>
                <w:lang w:eastAsia="zh-CN"/>
              </w:rPr>
              <w:t>）</w:t>
            </w:r>
            <w:r>
              <w:rPr>
                <w:rFonts w:ascii="Times New Roman" w:hAnsi="Times New Roman" w:eastAsia="仿宋"/>
                <w:b w:val="0"/>
                <w:sz w:val="19"/>
              </w:rPr>
              <w:t>通报。</w:t>
            </w:r>
            <w:r>
              <w:rPr>
                <w:rFonts w:ascii="Times New Roman" w:hAnsi="Times New Roman" w:eastAsia="仿宋"/>
                <w:b w:val="0"/>
                <w:sz w:val="19"/>
              </w:rPr>
              <w:br w:type="textWrapping"/>
            </w:r>
            <w:r>
              <w:rPr>
                <w:rFonts w:ascii="Times New Roman" w:hAnsi="Times New Roman" w:eastAsia="仿宋"/>
                <w:b w:val="0"/>
                <w:sz w:val="19"/>
              </w:rPr>
              <w:t>1分：近6个月内未见相关区域高致病性禽流感通报。</w:t>
            </w:r>
          </w:p>
        </w:tc>
      </w:tr>
      <w:tr w14:paraId="7719D31C">
        <w:trPr>
          <w:jc w:val="center"/>
        </w:trPr>
        <w:tc>
          <w:tcPr>
            <w:tcW w:w="567" w:type="dxa"/>
            <w:vAlign w:val="center"/>
          </w:tcPr>
          <w:p w14:paraId="3408DA47">
            <w:pPr>
              <w:spacing w:after="0" w:line="240" w:lineRule="auto"/>
              <w:jc w:val="left"/>
            </w:pPr>
            <w:r>
              <w:rPr>
                <w:rFonts w:ascii="Times New Roman" w:hAnsi="Times New Roman" w:eastAsia="仿宋"/>
                <w:b w:val="0"/>
                <w:sz w:val="19"/>
              </w:rPr>
              <w:t>1.2</w:t>
            </w:r>
          </w:p>
        </w:tc>
        <w:tc>
          <w:tcPr>
            <w:tcW w:w="1587" w:type="dxa"/>
            <w:vAlign w:val="center"/>
          </w:tcPr>
          <w:p w14:paraId="1157E7C5">
            <w:pPr>
              <w:spacing w:after="0" w:line="240" w:lineRule="auto"/>
              <w:jc w:val="left"/>
            </w:pPr>
            <w:r>
              <w:rPr>
                <w:rFonts w:ascii="Times New Roman" w:hAnsi="Times New Roman" w:eastAsia="仿宋"/>
                <w:b w:val="0"/>
                <w:sz w:val="19"/>
              </w:rPr>
              <w:t>H5/H7等重点亚型或新近变异株风险</w:t>
            </w:r>
          </w:p>
        </w:tc>
        <w:tc>
          <w:tcPr>
            <w:tcW w:w="1701" w:type="dxa"/>
            <w:vAlign w:val="center"/>
          </w:tcPr>
          <w:p w14:paraId="0BF45705">
            <w:pPr>
              <w:spacing w:after="0" w:line="240" w:lineRule="auto"/>
              <w:jc w:val="left"/>
            </w:pPr>
            <w:r>
              <w:rPr>
                <w:rFonts w:ascii="Times New Roman" w:hAnsi="Times New Roman" w:eastAsia="仿宋"/>
                <w:b w:val="0"/>
                <w:sz w:val="19"/>
              </w:rPr>
              <w:t>重点关注H5、H7亚型及国家或省级主管部门列为重点关注的病毒株</w:t>
            </w:r>
          </w:p>
        </w:tc>
        <w:tc>
          <w:tcPr>
            <w:tcW w:w="5190" w:type="dxa"/>
            <w:vAlign w:val="center"/>
          </w:tcPr>
          <w:p w14:paraId="7E403667">
            <w:pPr>
              <w:spacing w:after="0" w:line="240" w:lineRule="auto"/>
              <w:jc w:val="left"/>
            </w:pPr>
            <w:r>
              <w:rPr>
                <w:rFonts w:ascii="Times New Roman" w:hAnsi="Times New Roman" w:eastAsia="仿宋"/>
                <w:b w:val="0"/>
                <w:sz w:val="19"/>
              </w:rPr>
              <w:t>5分：相关区域检出H5/H7等重点亚型，且为高致病性毒株、新近变异株，或被国家/省级主管部门列为重点关注。</w:t>
            </w:r>
            <w:r>
              <w:rPr>
                <w:rFonts w:ascii="Times New Roman" w:hAnsi="Times New Roman" w:eastAsia="仿宋"/>
                <w:b w:val="0"/>
                <w:sz w:val="19"/>
              </w:rPr>
              <w:br w:type="textWrapping"/>
            </w:r>
            <w:r>
              <w:rPr>
                <w:rFonts w:ascii="Times New Roman" w:hAnsi="Times New Roman" w:eastAsia="仿宋"/>
                <w:b w:val="0"/>
                <w:sz w:val="19"/>
              </w:rPr>
              <w:t>4分：相关区域检出H5/H7等重点亚型，但暂未提示明显变异或传播扩散增强。</w:t>
            </w:r>
            <w:r>
              <w:rPr>
                <w:rFonts w:ascii="Times New Roman" w:hAnsi="Times New Roman" w:eastAsia="仿宋"/>
                <w:b w:val="0"/>
                <w:sz w:val="19"/>
              </w:rPr>
              <w:br w:type="textWrapping"/>
            </w:r>
            <w:r>
              <w:rPr>
                <w:rFonts w:ascii="Times New Roman" w:hAnsi="Times New Roman" w:eastAsia="仿宋"/>
                <w:b w:val="0"/>
                <w:sz w:val="19"/>
              </w:rPr>
              <w:t>3分：相关区域检出禽流感病毒，亚型具有一定关注价值，但不属于当前重点关注毒株。</w:t>
            </w:r>
            <w:r>
              <w:rPr>
                <w:rFonts w:ascii="Times New Roman" w:hAnsi="Times New Roman" w:eastAsia="仿宋"/>
                <w:b w:val="0"/>
                <w:sz w:val="19"/>
              </w:rPr>
              <w:br w:type="textWrapping"/>
            </w:r>
            <w:r>
              <w:rPr>
                <w:rFonts w:ascii="Times New Roman" w:hAnsi="Times New Roman" w:eastAsia="仿宋"/>
                <w:b w:val="0"/>
                <w:sz w:val="19"/>
              </w:rPr>
              <w:t>2分：仅有一般性禽流感病毒检出信息，未涉及H5/H7或重点关注毒株。</w:t>
            </w:r>
            <w:r>
              <w:rPr>
                <w:rFonts w:ascii="Times New Roman" w:hAnsi="Times New Roman" w:eastAsia="仿宋"/>
                <w:b w:val="0"/>
                <w:sz w:val="19"/>
              </w:rPr>
              <w:br w:type="textWrapping"/>
            </w:r>
            <w:r>
              <w:rPr>
                <w:rFonts w:ascii="Times New Roman" w:hAnsi="Times New Roman" w:eastAsia="仿宋"/>
                <w:b w:val="0"/>
                <w:sz w:val="19"/>
              </w:rPr>
              <w:t>1分：近期未见相关区域重点亚型或禽流感病毒检出信息。</w:t>
            </w:r>
          </w:p>
        </w:tc>
      </w:tr>
      <w:tr w14:paraId="5FF5CF8D">
        <w:trPr>
          <w:jc w:val="center"/>
        </w:trPr>
        <w:tc>
          <w:tcPr>
            <w:tcW w:w="567" w:type="dxa"/>
            <w:vAlign w:val="center"/>
          </w:tcPr>
          <w:p w14:paraId="259FB4D0">
            <w:pPr>
              <w:spacing w:after="0" w:line="240" w:lineRule="auto"/>
              <w:jc w:val="left"/>
            </w:pPr>
            <w:r>
              <w:rPr>
                <w:rFonts w:ascii="Times New Roman" w:hAnsi="Times New Roman" w:eastAsia="仿宋"/>
                <w:b w:val="0"/>
                <w:sz w:val="19"/>
              </w:rPr>
              <w:t>1.3</w:t>
            </w:r>
          </w:p>
        </w:tc>
        <w:tc>
          <w:tcPr>
            <w:tcW w:w="1587" w:type="dxa"/>
            <w:vAlign w:val="center"/>
          </w:tcPr>
          <w:p w14:paraId="361AD053">
            <w:pPr>
              <w:spacing w:after="0" w:line="240" w:lineRule="auto"/>
              <w:jc w:val="left"/>
            </w:pPr>
            <w:r>
              <w:rPr>
                <w:rFonts w:ascii="Times New Roman" w:hAnsi="Times New Roman" w:eastAsia="仿宋"/>
                <w:b w:val="0"/>
                <w:sz w:val="19"/>
              </w:rPr>
              <w:t>迁飞通道与疫情区域重叠程度</w:t>
            </w:r>
          </w:p>
        </w:tc>
        <w:tc>
          <w:tcPr>
            <w:tcW w:w="1701" w:type="dxa"/>
            <w:vAlign w:val="center"/>
          </w:tcPr>
          <w:p w14:paraId="12DBD7A8">
            <w:pPr>
              <w:spacing w:after="0" w:line="240" w:lineRule="auto"/>
              <w:jc w:val="left"/>
            </w:pPr>
            <w:r>
              <w:rPr>
                <w:rFonts w:ascii="Times New Roman" w:hAnsi="Times New Roman" w:eastAsia="仿宋"/>
                <w:b w:val="0"/>
                <w:sz w:val="19"/>
              </w:rPr>
              <w:t>候鸟来源地、停歇地与疫情区域是否在同一迁飞通道或相邻水系</w:t>
            </w:r>
          </w:p>
        </w:tc>
        <w:tc>
          <w:tcPr>
            <w:tcW w:w="5190" w:type="dxa"/>
            <w:vAlign w:val="center"/>
          </w:tcPr>
          <w:p w14:paraId="1CC4E8AE">
            <w:pPr>
              <w:spacing w:after="0" w:line="240" w:lineRule="auto"/>
              <w:jc w:val="left"/>
            </w:pPr>
            <w:r>
              <w:rPr>
                <w:rFonts w:ascii="Times New Roman" w:hAnsi="Times New Roman" w:eastAsia="仿宋"/>
                <w:b w:val="0"/>
                <w:sz w:val="19"/>
              </w:rPr>
              <w:t>5分：本地候鸟来源地、停歇地或越冬地与疫情区域高度重叠，位于同一迁飞通道或相同/相邻水系，存在明确迁徙联系。</w:t>
            </w:r>
            <w:r>
              <w:rPr>
                <w:rFonts w:ascii="Times New Roman" w:hAnsi="Times New Roman" w:eastAsia="仿宋"/>
                <w:b w:val="0"/>
                <w:sz w:val="19"/>
              </w:rPr>
              <w:br w:type="textWrapping"/>
            </w:r>
            <w:r>
              <w:rPr>
                <w:rFonts w:ascii="Times New Roman" w:hAnsi="Times New Roman" w:eastAsia="仿宋"/>
                <w:b w:val="0"/>
                <w:sz w:val="19"/>
              </w:rPr>
              <w:t>4分：本地候鸟迁飞路径与疫情区域存在较强空间邻近或生态连通关系。</w:t>
            </w:r>
            <w:r>
              <w:rPr>
                <w:rFonts w:ascii="Times New Roman" w:hAnsi="Times New Roman" w:eastAsia="仿宋"/>
                <w:b w:val="0"/>
                <w:sz w:val="19"/>
              </w:rPr>
              <w:br w:type="textWrapping"/>
            </w:r>
            <w:r>
              <w:rPr>
                <w:rFonts w:ascii="Times New Roman" w:hAnsi="Times New Roman" w:eastAsia="仿宋"/>
                <w:b w:val="0"/>
                <w:sz w:val="19"/>
              </w:rPr>
              <w:t>3分：本地候鸟迁飞路径与疫情区域存在一定关联，但重叠程度有限或证据不充分。</w:t>
            </w:r>
            <w:r>
              <w:rPr>
                <w:rFonts w:ascii="Times New Roman" w:hAnsi="Times New Roman" w:eastAsia="仿宋"/>
                <w:b w:val="0"/>
                <w:sz w:val="19"/>
              </w:rPr>
              <w:br w:type="textWrapping"/>
            </w:r>
            <w:r>
              <w:rPr>
                <w:rFonts w:ascii="Times New Roman" w:hAnsi="Times New Roman" w:eastAsia="仿宋"/>
                <w:b w:val="0"/>
                <w:sz w:val="19"/>
              </w:rPr>
              <w:t>2分：疫情区域与本地迁飞路径距离较远，仅存在间接迁飞或水系关联。</w:t>
            </w:r>
            <w:r>
              <w:rPr>
                <w:rFonts w:ascii="Times New Roman" w:hAnsi="Times New Roman" w:eastAsia="仿宋"/>
                <w:b w:val="0"/>
                <w:sz w:val="19"/>
              </w:rPr>
              <w:br w:type="textWrapping"/>
            </w:r>
            <w:r>
              <w:rPr>
                <w:rFonts w:ascii="Times New Roman" w:hAnsi="Times New Roman" w:eastAsia="仿宋"/>
                <w:b w:val="0"/>
                <w:sz w:val="19"/>
              </w:rPr>
              <w:t>1分：疫情区域与本地候鸟迁飞路径、停歇地及水系关联弱或无明确关联。</w:t>
            </w:r>
          </w:p>
        </w:tc>
      </w:tr>
    </w:tbl>
    <w:p w14:paraId="136B1024">
      <w:pPr>
        <w:spacing w:before="160" w:after="80"/>
      </w:pPr>
      <w:r>
        <w:rPr>
          <w:rFonts w:ascii="Times New Roman" w:hAnsi="Times New Roman" w:eastAsia="黑体"/>
          <w:b/>
          <w:sz w:val="24"/>
        </w:rPr>
        <w:t>一级指标②  禽流感易感度</w:t>
      </w:r>
    </w:p>
    <w:tbl>
      <w:tblPr>
        <w:tblStyle w:val="33"/>
        <w:tblW w:w="90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1587"/>
        <w:gridCol w:w="1701"/>
        <w:gridCol w:w="5235"/>
      </w:tblGrid>
      <w:tr w14:paraId="62CCD081">
        <w:trPr>
          <w:jc w:val="center"/>
        </w:trPr>
        <w:tc>
          <w:tcPr>
            <w:tcW w:w="567" w:type="dxa"/>
            <w:shd w:val="clear" w:color="auto" w:fill="D9E1F2"/>
            <w:vAlign w:val="center"/>
          </w:tcPr>
          <w:p w14:paraId="165B6E49">
            <w:pPr>
              <w:spacing w:after="0" w:line="240" w:lineRule="auto"/>
              <w:jc w:val="center"/>
            </w:pPr>
            <w:r>
              <w:rPr>
                <w:rFonts w:ascii="Times New Roman" w:hAnsi="Times New Roman" w:eastAsia="黑体"/>
                <w:b/>
                <w:sz w:val="20"/>
              </w:rPr>
              <w:t>编号</w:t>
            </w:r>
          </w:p>
        </w:tc>
        <w:tc>
          <w:tcPr>
            <w:tcW w:w="1587" w:type="dxa"/>
            <w:shd w:val="clear" w:color="auto" w:fill="D9E1F2"/>
            <w:vAlign w:val="center"/>
          </w:tcPr>
          <w:p w14:paraId="727BAA34">
            <w:pPr>
              <w:spacing w:after="0" w:line="240" w:lineRule="auto"/>
              <w:jc w:val="center"/>
            </w:pPr>
            <w:r>
              <w:rPr>
                <w:rFonts w:ascii="Times New Roman" w:hAnsi="Times New Roman" w:eastAsia="黑体"/>
                <w:b/>
                <w:sz w:val="20"/>
              </w:rPr>
              <w:t>二级指标</w:t>
            </w:r>
          </w:p>
        </w:tc>
        <w:tc>
          <w:tcPr>
            <w:tcW w:w="1701" w:type="dxa"/>
            <w:shd w:val="clear" w:color="auto" w:fill="D9E1F2"/>
            <w:vAlign w:val="center"/>
          </w:tcPr>
          <w:p w14:paraId="1F1281A5">
            <w:pPr>
              <w:spacing w:after="0" w:line="240" w:lineRule="auto"/>
              <w:jc w:val="center"/>
            </w:pPr>
            <w:r>
              <w:rPr>
                <w:rFonts w:ascii="Times New Roman" w:hAnsi="Times New Roman" w:eastAsia="黑体"/>
                <w:b/>
                <w:sz w:val="20"/>
              </w:rPr>
              <w:t>观测或判定要点</w:t>
            </w:r>
          </w:p>
        </w:tc>
        <w:tc>
          <w:tcPr>
            <w:tcW w:w="5235" w:type="dxa"/>
            <w:shd w:val="clear" w:color="auto" w:fill="D9E1F2"/>
            <w:vAlign w:val="center"/>
          </w:tcPr>
          <w:p w14:paraId="58CDE3BB">
            <w:pPr>
              <w:spacing w:after="0" w:line="240" w:lineRule="auto"/>
              <w:jc w:val="center"/>
            </w:pPr>
            <w:r>
              <w:rPr>
                <w:rFonts w:ascii="Times New Roman" w:hAnsi="Times New Roman" w:eastAsia="黑体"/>
                <w:b/>
                <w:sz w:val="20"/>
              </w:rPr>
              <w:t>赋分方法</w:t>
            </w:r>
          </w:p>
        </w:tc>
      </w:tr>
      <w:tr w14:paraId="56AE9253">
        <w:trPr>
          <w:jc w:val="center"/>
        </w:trPr>
        <w:tc>
          <w:tcPr>
            <w:tcW w:w="567" w:type="dxa"/>
            <w:vAlign w:val="center"/>
          </w:tcPr>
          <w:p w14:paraId="6853A838">
            <w:pPr>
              <w:spacing w:after="0" w:line="240" w:lineRule="auto"/>
              <w:jc w:val="left"/>
            </w:pPr>
            <w:r>
              <w:rPr>
                <w:rFonts w:ascii="Times New Roman" w:hAnsi="Times New Roman" w:eastAsia="仿宋"/>
                <w:b w:val="0"/>
                <w:sz w:val="19"/>
              </w:rPr>
              <w:t>2.1</w:t>
            </w:r>
          </w:p>
        </w:tc>
        <w:tc>
          <w:tcPr>
            <w:tcW w:w="1587" w:type="dxa"/>
            <w:vAlign w:val="center"/>
          </w:tcPr>
          <w:p w14:paraId="5EF67A26">
            <w:pPr>
              <w:spacing w:after="0" w:line="240" w:lineRule="auto"/>
              <w:jc w:val="left"/>
            </w:pPr>
            <w:r>
              <w:rPr>
                <w:rFonts w:ascii="Times New Roman" w:hAnsi="Times New Roman" w:eastAsia="仿宋"/>
                <w:b w:val="0"/>
                <w:sz w:val="19"/>
              </w:rPr>
              <w:t>鸟类禽流感易感度</w:t>
            </w:r>
          </w:p>
        </w:tc>
        <w:tc>
          <w:tcPr>
            <w:tcW w:w="1701" w:type="dxa"/>
            <w:vAlign w:val="center"/>
          </w:tcPr>
          <w:p w14:paraId="38AB62F1">
            <w:pPr>
              <w:spacing w:after="0" w:line="240" w:lineRule="auto"/>
              <w:jc w:val="left"/>
            </w:pPr>
            <w:r>
              <w:rPr>
                <w:rFonts w:ascii="Times New Roman" w:hAnsi="Times New Roman" w:eastAsia="仿宋"/>
                <w:b w:val="0"/>
                <w:sz w:val="19"/>
              </w:rPr>
              <w:t>基于全球野鸟禽流感宿主数据集，对当地观察到的鸟类按数据集中分离株数加权，得出区域综合易感强度；雁形目、鸻形目占比越高，区域易感性越强</w:t>
            </w:r>
          </w:p>
        </w:tc>
        <w:tc>
          <w:tcPr>
            <w:tcW w:w="5235" w:type="dxa"/>
            <w:vAlign w:val="center"/>
          </w:tcPr>
          <w:p w14:paraId="74468818">
            <w:pPr>
              <w:spacing w:after="0" w:line="240" w:lineRule="auto"/>
              <w:jc w:val="left"/>
            </w:pPr>
            <w:r>
              <w:rPr>
                <w:rFonts w:ascii="Times New Roman" w:hAnsi="Times New Roman" w:eastAsia="仿宋"/>
                <w:b w:val="0"/>
                <w:sz w:val="19"/>
              </w:rPr>
              <w:t>对于每个物种的易感指数Bi：</w:t>
            </w:r>
            <w:r>
              <w:rPr>
                <w:rFonts w:ascii="Times New Roman" w:hAnsi="Times New Roman" w:eastAsia="仿宋"/>
                <w:b w:val="0"/>
                <w:sz w:val="19"/>
              </w:rPr>
              <w:br w:type="textWrapping"/>
            </w:r>
            <w:r>
              <w:rPr>
                <w:rFonts w:ascii="Times New Roman" w:hAnsi="Times New Roman" w:eastAsia="仿宋"/>
                <w:b w:val="0"/>
                <w:sz w:val="19"/>
              </w:rPr>
              <w:t>5分：分离株数 ≥1000</w:t>
            </w:r>
            <w:r>
              <w:rPr>
                <w:rFonts w:ascii="Times New Roman" w:hAnsi="Times New Roman" w:eastAsia="仿宋"/>
                <w:b w:val="0"/>
                <w:sz w:val="19"/>
              </w:rPr>
              <w:br w:type="textWrapping"/>
            </w:r>
            <w:r>
              <w:rPr>
                <w:rFonts w:ascii="Times New Roman" w:hAnsi="Times New Roman" w:eastAsia="仿宋"/>
                <w:b w:val="0"/>
                <w:sz w:val="19"/>
              </w:rPr>
              <w:t>4分：分离株数 100–999</w:t>
            </w:r>
            <w:r>
              <w:rPr>
                <w:rFonts w:ascii="Times New Roman" w:hAnsi="Times New Roman" w:eastAsia="仿宋"/>
                <w:b w:val="0"/>
                <w:sz w:val="19"/>
              </w:rPr>
              <w:br w:type="textWrapping"/>
            </w:r>
            <w:r>
              <w:rPr>
                <w:rFonts w:ascii="Times New Roman" w:hAnsi="Times New Roman" w:eastAsia="仿宋"/>
                <w:b w:val="0"/>
                <w:sz w:val="19"/>
              </w:rPr>
              <w:t>3分：分离株数 10–99；或属优先关注类群但无感染记录</w:t>
            </w:r>
            <w:r>
              <w:rPr>
                <w:rFonts w:ascii="Times New Roman" w:hAnsi="Times New Roman" w:eastAsia="仿宋"/>
                <w:b w:val="0"/>
                <w:sz w:val="19"/>
              </w:rPr>
              <w:br w:type="textWrapping"/>
            </w:r>
            <w:r>
              <w:rPr>
                <w:rFonts w:ascii="Times New Roman" w:hAnsi="Times New Roman" w:eastAsia="仿宋"/>
                <w:b w:val="0"/>
                <w:sz w:val="19"/>
              </w:rPr>
              <w:t>2分：分离株数 1–9；或无感染记录但属湿地活动鸟类</w:t>
            </w:r>
            <w:r>
              <w:rPr>
                <w:rFonts w:ascii="Times New Roman" w:hAnsi="Times New Roman" w:eastAsia="仿宋"/>
                <w:b w:val="0"/>
                <w:sz w:val="19"/>
              </w:rPr>
              <w:br w:type="textWrapping"/>
            </w:r>
            <w:r>
              <w:rPr>
                <w:rFonts w:ascii="Times New Roman" w:hAnsi="Times New Roman" w:eastAsia="仿宋"/>
                <w:b w:val="0"/>
                <w:sz w:val="19"/>
              </w:rPr>
              <w:t>1分：无感染记录，且与湿地生境关联弱</w:t>
            </w:r>
            <w:r>
              <w:rPr>
                <w:rFonts w:ascii="Times New Roman" w:hAnsi="Times New Roman" w:eastAsia="仿宋"/>
                <w:b w:val="0"/>
                <w:sz w:val="19"/>
              </w:rPr>
              <w:br w:type="textWrapping"/>
            </w:r>
            <w:r>
              <w:rPr>
                <w:rFonts w:ascii="Times New Roman" w:hAnsi="Times New Roman" w:eastAsia="仿宋"/>
                <w:b w:val="0"/>
                <w:sz w:val="19"/>
              </w:rPr>
              <w:t>区域综合易感指数 = Σ(Nᵢ × Bᵢ) / Σ(Nᵢ)，其中Nᵢ为物种i的同步监测数量，结果为1–5之间的连续值</w:t>
            </w:r>
          </w:p>
        </w:tc>
      </w:tr>
    </w:tbl>
    <w:p w14:paraId="5A8CF515">
      <w:pPr>
        <w:spacing w:before="160" w:after="80"/>
      </w:pPr>
      <w:r>
        <w:rPr>
          <w:rFonts w:ascii="Times New Roman" w:hAnsi="Times New Roman" w:eastAsia="黑体"/>
          <w:b/>
          <w:sz w:val="24"/>
        </w:rPr>
        <w:t>一级指标③  人禽接触</w:t>
      </w:r>
    </w:p>
    <w:tbl>
      <w:tblPr>
        <w:tblStyle w:val="33"/>
        <w:tblW w:w="91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1587"/>
        <w:gridCol w:w="1701"/>
        <w:gridCol w:w="5256"/>
      </w:tblGrid>
      <w:tr w14:paraId="368E887D">
        <w:trPr>
          <w:jc w:val="center"/>
        </w:trPr>
        <w:tc>
          <w:tcPr>
            <w:tcW w:w="567" w:type="dxa"/>
            <w:shd w:val="clear" w:color="auto" w:fill="D9E1F2"/>
            <w:vAlign w:val="center"/>
          </w:tcPr>
          <w:p w14:paraId="5E659EBD">
            <w:pPr>
              <w:spacing w:after="0" w:line="240" w:lineRule="auto"/>
              <w:jc w:val="center"/>
            </w:pPr>
            <w:r>
              <w:rPr>
                <w:rFonts w:ascii="Times New Roman" w:hAnsi="Times New Roman" w:eastAsia="黑体"/>
                <w:b/>
                <w:sz w:val="20"/>
              </w:rPr>
              <w:t>编号</w:t>
            </w:r>
          </w:p>
        </w:tc>
        <w:tc>
          <w:tcPr>
            <w:tcW w:w="1587" w:type="dxa"/>
            <w:shd w:val="clear" w:color="auto" w:fill="D9E1F2"/>
            <w:vAlign w:val="center"/>
          </w:tcPr>
          <w:p w14:paraId="0654D80E">
            <w:pPr>
              <w:spacing w:after="0" w:line="240" w:lineRule="auto"/>
              <w:jc w:val="center"/>
            </w:pPr>
            <w:r>
              <w:rPr>
                <w:rFonts w:ascii="Times New Roman" w:hAnsi="Times New Roman" w:eastAsia="黑体"/>
                <w:b/>
                <w:sz w:val="20"/>
              </w:rPr>
              <w:t>二级指标</w:t>
            </w:r>
          </w:p>
        </w:tc>
        <w:tc>
          <w:tcPr>
            <w:tcW w:w="1701" w:type="dxa"/>
            <w:shd w:val="clear" w:color="auto" w:fill="D9E1F2"/>
            <w:vAlign w:val="center"/>
          </w:tcPr>
          <w:p w14:paraId="415F64D3">
            <w:pPr>
              <w:spacing w:after="0" w:line="240" w:lineRule="auto"/>
              <w:jc w:val="center"/>
            </w:pPr>
            <w:r>
              <w:rPr>
                <w:rFonts w:ascii="Times New Roman" w:hAnsi="Times New Roman" w:eastAsia="黑体"/>
                <w:b/>
                <w:sz w:val="20"/>
              </w:rPr>
              <w:t>观测或判定要点</w:t>
            </w:r>
          </w:p>
        </w:tc>
        <w:tc>
          <w:tcPr>
            <w:tcW w:w="5256" w:type="dxa"/>
            <w:shd w:val="clear" w:color="auto" w:fill="D9E1F2"/>
            <w:vAlign w:val="center"/>
          </w:tcPr>
          <w:p w14:paraId="3BDF2138">
            <w:pPr>
              <w:spacing w:after="0" w:line="240" w:lineRule="auto"/>
              <w:jc w:val="center"/>
            </w:pPr>
            <w:r>
              <w:rPr>
                <w:rFonts w:ascii="Times New Roman" w:hAnsi="Times New Roman" w:eastAsia="黑体"/>
                <w:b/>
                <w:sz w:val="20"/>
              </w:rPr>
              <w:t>赋分方法</w:t>
            </w:r>
          </w:p>
        </w:tc>
      </w:tr>
      <w:tr w14:paraId="3969A368">
        <w:trPr>
          <w:jc w:val="center"/>
        </w:trPr>
        <w:tc>
          <w:tcPr>
            <w:tcW w:w="567" w:type="dxa"/>
            <w:vAlign w:val="center"/>
          </w:tcPr>
          <w:p w14:paraId="350D0278">
            <w:pPr>
              <w:spacing w:after="0" w:line="240" w:lineRule="auto"/>
              <w:jc w:val="left"/>
            </w:pPr>
            <w:r>
              <w:rPr>
                <w:rFonts w:ascii="Times New Roman" w:hAnsi="Times New Roman" w:eastAsia="仿宋"/>
                <w:b w:val="0"/>
                <w:sz w:val="19"/>
              </w:rPr>
              <w:t>3.1</w:t>
            </w:r>
          </w:p>
        </w:tc>
        <w:tc>
          <w:tcPr>
            <w:tcW w:w="1587" w:type="dxa"/>
            <w:vAlign w:val="center"/>
          </w:tcPr>
          <w:p w14:paraId="0ADB01CE">
            <w:pPr>
              <w:spacing w:after="0" w:line="240" w:lineRule="auto"/>
              <w:jc w:val="left"/>
            </w:pPr>
            <w:r>
              <w:rPr>
                <w:rFonts w:ascii="Times New Roman" w:hAnsi="Times New Roman" w:eastAsia="仿宋"/>
                <w:b w:val="0"/>
                <w:sz w:val="19"/>
              </w:rPr>
              <w:t>候鸟与家禽共存场景</w:t>
            </w:r>
          </w:p>
        </w:tc>
        <w:tc>
          <w:tcPr>
            <w:tcW w:w="1701" w:type="dxa"/>
            <w:vAlign w:val="center"/>
          </w:tcPr>
          <w:p w14:paraId="777CB2F6">
            <w:pPr>
              <w:spacing w:after="0" w:line="240" w:lineRule="auto"/>
              <w:jc w:val="left"/>
            </w:pPr>
            <w:r>
              <w:rPr>
                <w:rFonts w:ascii="Times New Roman" w:hAnsi="Times New Roman" w:eastAsia="仿宋"/>
                <w:b w:val="0"/>
                <w:sz w:val="19"/>
              </w:rPr>
              <w:t>候鸟活动区周边是否分布家禽散养、规模养殖场或活禽交易点</w:t>
            </w:r>
          </w:p>
        </w:tc>
        <w:tc>
          <w:tcPr>
            <w:tcW w:w="5256" w:type="dxa"/>
            <w:vAlign w:val="center"/>
          </w:tcPr>
          <w:p w14:paraId="05C930E0">
            <w:pPr>
              <w:spacing w:after="0" w:line="240" w:lineRule="auto"/>
              <w:jc w:val="left"/>
            </w:pPr>
            <w:r>
              <w:rPr>
                <w:rFonts w:ascii="Times New Roman" w:hAnsi="Times New Roman" w:eastAsia="仿宋"/>
                <w:b w:val="0"/>
                <w:sz w:val="19"/>
              </w:rPr>
              <w:t>5分：候鸟集中活动区周边存在家禽散养、规模养殖场或活禽交易点，且距离近、数量多，存在直接或高频间接接触可能。</w:t>
            </w:r>
            <w:r>
              <w:rPr>
                <w:rFonts w:ascii="Times New Roman" w:hAnsi="Times New Roman" w:eastAsia="仿宋"/>
                <w:b w:val="0"/>
                <w:sz w:val="19"/>
              </w:rPr>
              <w:br w:type="textWrapping"/>
            </w:r>
            <w:r>
              <w:rPr>
                <w:rFonts w:ascii="Times New Roman" w:hAnsi="Times New Roman" w:eastAsia="仿宋"/>
                <w:b w:val="0"/>
                <w:sz w:val="19"/>
              </w:rPr>
              <w:t>4分：候鸟活动区周边存在家禽养殖或活禽交易场所，距离较近，但接触频次或规模相对有限。</w:t>
            </w:r>
            <w:r>
              <w:rPr>
                <w:rFonts w:ascii="Times New Roman" w:hAnsi="Times New Roman" w:eastAsia="仿宋"/>
                <w:b w:val="0"/>
                <w:sz w:val="19"/>
              </w:rPr>
              <w:br w:type="textWrapping"/>
            </w:r>
            <w:r>
              <w:rPr>
                <w:rFonts w:ascii="Times New Roman" w:hAnsi="Times New Roman" w:eastAsia="仿宋"/>
                <w:b w:val="0"/>
                <w:sz w:val="19"/>
              </w:rPr>
              <w:t>3分：候鸟活动区周边一定范围内存在零星家禽散养或小规模养殖，存在一般间接接触可能。</w:t>
            </w:r>
            <w:r>
              <w:rPr>
                <w:rFonts w:ascii="Times New Roman" w:hAnsi="Times New Roman" w:eastAsia="仿宋"/>
                <w:b w:val="0"/>
                <w:sz w:val="19"/>
              </w:rPr>
              <w:br w:type="textWrapping"/>
            </w:r>
            <w:r>
              <w:rPr>
                <w:rFonts w:ascii="Times New Roman" w:hAnsi="Times New Roman" w:eastAsia="仿宋"/>
                <w:b w:val="0"/>
                <w:sz w:val="19"/>
              </w:rPr>
              <w:t>2分：候鸟活动区周边较远范围内有家禽养殖或交易场所，但空间隔离较明显，接触可能性较低。</w:t>
            </w:r>
            <w:r>
              <w:rPr>
                <w:rFonts w:ascii="Times New Roman" w:hAnsi="Times New Roman" w:eastAsia="仿宋"/>
                <w:b w:val="0"/>
                <w:sz w:val="19"/>
              </w:rPr>
              <w:br w:type="textWrapping"/>
            </w:r>
            <w:r>
              <w:rPr>
                <w:rFonts w:ascii="Times New Roman" w:hAnsi="Times New Roman" w:eastAsia="仿宋"/>
                <w:b w:val="0"/>
                <w:sz w:val="19"/>
              </w:rPr>
              <w:t>1分：候鸟活动区周边无明显家禽养殖、散养或活禽交易场景，野鸟向家禽传播的物理可能性低。</w:t>
            </w:r>
          </w:p>
        </w:tc>
      </w:tr>
      <w:tr w14:paraId="7F9B182C">
        <w:trPr>
          <w:jc w:val="center"/>
        </w:trPr>
        <w:tc>
          <w:tcPr>
            <w:tcW w:w="567" w:type="dxa"/>
            <w:vAlign w:val="center"/>
          </w:tcPr>
          <w:p w14:paraId="71897343">
            <w:pPr>
              <w:spacing w:after="0" w:line="240" w:lineRule="auto"/>
              <w:jc w:val="left"/>
            </w:pPr>
            <w:r>
              <w:rPr>
                <w:rFonts w:ascii="Times New Roman" w:hAnsi="Times New Roman" w:eastAsia="仿宋"/>
                <w:b w:val="0"/>
                <w:sz w:val="19"/>
              </w:rPr>
              <w:t>3.2</w:t>
            </w:r>
          </w:p>
        </w:tc>
        <w:tc>
          <w:tcPr>
            <w:tcW w:w="1587" w:type="dxa"/>
            <w:vAlign w:val="center"/>
          </w:tcPr>
          <w:p w14:paraId="6DD182BA">
            <w:pPr>
              <w:spacing w:after="0" w:line="240" w:lineRule="auto"/>
              <w:jc w:val="left"/>
            </w:pPr>
            <w:r>
              <w:rPr>
                <w:rFonts w:ascii="Times New Roman" w:hAnsi="Times New Roman" w:eastAsia="仿宋"/>
                <w:b w:val="0"/>
                <w:sz w:val="19"/>
              </w:rPr>
              <w:t>人鸟接触场景</w:t>
            </w:r>
          </w:p>
        </w:tc>
        <w:tc>
          <w:tcPr>
            <w:tcW w:w="1701" w:type="dxa"/>
            <w:vAlign w:val="center"/>
          </w:tcPr>
          <w:p w14:paraId="32070DAD">
            <w:pPr>
              <w:spacing w:after="0" w:line="240" w:lineRule="auto"/>
              <w:jc w:val="left"/>
            </w:pPr>
            <w:r>
              <w:rPr>
                <w:rFonts w:ascii="Times New Roman" w:hAnsi="Times New Roman" w:eastAsia="仿宋"/>
                <w:b w:val="0"/>
                <w:sz w:val="19"/>
              </w:rPr>
              <w:t>观鸟、投喂、放生、垂钓等公众活动密集程度</w:t>
            </w:r>
          </w:p>
        </w:tc>
        <w:tc>
          <w:tcPr>
            <w:tcW w:w="5256" w:type="dxa"/>
            <w:vAlign w:val="center"/>
          </w:tcPr>
          <w:p w14:paraId="146A73E1">
            <w:pPr>
              <w:spacing w:after="0" w:line="240" w:lineRule="auto"/>
              <w:jc w:val="left"/>
            </w:pPr>
            <w:r>
              <w:rPr>
                <w:rFonts w:ascii="Times New Roman" w:hAnsi="Times New Roman" w:eastAsia="仿宋"/>
                <w:b w:val="0"/>
                <w:sz w:val="19"/>
              </w:rPr>
              <w:t>5分：观鸟、投喂、放生、垂钓等活动频繁，人员密集且与鸟类栖息、取食或停歇区域高度重叠。</w:t>
            </w:r>
            <w:r>
              <w:rPr>
                <w:rFonts w:ascii="Times New Roman" w:hAnsi="Times New Roman" w:eastAsia="仿宋"/>
                <w:b w:val="0"/>
                <w:sz w:val="19"/>
              </w:rPr>
              <w:br w:type="textWrapping"/>
            </w:r>
            <w:r>
              <w:rPr>
                <w:rFonts w:ascii="Times New Roman" w:hAnsi="Times New Roman" w:eastAsia="仿宋"/>
                <w:b w:val="0"/>
                <w:sz w:val="19"/>
              </w:rPr>
              <w:t>4分：公众活动较频繁，与鸟类活动区域有较多交集，但活动时间或空间相对集中。</w:t>
            </w:r>
            <w:r>
              <w:rPr>
                <w:rFonts w:ascii="Times New Roman" w:hAnsi="Times New Roman" w:eastAsia="仿宋"/>
                <w:b w:val="0"/>
                <w:sz w:val="19"/>
              </w:rPr>
              <w:br w:type="textWrapping"/>
            </w:r>
            <w:r>
              <w:rPr>
                <w:rFonts w:ascii="Times New Roman" w:hAnsi="Times New Roman" w:eastAsia="仿宋"/>
                <w:b w:val="0"/>
                <w:sz w:val="19"/>
              </w:rPr>
              <w:t>3分：存在一定观鸟、垂钓、游憩等活动，与鸟类活动区域有一般性重叠。</w:t>
            </w:r>
            <w:r>
              <w:rPr>
                <w:rFonts w:ascii="Times New Roman" w:hAnsi="Times New Roman" w:eastAsia="仿宋"/>
                <w:b w:val="0"/>
                <w:sz w:val="19"/>
              </w:rPr>
              <w:br w:type="textWrapping"/>
            </w:r>
            <w:r>
              <w:rPr>
                <w:rFonts w:ascii="Times New Roman" w:hAnsi="Times New Roman" w:eastAsia="仿宋"/>
                <w:b w:val="0"/>
                <w:sz w:val="19"/>
              </w:rPr>
              <w:t>2分：公众活动较少，且与鸟类集中活动区域重叠有限。</w:t>
            </w:r>
            <w:r>
              <w:rPr>
                <w:rFonts w:ascii="Times New Roman" w:hAnsi="Times New Roman" w:eastAsia="仿宋"/>
                <w:b w:val="0"/>
                <w:sz w:val="19"/>
              </w:rPr>
              <w:br w:type="textWrapping"/>
            </w:r>
            <w:r>
              <w:rPr>
                <w:rFonts w:ascii="Times New Roman" w:hAnsi="Times New Roman" w:eastAsia="仿宋"/>
                <w:b w:val="0"/>
                <w:sz w:val="19"/>
              </w:rPr>
              <w:t>1分：基本无观鸟、投喂、放生、垂钓等人鸟接触场景，公众活动干扰和接触风险低。</w:t>
            </w:r>
          </w:p>
        </w:tc>
      </w:tr>
    </w:tbl>
    <w:p w14:paraId="125E2ECF">
      <w:pPr>
        <w:spacing w:before="160" w:after="80"/>
      </w:pPr>
      <w:r>
        <w:rPr>
          <w:rFonts w:ascii="Times New Roman" w:hAnsi="Times New Roman" w:eastAsia="黑体"/>
          <w:b/>
          <w:sz w:val="24"/>
        </w:rPr>
        <w:t>一级指标④  异常死亡和事件报告</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1587"/>
        <w:gridCol w:w="1701"/>
        <w:gridCol w:w="5233"/>
      </w:tblGrid>
      <w:tr w14:paraId="576623ED">
        <w:trPr>
          <w:trHeight w:val="501" w:hRule="atLeast"/>
          <w:jc w:val="center"/>
        </w:trPr>
        <w:tc>
          <w:tcPr>
            <w:tcW w:w="567" w:type="dxa"/>
            <w:shd w:val="clear" w:color="auto" w:fill="D9E1F2"/>
            <w:vAlign w:val="center"/>
          </w:tcPr>
          <w:p w14:paraId="73B010BE">
            <w:pPr>
              <w:spacing w:after="0" w:line="240" w:lineRule="auto"/>
              <w:jc w:val="center"/>
            </w:pPr>
            <w:r>
              <w:rPr>
                <w:rFonts w:ascii="Times New Roman" w:hAnsi="Times New Roman" w:eastAsia="黑体"/>
                <w:b/>
                <w:sz w:val="20"/>
              </w:rPr>
              <w:t>编号</w:t>
            </w:r>
          </w:p>
        </w:tc>
        <w:tc>
          <w:tcPr>
            <w:tcW w:w="1587" w:type="dxa"/>
            <w:shd w:val="clear" w:color="auto" w:fill="D9E1F2"/>
            <w:vAlign w:val="center"/>
          </w:tcPr>
          <w:p w14:paraId="0595FFC5">
            <w:pPr>
              <w:spacing w:after="0" w:line="240" w:lineRule="auto"/>
              <w:jc w:val="center"/>
            </w:pPr>
            <w:r>
              <w:rPr>
                <w:rFonts w:ascii="Times New Roman" w:hAnsi="Times New Roman" w:eastAsia="黑体"/>
                <w:b/>
                <w:sz w:val="20"/>
              </w:rPr>
              <w:t>二级指标</w:t>
            </w:r>
          </w:p>
        </w:tc>
        <w:tc>
          <w:tcPr>
            <w:tcW w:w="1701" w:type="dxa"/>
            <w:shd w:val="clear" w:color="auto" w:fill="D9E1F2"/>
            <w:vAlign w:val="center"/>
          </w:tcPr>
          <w:p w14:paraId="6378460A">
            <w:pPr>
              <w:spacing w:after="0" w:line="240" w:lineRule="auto"/>
              <w:jc w:val="center"/>
            </w:pPr>
            <w:r>
              <w:rPr>
                <w:rFonts w:ascii="Times New Roman" w:hAnsi="Times New Roman" w:eastAsia="黑体"/>
                <w:b/>
                <w:sz w:val="20"/>
              </w:rPr>
              <w:t>观测或判定要点</w:t>
            </w:r>
          </w:p>
        </w:tc>
        <w:tc>
          <w:tcPr>
            <w:tcW w:w="5233" w:type="dxa"/>
            <w:shd w:val="clear" w:color="auto" w:fill="D9E1F2"/>
            <w:vAlign w:val="center"/>
          </w:tcPr>
          <w:p w14:paraId="040CC602">
            <w:pPr>
              <w:spacing w:after="0" w:line="240" w:lineRule="auto"/>
              <w:jc w:val="center"/>
            </w:pPr>
            <w:r>
              <w:rPr>
                <w:rFonts w:ascii="Times New Roman" w:hAnsi="Times New Roman" w:eastAsia="黑体"/>
                <w:b/>
                <w:sz w:val="20"/>
              </w:rPr>
              <w:t>赋分方法</w:t>
            </w:r>
          </w:p>
        </w:tc>
      </w:tr>
      <w:tr w14:paraId="0F6D2F31">
        <w:trPr>
          <w:jc w:val="center"/>
        </w:trPr>
        <w:tc>
          <w:tcPr>
            <w:tcW w:w="567" w:type="dxa"/>
            <w:vAlign w:val="center"/>
          </w:tcPr>
          <w:p w14:paraId="1A27D584">
            <w:pPr>
              <w:spacing w:after="0" w:line="240" w:lineRule="auto"/>
              <w:jc w:val="left"/>
            </w:pPr>
            <w:r>
              <w:rPr>
                <w:rFonts w:ascii="Times New Roman" w:hAnsi="Times New Roman" w:eastAsia="仿宋"/>
                <w:b w:val="0"/>
                <w:sz w:val="19"/>
              </w:rPr>
              <w:t>4.1</w:t>
            </w:r>
          </w:p>
        </w:tc>
        <w:tc>
          <w:tcPr>
            <w:tcW w:w="1587" w:type="dxa"/>
            <w:vAlign w:val="center"/>
          </w:tcPr>
          <w:p w14:paraId="5F83E5E9">
            <w:pPr>
              <w:spacing w:after="0" w:line="240" w:lineRule="auto"/>
              <w:jc w:val="left"/>
            </w:pPr>
            <w:r>
              <w:rPr>
                <w:rFonts w:ascii="Times New Roman" w:hAnsi="Times New Roman" w:eastAsia="仿宋"/>
                <w:b w:val="0"/>
                <w:sz w:val="19"/>
              </w:rPr>
              <w:t>病弱或死亡野鸟发现情况</w:t>
            </w:r>
          </w:p>
        </w:tc>
        <w:tc>
          <w:tcPr>
            <w:tcW w:w="1701" w:type="dxa"/>
            <w:vAlign w:val="center"/>
          </w:tcPr>
          <w:p w14:paraId="5EFBD372">
            <w:pPr>
              <w:spacing w:after="0" w:line="240" w:lineRule="auto"/>
              <w:jc w:val="left"/>
            </w:pPr>
            <w:r>
              <w:rPr>
                <w:rFonts w:ascii="Times New Roman" w:hAnsi="Times New Roman" w:eastAsia="仿宋"/>
                <w:b w:val="0"/>
                <w:sz w:val="19"/>
              </w:rPr>
              <w:t>单只异常、同地点多只死亡、连续多日发现等分级记录</w:t>
            </w:r>
          </w:p>
        </w:tc>
        <w:tc>
          <w:tcPr>
            <w:tcW w:w="5233" w:type="dxa"/>
            <w:vAlign w:val="center"/>
          </w:tcPr>
          <w:p w14:paraId="7CC31931">
            <w:pPr>
              <w:spacing w:after="0" w:line="240" w:lineRule="auto"/>
              <w:jc w:val="left"/>
            </w:pPr>
            <w:r>
              <w:rPr>
                <w:rFonts w:ascii="Times New Roman" w:hAnsi="Times New Roman" w:eastAsia="仿宋"/>
                <w:b w:val="0"/>
                <w:sz w:val="19"/>
              </w:rPr>
              <w:t>5分：同一地点或相邻区域发现</w:t>
            </w:r>
            <w:r>
              <w:rPr>
                <w:rFonts w:hint="eastAsia" w:ascii="Times New Roman" w:hAnsi="Times New Roman" w:eastAsia="仿宋"/>
                <w:b w:val="0"/>
                <w:sz w:val="19"/>
                <w:lang w:val="en-US" w:eastAsia="zh-CN"/>
              </w:rPr>
              <w:t>5只以上</w:t>
            </w:r>
            <w:r>
              <w:rPr>
                <w:rFonts w:ascii="Times New Roman" w:hAnsi="Times New Roman" w:eastAsia="仿宋"/>
                <w:b w:val="0"/>
                <w:sz w:val="19"/>
              </w:rPr>
              <w:t>病弱/死亡野鸟，或连续多日发现异常，呈聚集性或持续性发生。</w:t>
            </w:r>
            <w:r>
              <w:rPr>
                <w:rFonts w:ascii="Times New Roman" w:hAnsi="Times New Roman" w:eastAsia="仿宋"/>
                <w:b w:val="0"/>
                <w:sz w:val="19"/>
              </w:rPr>
              <w:br w:type="textWrapping"/>
            </w:r>
            <w:r>
              <w:rPr>
                <w:rFonts w:ascii="Times New Roman" w:hAnsi="Times New Roman" w:eastAsia="仿宋"/>
                <w:b w:val="0"/>
                <w:sz w:val="19"/>
              </w:rPr>
              <w:t>4分：发现2只及以上病弱/死亡野鸟，或短期内不同地点出现多起异常记录。</w:t>
            </w:r>
            <w:r>
              <w:rPr>
                <w:rFonts w:ascii="Times New Roman" w:hAnsi="Times New Roman" w:eastAsia="仿宋"/>
                <w:b w:val="0"/>
                <w:sz w:val="19"/>
              </w:rPr>
              <w:br w:type="textWrapping"/>
            </w:r>
            <w:r>
              <w:rPr>
                <w:rFonts w:ascii="Times New Roman" w:hAnsi="Times New Roman" w:eastAsia="仿宋"/>
                <w:b w:val="0"/>
                <w:sz w:val="19"/>
              </w:rPr>
              <w:t>3分：发现单只死亡野鸟，或发现病弱个体且原因不明。</w:t>
            </w:r>
            <w:r>
              <w:rPr>
                <w:rFonts w:ascii="Times New Roman" w:hAnsi="Times New Roman" w:eastAsia="仿宋"/>
                <w:b w:val="0"/>
                <w:sz w:val="19"/>
              </w:rPr>
              <w:br w:type="textWrapping"/>
            </w:r>
            <w:r>
              <w:rPr>
                <w:rFonts w:ascii="Times New Roman" w:hAnsi="Times New Roman" w:eastAsia="仿宋"/>
                <w:b w:val="0"/>
                <w:sz w:val="19"/>
              </w:rPr>
              <w:t>2分：发现疑似异常个体，但经初步判断可能与外伤、捕食、衰弱等非疫病因素有关。</w:t>
            </w:r>
            <w:r>
              <w:rPr>
                <w:rFonts w:ascii="Times New Roman" w:hAnsi="Times New Roman" w:eastAsia="仿宋"/>
                <w:b w:val="0"/>
                <w:sz w:val="19"/>
              </w:rPr>
              <w:br w:type="textWrapping"/>
            </w:r>
            <w:r>
              <w:rPr>
                <w:rFonts w:ascii="Times New Roman" w:hAnsi="Times New Roman" w:eastAsia="仿宋"/>
                <w:b w:val="0"/>
                <w:sz w:val="19"/>
              </w:rPr>
              <w:t>1分：未发现病弱或死亡野鸟异常情况。</w:t>
            </w:r>
          </w:p>
        </w:tc>
      </w:tr>
      <w:tr w14:paraId="05C55816">
        <w:trPr>
          <w:jc w:val="center"/>
        </w:trPr>
        <w:tc>
          <w:tcPr>
            <w:tcW w:w="567" w:type="dxa"/>
            <w:vAlign w:val="center"/>
          </w:tcPr>
          <w:p w14:paraId="168706C2">
            <w:pPr>
              <w:spacing w:after="0" w:line="240" w:lineRule="auto"/>
              <w:jc w:val="left"/>
            </w:pPr>
            <w:r>
              <w:rPr>
                <w:rFonts w:ascii="Times New Roman" w:hAnsi="Times New Roman" w:eastAsia="仿宋"/>
                <w:b w:val="0"/>
                <w:sz w:val="19"/>
              </w:rPr>
              <w:t>4.2</w:t>
            </w:r>
          </w:p>
        </w:tc>
        <w:tc>
          <w:tcPr>
            <w:tcW w:w="1587" w:type="dxa"/>
            <w:vAlign w:val="center"/>
          </w:tcPr>
          <w:p w14:paraId="5591BF64">
            <w:pPr>
              <w:spacing w:after="0" w:line="240" w:lineRule="auto"/>
              <w:jc w:val="left"/>
            </w:pPr>
            <w:r>
              <w:rPr>
                <w:rFonts w:ascii="Times New Roman" w:hAnsi="Times New Roman" w:eastAsia="仿宋"/>
                <w:b w:val="0"/>
                <w:sz w:val="19"/>
              </w:rPr>
              <w:t>实验室检测结果与阳性发现</w:t>
            </w:r>
          </w:p>
        </w:tc>
        <w:tc>
          <w:tcPr>
            <w:tcW w:w="1701" w:type="dxa"/>
            <w:vAlign w:val="center"/>
          </w:tcPr>
          <w:p w14:paraId="0E22AE38">
            <w:pPr>
              <w:spacing w:after="0" w:line="240" w:lineRule="auto"/>
              <w:jc w:val="left"/>
            </w:pPr>
            <w:r>
              <w:rPr>
                <w:rFonts w:ascii="Times New Roman" w:hAnsi="Times New Roman" w:eastAsia="仿宋"/>
                <w:b w:val="0"/>
                <w:sz w:val="19"/>
              </w:rPr>
              <w:t>异常死亡野鸟样本和环境样本的禽流感核酸检测结果，关注阳性株型与聚集性结果</w:t>
            </w:r>
          </w:p>
        </w:tc>
        <w:tc>
          <w:tcPr>
            <w:tcW w:w="5233" w:type="dxa"/>
            <w:vAlign w:val="center"/>
          </w:tcPr>
          <w:p w14:paraId="6533DC44">
            <w:pPr>
              <w:spacing w:after="0" w:line="240" w:lineRule="auto"/>
              <w:jc w:val="left"/>
            </w:pPr>
            <w:r>
              <w:rPr>
                <w:rFonts w:ascii="Times New Roman" w:hAnsi="Times New Roman" w:eastAsia="仿宋"/>
                <w:b w:val="0"/>
                <w:sz w:val="19"/>
              </w:rPr>
              <w:t>5分：野鸟样本或环境样本检出H5/H7等重点亚型阳性，或出现多份样本阳性、聚集性阳性结果。</w:t>
            </w:r>
            <w:r>
              <w:rPr>
                <w:rFonts w:ascii="Times New Roman" w:hAnsi="Times New Roman" w:eastAsia="仿宋"/>
                <w:b w:val="0"/>
                <w:sz w:val="19"/>
              </w:rPr>
              <w:br w:type="textWrapping"/>
            </w:r>
            <w:r>
              <w:rPr>
                <w:rFonts w:ascii="Times New Roman" w:hAnsi="Times New Roman" w:eastAsia="仿宋"/>
                <w:b w:val="0"/>
                <w:sz w:val="19"/>
              </w:rPr>
              <w:t>4分：野鸟样本或环境样本检出禽流感病毒阳性，但暂未确定为重点亚型或聚集性有限。</w:t>
            </w:r>
            <w:r>
              <w:rPr>
                <w:rFonts w:ascii="Times New Roman" w:hAnsi="Times New Roman" w:eastAsia="仿宋"/>
                <w:b w:val="0"/>
                <w:sz w:val="19"/>
              </w:rPr>
              <w:br w:type="textWrapping"/>
            </w:r>
            <w:r>
              <w:rPr>
                <w:rFonts w:ascii="Times New Roman" w:hAnsi="Times New Roman" w:eastAsia="仿宋"/>
                <w:b w:val="0"/>
                <w:sz w:val="19"/>
              </w:rPr>
              <w:t>3分：样本检测结果可疑、弱阳性，或需进一步复核确认。</w:t>
            </w:r>
            <w:r>
              <w:rPr>
                <w:rFonts w:ascii="Times New Roman" w:hAnsi="Times New Roman" w:eastAsia="仿宋"/>
                <w:b w:val="0"/>
                <w:sz w:val="19"/>
              </w:rPr>
              <w:br w:type="textWrapping"/>
            </w:r>
            <w:r>
              <w:rPr>
                <w:rFonts w:ascii="Times New Roman" w:hAnsi="Times New Roman" w:eastAsia="仿宋"/>
                <w:b w:val="0"/>
                <w:sz w:val="19"/>
              </w:rPr>
              <w:t>2分：已采样检测，结果为阴性，但现场仍存在一定异常迹象，需继续监测。</w:t>
            </w:r>
            <w:r>
              <w:rPr>
                <w:rFonts w:ascii="Times New Roman" w:hAnsi="Times New Roman" w:eastAsia="仿宋"/>
                <w:b w:val="0"/>
                <w:sz w:val="19"/>
              </w:rPr>
              <w:br w:type="textWrapping"/>
            </w:r>
            <w:r>
              <w:rPr>
                <w:rFonts w:ascii="Times New Roman" w:hAnsi="Times New Roman" w:eastAsia="仿宋"/>
                <w:b w:val="0"/>
                <w:sz w:val="19"/>
              </w:rPr>
              <w:t>1分：检测结果阴性，且现场无持续异常或聚集性死亡情况。</w:t>
            </w:r>
          </w:p>
        </w:tc>
      </w:tr>
    </w:tbl>
    <w:p w14:paraId="27F10C74">
      <w:pPr>
        <w:spacing w:before="280" w:after="120"/>
      </w:pPr>
      <w:r>
        <w:rPr>
          <w:rFonts w:ascii="Times New Roman" w:hAnsi="Times New Roman" w:eastAsia="黑体"/>
          <w:b/>
          <w:sz w:val="28"/>
        </w:rPr>
        <w:t>四、综合风险评分与预警触发</w:t>
      </w:r>
    </w:p>
    <w:p w14:paraId="2E5F6267">
      <w:pPr>
        <w:spacing w:before="0" w:after="100" w:line="360" w:lineRule="auto"/>
        <w:ind w:firstLine="420"/>
      </w:pPr>
      <w:r>
        <w:rPr>
          <w:rFonts w:ascii="Times New Roman" w:hAnsi="Times New Roman" w:eastAsia="仿宋"/>
          <w:b w:val="0"/>
          <w:sz w:val="21"/>
        </w:rPr>
        <w:t>本体系建议先对各二级指标采用1—5分制开展风险评分，再汇总形成一级指标得分。常态期可按季度评估，迁徙高峰期、周边地区疫情活跃期或出现异常事件时，可调整为月度或周度滚动评估。各二级指标评分应以监测记录、部门通报、实验室检测结果和现场处置记录为依据。一般情况下，1分表示风险较低或防控措施到位，3分表示存在一定风险、需加强关注和常规监测，5分表示风险较高、已出现明确异常信号或需启动处置措施。</w:t>
      </w:r>
    </w:p>
    <w:p w14:paraId="0B681EB1">
      <w:pPr>
        <w:spacing w:before="0" w:after="100" w:line="360" w:lineRule="auto"/>
        <w:ind w:firstLine="420"/>
      </w:pPr>
      <w:r>
        <w:rPr>
          <w:rFonts w:ascii="Times New Roman" w:hAnsi="Times New Roman" w:eastAsia="仿宋"/>
          <w:b w:val="0"/>
          <w:sz w:val="21"/>
        </w:rPr>
        <w:t>一级指标得分以Si表示，取该一级指标下各二级指标得分的算术均值，计算结果保留一位小数。为避免单个高风险信号被平均值稀释，当某一一级指标下任一二级指标得分达到4分及以上时，该一级指标得分可按最高二级指标得分计入综合风险指数。</w:t>
      </w:r>
    </w:p>
    <w:p w14:paraId="4CF55EA6">
      <w:pPr>
        <w:spacing w:before="0" w:after="100" w:line="360" w:lineRule="auto"/>
        <w:ind w:firstLine="420"/>
      </w:pPr>
      <w:r>
        <w:rPr>
          <w:rFonts w:ascii="Times New Roman" w:hAnsi="Times New Roman" w:eastAsia="仿宋"/>
          <w:b w:val="0"/>
          <w:sz w:val="21"/>
        </w:rPr>
        <w:t>综合风险指数按公式R = Σ(Wi × Si)计算，Wi为第i个一级指标权重，四项权重之和为1。各一级指标权重为建议权重，可由省级专家组根据疫情形势、监测重点和年度复盘结果进行调整；发生重大疫情、迁徙格局明显变化或新增重点监测区域时，应及时复核。</w:t>
      </w:r>
    </w:p>
    <w:p w14:paraId="1818538E">
      <w:pPr>
        <w:spacing w:before="0" w:after="100" w:line="360" w:lineRule="auto"/>
        <w:ind w:firstLine="420"/>
      </w:pPr>
      <w:r>
        <w:rPr>
          <w:rFonts w:ascii="Times New Roman" w:hAnsi="Times New Roman" w:eastAsia="仿宋"/>
          <w:b w:val="0"/>
          <w:sz w:val="21"/>
        </w:rPr>
        <w:t>在综合评分基础上，应保留异常事件的直接触发机制。当指标④</w:t>
      </w:r>
      <w:r>
        <w:rPr>
          <w:rFonts w:hint="eastAsia" w:ascii="Times New Roman" w:hAnsi="Times New Roman" w:eastAsia="仿宋"/>
          <w:b w:val="0"/>
          <w:sz w:val="21"/>
          <w:lang w:eastAsia="zh-CN"/>
        </w:rPr>
        <w:t>“</w:t>
      </w:r>
      <w:r>
        <w:rPr>
          <w:rFonts w:ascii="Times New Roman" w:hAnsi="Times New Roman" w:eastAsia="仿宋"/>
          <w:b w:val="0"/>
          <w:sz w:val="21"/>
        </w:rPr>
        <w:t>异常死亡和事件报告</w:t>
      </w:r>
      <w:r>
        <w:rPr>
          <w:rFonts w:hint="eastAsia" w:ascii="Times New Roman" w:hAnsi="Times New Roman" w:eastAsia="仿宋"/>
          <w:b w:val="0"/>
          <w:sz w:val="21"/>
          <w:lang w:eastAsia="zh-CN"/>
        </w:rPr>
        <w:t>”</w:t>
      </w:r>
      <w:r>
        <w:rPr>
          <w:rFonts w:ascii="Times New Roman" w:hAnsi="Times New Roman" w:eastAsia="仿宋"/>
          <w:b w:val="0"/>
          <w:sz w:val="21"/>
        </w:rPr>
        <w:t>得分达到4分及以上时，即使综合风险指数尚未达到相应阈值，也应启动橙色预警会商或现场核查。检测为高致病性禽流感阳性、疑似高致病性禽流感，或出现聚集性死亡事件时，应直接启动红色预警或专项应急响应评估。</w:t>
      </w:r>
    </w:p>
    <w:p w14:paraId="4A8022A3">
      <w:pPr>
        <w:spacing w:before="0" w:after="100" w:line="360" w:lineRule="auto"/>
        <w:ind w:firstLine="420"/>
      </w:pPr>
      <w:r>
        <w:rPr>
          <w:rFonts w:ascii="Times New Roman" w:hAnsi="Times New Roman" w:eastAsia="仿宋"/>
          <w:b w:val="0"/>
          <w:sz w:val="21"/>
        </w:rPr>
        <w:t>本指标体系主要用于监测预警和风险研判，不替代国家和广东省现行动物疫病、野生动物疫源疫病及突发公共卫生事件相关法定报告和应急处置程序；涉及疑似或确诊疫情的，应按现行规定执行。</w:t>
      </w:r>
    </w:p>
    <w:p w14:paraId="66E73AED">
      <w:pPr>
        <w:spacing w:before="160" w:after="80"/>
      </w:pPr>
      <w:r>
        <w:rPr>
          <w:rFonts w:ascii="Times New Roman" w:hAnsi="Times New Roman" w:eastAsia="黑体"/>
          <w:b/>
          <w:sz w:val="24"/>
        </w:rPr>
        <w:t>（一）权重设置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2268"/>
        <w:gridCol w:w="1134"/>
        <w:gridCol w:w="3402"/>
      </w:tblGrid>
      <w:tr w14:paraId="6AC62D4B">
        <w:trPr>
          <w:jc w:val="center"/>
        </w:trPr>
        <w:tc>
          <w:tcPr>
            <w:tcW w:w="1984" w:type="dxa"/>
            <w:shd w:val="clear" w:color="auto" w:fill="D9E1F2"/>
            <w:vAlign w:val="center"/>
          </w:tcPr>
          <w:p w14:paraId="55FB2346">
            <w:pPr>
              <w:spacing w:after="0" w:line="240" w:lineRule="auto"/>
              <w:jc w:val="center"/>
            </w:pPr>
            <w:r>
              <w:rPr>
                <w:rFonts w:ascii="Times New Roman" w:hAnsi="Times New Roman" w:eastAsia="黑体"/>
                <w:b/>
                <w:sz w:val="20"/>
              </w:rPr>
              <w:t>维度</w:t>
            </w:r>
          </w:p>
        </w:tc>
        <w:tc>
          <w:tcPr>
            <w:tcW w:w="2268" w:type="dxa"/>
            <w:shd w:val="clear" w:color="auto" w:fill="D9E1F2"/>
            <w:vAlign w:val="center"/>
          </w:tcPr>
          <w:p w14:paraId="3DAE4EC8">
            <w:pPr>
              <w:spacing w:after="0" w:line="240" w:lineRule="auto"/>
              <w:jc w:val="center"/>
            </w:pPr>
            <w:r>
              <w:rPr>
                <w:rFonts w:ascii="Times New Roman" w:hAnsi="Times New Roman" w:eastAsia="黑体"/>
                <w:b/>
                <w:sz w:val="20"/>
              </w:rPr>
              <w:t>一级指标</w:t>
            </w:r>
          </w:p>
        </w:tc>
        <w:tc>
          <w:tcPr>
            <w:tcW w:w="1134" w:type="dxa"/>
            <w:shd w:val="clear" w:color="auto" w:fill="D9E1F2"/>
            <w:vAlign w:val="center"/>
          </w:tcPr>
          <w:p w14:paraId="4B1FC584">
            <w:pPr>
              <w:spacing w:after="0" w:line="240" w:lineRule="auto"/>
              <w:jc w:val="center"/>
            </w:pPr>
            <w:r>
              <w:rPr>
                <w:rFonts w:ascii="Times New Roman" w:hAnsi="Times New Roman" w:eastAsia="黑体"/>
                <w:b/>
                <w:sz w:val="20"/>
              </w:rPr>
              <w:t>建议权重</w:t>
            </w:r>
          </w:p>
        </w:tc>
        <w:tc>
          <w:tcPr>
            <w:tcW w:w="3402" w:type="dxa"/>
            <w:shd w:val="clear" w:color="auto" w:fill="D9E1F2"/>
            <w:vAlign w:val="center"/>
          </w:tcPr>
          <w:p w14:paraId="541616FE">
            <w:pPr>
              <w:spacing w:after="0" w:line="240" w:lineRule="auto"/>
              <w:jc w:val="center"/>
            </w:pPr>
            <w:r>
              <w:rPr>
                <w:rFonts w:ascii="Times New Roman" w:hAnsi="Times New Roman" w:eastAsia="黑体"/>
                <w:b/>
                <w:sz w:val="20"/>
              </w:rPr>
              <w:t>权重设置理由</w:t>
            </w:r>
          </w:p>
        </w:tc>
      </w:tr>
      <w:tr w14:paraId="6C39B796">
        <w:trPr>
          <w:jc w:val="center"/>
        </w:trPr>
        <w:tc>
          <w:tcPr>
            <w:tcW w:w="1984" w:type="dxa"/>
            <w:vAlign w:val="center"/>
          </w:tcPr>
          <w:p w14:paraId="66E41A5F">
            <w:pPr>
              <w:spacing w:after="0" w:line="240" w:lineRule="auto"/>
              <w:jc w:val="left"/>
            </w:pPr>
            <w:r>
              <w:rPr>
                <w:rFonts w:ascii="Times New Roman" w:hAnsi="Times New Roman" w:eastAsia="仿宋"/>
                <w:b w:val="0"/>
                <w:sz w:val="19"/>
              </w:rPr>
              <w:t>外部输入压力</w:t>
            </w:r>
          </w:p>
        </w:tc>
        <w:tc>
          <w:tcPr>
            <w:tcW w:w="2268" w:type="dxa"/>
            <w:vAlign w:val="center"/>
          </w:tcPr>
          <w:p w14:paraId="18219E2E">
            <w:pPr>
              <w:spacing w:after="0" w:line="240" w:lineRule="auto"/>
              <w:jc w:val="left"/>
            </w:pPr>
            <w:r>
              <w:rPr>
                <w:rFonts w:ascii="Times New Roman" w:hAnsi="Times New Roman" w:eastAsia="仿宋"/>
                <w:b w:val="0"/>
                <w:sz w:val="19"/>
              </w:rPr>
              <w:t>①外部疫情与重点病毒风险</w:t>
            </w:r>
          </w:p>
        </w:tc>
        <w:tc>
          <w:tcPr>
            <w:tcW w:w="1134" w:type="dxa"/>
            <w:vAlign w:val="center"/>
          </w:tcPr>
          <w:p w14:paraId="1D797218">
            <w:pPr>
              <w:spacing w:after="0" w:line="240" w:lineRule="auto"/>
              <w:jc w:val="left"/>
            </w:pPr>
            <w:r>
              <w:rPr>
                <w:rFonts w:ascii="Times New Roman" w:hAnsi="Times New Roman" w:eastAsia="仿宋"/>
                <w:b w:val="0"/>
                <w:sz w:val="19"/>
              </w:rPr>
              <w:t>0.20</w:t>
            </w:r>
          </w:p>
        </w:tc>
        <w:tc>
          <w:tcPr>
            <w:tcW w:w="3402" w:type="dxa"/>
            <w:vAlign w:val="center"/>
          </w:tcPr>
          <w:p w14:paraId="5A5C0BF2">
            <w:pPr>
              <w:spacing w:after="0" w:line="240" w:lineRule="auto"/>
              <w:jc w:val="left"/>
            </w:pPr>
            <w:r>
              <w:rPr>
                <w:rFonts w:ascii="Times New Roman" w:hAnsi="Times New Roman" w:eastAsia="仿宋"/>
                <w:b w:val="0"/>
                <w:sz w:val="19"/>
              </w:rPr>
              <w:t>反映境外/省外输入背景压力，需及时纳入会商，但尚属间接信号</w:t>
            </w:r>
          </w:p>
        </w:tc>
      </w:tr>
      <w:tr w14:paraId="6232D703">
        <w:trPr>
          <w:jc w:val="center"/>
        </w:trPr>
        <w:tc>
          <w:tcPr>
            <w:tcW w:w="1984" w:type="dxa"/>
            <w:vAlign w:val="center"/>
          </w:tcPr>
          <w:p w14:paraId="1E0B3230">
            <w:pPr>
              <w:spacing w:after="0" w:line="240" w:lineRule="auto"/>
              <w:jc w:val="left"/>
            </w:pPr>
            <w:r>
              <w:rPr>
                <w:rFonts w:ascii="Times New Roman" w:hAnsi="Times New Roman" w:eastAsia="仿宋"/>
                <w:b w:val="0"/>
                <w:sz w:val="19"/>
              </w:rPr>
              <w:t>重点宿主与聚集风险</w:t>
            </w:r>
          </w:p>
        </w:tc>
        <w:tc>
          <w:tcPr>
            <w:tcW w:w="2268" w:type="dxa"/>
            <w:vAlign w:val="center"/>
          </w:tcPr>
          <w:p w14:paraId="053A4EAF">
            <w:pPr>
              <w:spacing w:after="0" w:line="240" w:lineRule="auto"/>
              <w:jc w:val="left"/>
            </w:pPr>
            <w:r>
              <w:rPr>
                <w:rFonts w:ascii="Times New Roman" w:hAnsi="Times New Roman" w:eastAsia="仿宋"/>
                <w:b w:val="0"/>
                <w:sz w:val="19"/>
              </w:rPr>
              <w:t>②禽流感易感度</w:t>
            </w:r>
          </w:p>
        </w:tc>
        <w:tc>
          <w:tcPr>
            <w:tcW w:w="1134" w:type="dxa"/>
            <w:vAlign w:val="center"/>
          </w:tcPr>
          <w:p w14:paraId="52074A0E">
            <w:pPr>
              <w:spacing w:after="0" w:line="240" w:lineRule="auto"/>
              <w:jc w:val="left"/>
              <w:rPr>
                <w:rFonts w:hint="eastAsia" w:eastAsia="仿宋"/>
                <w:lang w:eastAsia="zh-CN"/>
              </w:rPr>
            </w:pPr>
            <w:r>
              <w:rPr>
                <w:rFonts w:ascii="Times New Roman" w:hAnsi="Times New Roman" w:eastAsia="仿宋"/>
                <w:b w:val="0"/>
                <w:sz w:val="19"/>
              </w:rPr>
              <w:t>0.2</w:t>
            </w:r>
            <w:r>
              <w:rPr>
                <w:rFonts w:hint="eastAsia" w:ascii="Times New Roman" w:hAnsi="Times New Roman" w:eastAsia="仿宋"/>
                <w:b w:val="0"/>
                <w:sz w:val="19"/>
                <w:lang w:val="en-US" w:eastAsia="zh-CN"/>
              </w:rPr>
              <w:t>5</w:t>
            </w:r>
          </w:p>
        </w:tc>
        <w:tc>
          <w:tcPr>
            <w:tcW w:w="3402" w:type="dxa"/>
            <w:vAlign w:val="center"/>
          </w:tcPr>
          <w:p w14:paraId="23DCF38B">
            <w:pPr>
              <w:spacing w:after="0" w:line="240" w:lineRule="auto"/>
              <w:jc w:val="left"/>
            </w:pPr>
            <w:r>
              <w:rPr>
                <w:rFonts w:ascii="Times New Roman" w:hAnsi="Times New Roman" w:eastAsia="仿宋"/>
                <w:b w:val="0"/>
                <w:sz w:val="19"/>
              </w:rPr>
              <w:t>反映重点宿主鸟类的数量、季节出现规律和易感物种构成，驱动采样加密决策</w:t>
            </w:r>
          </w:p>
        </w:tc>
      </w:tr>
      <w:tr w14:paraId="200B70CF">
        <w:trPr>
          <w:jc w:val="center"/>
        </w:trPr>
        <w:tc>
          <w:tcPr>
            <w:tcW w:w="1984" w:type="dxa"/>
            <w:vAlign w:val="center"/>
          </w:tcPr>
          <w:p w14:paraId="5983BFD0">
            <w:pPr>
              <w:spacing w:after="0" w:line="240" w:lineRule="auto"/>
              <w:jc w:val="left"/>
            </w:pPr>
            <w:r>
              <w:rPr>
                <w:rFonts w:ascii="Times New Roman" w:hAnsi="Times New Roman" w:eastAsia="仿宋"/>
                <w:b w:val="0"/>
                <w:sz w:val="19"/>
              </w:rPr>
              <w:t>重点宿主与聚集风险</w:t>
            </w:r>
          </w:p>
        </w:tc>
        <w:tc>
          <w:tcPr>
            <w:tcW w:w="2268" w:type="dxa"/>
            <w:vAlign w:val="center"/>
          </w:tcPr>
          <w:p w14:paraId="41101D82">
            <w:pPr>
              <w:spacing w:after="0" w:line="240" w:lineRule="auto"/>
              <w:jc w:val="left"/>
            </w:pPr>
            <w:r>
              <w:rPr>
                <w:rFonts w:ascii="Times New Roman" w:hAnsi="Times New Roman" w:eastAsia="仿宋"/>
                <w:b w:val="0"/>
                <w:sz w:val="19"/>
              </w:rPr>
              <w:t>③人禽接触</w:t>
            </w:r>
          </w:p>
        </w:tc>
        <w:tc>
          <w:tcPr>
            <w:tcW w:w="1134" w:type="dxa"/>
            <w:vAlign w:val="center"/>
          </w:tcPr>
          <w:p w14:paraId="23DD6400">
            <w:pPr>
              <w:spacing w:after="0" w:line="240" w:lineRule="auto"/>
              <w:jc w:val="left"/>
            </w:pPr>
            <w:r>
              <w:rPr>
                <w:rFonts w:ascii="Times New Roman" w:hAnsi="Times New Roman" w:eastAsia="仿宋"/>
                <w:b w:val="0"/>
                <w:sz w:val="19"/>
              </w:rPr>
              <w:t>0.20</w:t>
            </w:r>
          </w:p>
        </w:tc>
        <w:tc>
          <w:tcPr>
            <w:tcW w:w="3402" w:type="dxa"/>
            <w:vAlign w:val="center"/>
          </w:tcPr>
          <w:p w14:paraId="16FEC9EE">
            <w:pPr>
              <w:spacing w:after="0" w:line="240" w:lineRule="auto"/>
              <w:jc w:val="left"/>
            </w:pPr>
            <w:r>
              <w:rPr>
                <w:rFonts w:ascii="Times New Roman" w:hAnsi="Times New Roman" w:eastAsia="仿宋"/>
                <w:b w:val="0"/>
                <w:sz w:val="19"/>
              </w:rPr>
              <w:t>反映人、鸟、禽接触界面的暴露强度，决定病原向家禽和人群溢出的概率</w:t>
            </w:r>
          </w:p>
        </w:tc>
      </w:tr>
      <w:tr w14:paraId="31B8CE4F">
        <w:trPr>
          <w:jc w:val="center"/>
        </w:trPr>
        <w:tc>
          <w:tcPr>
            <w:tcW w:w="1984" w:type="dxa"/>
            <w:vAlign w:val="center"/>
          </w:tcPr>
          <w:p w14:paraId="0C5C89E2">
            <w:pPr>
              <w:spacing w:after="0" w:line="240" w:lineRule="auto"/>
              <w:jc w:val="left"/>
            </w:pPr>
            <w:r>
              <w:rPr>
                <w:rFonts w:ascii="Times New Roman" w:hAnsi="Times New Roman" w:eastAsia="仿宋"/>
                <w:b w:val="0"/>
                <w:sz w:val="19"/>
              </w:rPr>
              <w:t>本地暴露</w:t>
            </w:r>
          </w:p>
        </w:tc>
        <w:tc>
          <w:tcPr>
            <w:tcW w:w="2268" w:type="dxa"/>
            <w:vAlign w:val="center"/>
          </w:tcPr>
          <w:p w14:paraId="54113AD5">
            <w:pPr>
              <w:spacing w:after="0" w:line="240" w:lineRule="auto"/>
              <w:jc w:val="left"/>
            </w:pPr>
            <w:r>
              <w:rPr>
                <w:rFonts w:ascii="Times New Roman" w:hAnsi="Times New Roman" w:eastAsia="仿宋"/>
                <w:b w:val="0"/>
                <w:sz w:val="19"/>
              </w:rPr>
              <w:t>④异常死亡和事件报告</w:t>
            </w:r>
          </w:p>
        </w:tc>
        <w:tc>
          <w:tcPr>
            <w:tcW w:w="1134" w:type="dxa"/>
            <w:vAlign w:val="center"/>
          </w:tcPr>
          <w:p w14:paraId="5CB5F3B3">
            <w:pPr>
              <w:spacing w:after="0" w:line="240" w:lineRule="auto"/>
              <w:jc w:val="left"/>
              <w:rPr>
                <w:rFonts w:hint="default" w:eastAsia="仿宋"/>
                <w:lang w:val="en-US" w:eastAsia="zh-CN"/>
              </w:rPr>
            </w:pPr>
            <w:r>
              <w:rPr>
                <w:rFonts w:ascii="Times New Roman" w:hAnsi="Times New Roman" w:eastAsia="仿宋"/>
                <w:b w:val="0"/>
                <w:sz w:val="19"/>
              </w:rPr>
              <w:t>0.</w:t>
            </w:r>
            <w:r>
              <w:rPr>
                <w:rFonts w:hint="eastAsia" w:ascii="Times New Roman" w:hAnsi="Times New Roman" w:eastAsia="仿宋"/>
                <w:b w:val="0"/>
                <w:sz w:val="19"/>
                <w:lang w:val="en-US" w:eastAsia="zh-CN"/>
              </w:rPr>
              <w:t>35</w:t>
            </w:r>
          </w:p>
        </w:tc>
        <w:tc>
          <w:tcPr>
            <w:tcW w:w="3402" w:type="dxa"/>
            <w:vAlign w:val="center"/>
          </w:tcPr>
          <w:p w14:paraId="4F39CDFD">
            <w:pPr>
              <w:spacing w:after="0" w:line="240" w:lineRule="auto"/>
              <w:jc w:val="left"/>
            </w:pPr>
            <w:r>
              <w:rPr>
                <w:rFonts w:ascii="Times New Roman" w:hAnsi="Times New Roman" w:eastAsia="仿宋"/>
                <w:b w:val="0"/>
                <w:sz w:val="19"/>
              </w:rPr>
              <w:t>异常死亡野鸟与检测阳性是最明确的现场处置信号，也是预警升级的直接触发条件；权重加倍体现</w:t>
            </w:r>
            <w:r>
              <w:rPr>
                <w:rFonts w:hint="eastAsia" w:ascii="Times New Roman" w:hAnsi="Times New Roman" w:eastAsia="仿宋"/>
                <w:b w:val="0"/>
                <w:sz w:val="19"/>
                <w:lang w:eastAsia="zh-CN"/>
              </w:rPr>
              <w:t>“</w:t>
            </w:r>
            <w:r>
              <w:rPr>
                <w:rFonts w:ascii="Times New Roman" w:hAnsi="Times New Roman" w:eastAsia="仿宋"/>
                <w:b w:val="0"/>
                <w:sz w:val="19"/>
              </w:rPr>
              <w:t>有异常必核查</w:t>
            </w:r>
            <w:r>
              <w:rPr>
                <w:rFonts w:hint="eastAsia" w:ascii="Times New Roman" w:hAnsi="Times New Roman" w:eastAsia="仿宋"/>
                <w:b w:val="0"/>
                <w:sz w:val="19"/>
                <w:lang w:eastAsia="zh-CN"/>
              </w:rPr>
              <w:t>”</w:t>
            </w:r>
            <w:r>
              <w:rPr>
                <w:rFonts w:ascii="Times New Roman" w:hAnsi="Times New Roman" w:eastAsia="仿宋"/>
                <w:b w:val="0"/>
                <w:sz w:val="19"/>
              </w:rPr>
              <w:t>原则，防止高风险事件被其他指标平均值稀释</w:t>
            </w:r>
          </w:p>
        </w:tc>
      </w:tr>
    </w:tbl>
    <w:p w14:paraId="49E95D90">
      <w:pPr>
        <w:spacing w:before="160" w:after="80"/>
      </w:pPr>
      <w:r>
        <w:rPr>
          <w:rFonts w:ascii="Times New Roman" w:hAnsi="Times New Roman" w:eastAsia="黑体"/>
          <w:b/>
          <w:sz w:val="24"/>
        </w:rPr>
        <w:t>（二）监测预警分级响应规范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4"/>
        <w:gridCol w:w="1020"/>
        <w:gridCol w:w="794"/>
        <w:gridCol w:w="2154"/>
        <w:gridCol w:w="1984"/>
        <w:gridCol w:w="1531"/>
      </w:tblGrid>
      <w:tr w14:paraId="106B0753">
        <w:trPr>
          <w:jc w:val="center"/>
        </w:trPr>
        <w:tc>
          <w:tcPr>
            <w:tcW w:w="1304" w:type="dxa"/>
            <w:shd w:val="clear" w:color="auto" w:fill="D9E1F2"/>
            <w:vAlign w:val="center"/>
          </w:tcPr>
          <w:p w14:paraId="7BB772B0">
            <w:pPr>
              <w:spacing w:after="0" w:line="240" w:lineRule="auto"/>
              <w:jc w:val="center"/>
            </w:pPr>
            <w:r>
              <w:rPr>
                <w:rFonts w:ascii="Times New Roman" w:hAnsi="Times New Roman" w:eastAsia="黑体"/>
                <w:b/>
                <w:sz w:val="20"/>
              </w:rPr>
              <w:t>综合风险指数R</w:t>
            </w:r>
          </w:p>
        </w:tc>
        <w:tc>
          <w:tcPr>
            <w:tcW w:w="1020" w:type="dxa"/>
            <w:shd w:val="clear" w:color="auto" w:fill="D9E1F2"/>
            <w:vAlign w:val="center"/>
          </w:tcPr>
          <w:p w14:paraId="5E92A4B3">
            <w:pPr>
              <w:spacing w:after="0" w:line="240" w:lineRule="auto"/>
              <w:jc w:val="center"/>
            </w:pPr>
            <w:r>
              <w:rPr>
                <w:rFonts w:ascii="Times New Roman" w:hAnsi="Times New Roman" w:eastAsia="黑体"/>
                <w:b/>
                <w:sz w:val="20"/>
              </w:rPr>
              <w:t>预警等级</w:t>
            </w:r>
          </w:p>
        </w:tc>
        <w:tc>
          <w:tcPr>
            <w:tcW w:w="794" w:type="dxa"/>
            <w:shd w:val="clear" w:color="auto" w:fill="D9E1F2"/>
            <w:vAlign w:val="center"/>
          </w:tcPr>
          <w:p w14:paraId="197C3849">
            <w:pPr>
              <w:spacing w:after="0" w:line="240" w:lineRule="auto"/>
              <w:jc w:val="center"/>
            </w:pPr>
            <w:r>
              <w:rPr>
                <w:rFonts w:ascii="Times New Roman" w:hAnsi="Times New Roman" w:eastAsia="黑体"/>
                <w:b/>
                <w:sz w:val="20"/>
              </w:rPr>
              <w:t>预警色</w:t>
            </w:r>
          </w:p>
        </w:tc>
        <w:tc>
          <w:tcPr>
            <w:tcW w:w="2154" w:type="dxa"/>
            <w:shd w:val="clear" w:color="auto" w:fill="D9E1F2"/>
            <w:vAlign w:val="center"/>
          </w:tcPr>
          <w:p w14:paraId="1844E232">
            <w:pPr>
              <w:spacing w:after="0" w:line="240" w:lineRule="auto"/>
              <w:jc w:val="center"/>
            </w:pPr>
            <w:r>
              <w:rPr>
                <w:rFonts w:ascii="Times New Roman" w:hAnsi="Times New Roman" w:eastAsia="黑体"/>
                <w:b/>
                <w:sz w:val="20"/>
              </w:rPr>
              <w:t>监测与采样要求</w:t>
            </w:r>
          </w:p>
        </w:tc>
        <w:tc>
          <w:tcPr>
            <w:tcW w:w="1984" w:type="dxa"/>
            <w:shd w:val="clear" w:color="auto" w:fill="D9E1F2"/>
            <w:vAlign w:val="center"/>
          </w:tcPr>
          <w:p w14:paraId="5C882C21">
            <w:pPr>
              <w:spacing w:after="0" w:line="240" w:lineRule="auto"/>
              <w:jc w:val="center"/>
            </w:pPr>
            <w:r>
              <w:rPr>
                <w:rFonts w:ascii="Times New Roman" w:hAnsi="Times New Roman" w:eastAsia="黑体"/>
                <w:b/>
                <w:sz w:val="20"/>
              </w:rPr>
              <w:t>上报路径</w:t>
            </w:r>
          </w:p>
        </w:tc>
        <w:tc>
          <w:tcPr>
            <w:tcW w:w="1531" w:type="dxa"/>
            <w:shd w:val="clear" w:color="auto" w:fill="D9E1F2"/>
            <w:vAlign w:val="center"/>
          </w:tcPr>
          <w:p w14:paraId="2316D059">
            <w:pPr>
              <w:spacing w:after="0" w:line="240" w:lineRule="auto"/>
              <w:jc w:val="center"/>
            </w:pPr>
            <w:r>
              <w:rPr>
                <w:rFonts w:ascii="Times New Roman" w:hAnsi="Times New Roman" w:eastAsia="黑体"/>
                <w:b/>
                <w:sz w:val="20"/>
              </w:rPr>
              <w:t>响应措施</w:t>
            </w:r>
          </w:p>
        </w:tc>
      </w:tr>
      <w:tr w14:paraId="7DFA4FDA">
        <w:trPr>
          <w:jc w:val="center"/>
        </w:trPr>
        <w:tc>
          <w:tcPr>
            <w:tcW w:w="1304" w:type="dxa"/>
            <w:vAlign w:val="center"/>
          </w:tcPr>
          <w:p w14:paraId="1000E4E1">
            <w:pPr>
              <w:spacing w:after="0" w:line="240" w:lineRule="auto"/>
              <w:jc w:val="left"/>
            </w:pPr>
            <w:r>
              <w:rPr>
                <w:rFonts w:ascii="Times New Roman" w:hAnsi="Times New Roman" w:eastAsia="仿宋"/>
                <w:b w:val="0"/>
                <w:sz w:val="19"/>
              </w:rPr>
              <w:t>1.0 ≤ R &lt; 2.0</w:t>
            </w:r>
          </w:p>
        </w:tc>
        <w:tc>
          <w:tcPr>
            <w:tcW w:w="1020" w:type="dxa"/>
            <w:vAlign w:val="center"/>
          </w:tcPr>
          <w:p w14:paraId="47187223">
            <w:pPr>
              <w:spacing w:after="0" w:line="240" w:lineRule="auto"/>
              <w:jc w:val="left"/>
            </w:pPr>
            <w:r>
              <w:rPr>
                <w:rFonts w:ascii="Times New Roman" w:hAnsi="Times New Roman" w:eastAsia="仿宋"/>
                <w:b w:val="0"/>
                <w:sz w:val="19"/>
              </w:rPr>
              <w:t>低风险</w:t>
            </w:r>
          </w:p>
        </w:tc>
        <w:tc>
          <w:tcPr>
            <w:tcW w:w="794" w:type="dxa"/>
            <w:vAlign w:val="center"/>
          </w:tcPr>
          <w:p w14:paraId="3B79704F">
            <w:pPr>
              <w:spacing w:after="0" w:line="240" w:lineRule="auto"/>
              <w:jc w:val="left"/>
            </w:pPr>
            <w:r>
              <w:rPr>
                <w:rFonts w:ascii="Times New Roman" w:hAnsi="Times New Roman" w:eastAsia="仿宋"/>
                <w:b w:val="0"/>
                <w:sz w:val="19"/>
              </w:rPr>
              <w:t>蓝色</w:t>
            </w:r>
          </w:p>
        </w:tc>
        <w:tc>
          <w:tcPr>
            <w:tcW w:w="2154" w:type="dxa"/>
            <w:vAlign w:val="center"/>
          </w:tcPr>
          <w:p w14:paraId="6D21173B">
            <w:pPr>
              <w:spacing w:after="0" w:line="240" w:lineRule="auto"/>
              <w:jc w:val="left"/>
            </w:pPr>
            <w:r>
              <w:rPr>
                <w:rFonts w:ascii="Times New Roman" w:hAnsi="Times New Roman" w:eastAsia="仿宋"/>
                <w:b w:val="0"/>
                <w:sz w:val="19"/>
              </w:rPr>
              <w:t>维持常规巡查；重点点位每月至少1次；迁徙季前更新点位清单</w:t>
            </w:r>
          </w:p>
        </w:tc>
        <w:tc>
          <w:tcPr>
            <w:tcW w:w="1984" w:type="dxa"/>
            <w:vAlign w:val="center"/>
          </w:tcPr>
          <w:p w14:paraId="28ABA64D">
            <w:pPr>
              <w:spacing w:after="0" w:line="240" w:lineRule="auto"/>
              <w:jc w:val="left"/>
            </w:pPr>
            <w:r>
              <w:rPr>
                <w:rFonts w:ascii="Times New Roman" w:hAnsi="Times New Roman" w:eastAsia="仿宋"/>
                <w:b w:val="0"/>
                <w:sz w:val="19"/>
              </w:rPr>
              <w:t>月度例行报送省级监测主管单位</w:t>
            </w:r>
          </w:p>
        </w:tc>
        <w:tc>
          <w:tcPr>
            <w:tcW w:w="1531" w:type="dxa"/>
            <w:vAlign w:val="center"/>
          </w:tcPr>
          <w:p w14:paraId="1C6EC13E">
            <w:pPr>
              <w:spacing w:after="0" w:line="240" w:lineRule="auto"/>
              <w:jc w:val="left"/>
            </w:pPr>
            <w:r>
              <w:rPr>
                <w:rFonts w:ascii="Times New Roman" w:hAnsi="Times New Roman" w:eastAsia="仿宋"/>
                <w:b w:val="0"/>
                <w:sz w:val="19"/>
              </w:rPr>
              <w:t>开展常规科普和人员培训；保持采样耗材和个人防护用品可用</w:t>
            </w:r>
          </w:p>
        </w:tc>
      </w:tr>
      <w:tr w14:paraId="007181CD">
        <w:trPr>
          <w:jc w:val="center"/>
        </w:trPr>
        <w:tc>
          <w:tcPr>
            <w:tcW w:w="1304" w:type="dxa"/>
            <w:vAlign w:val="center"/>
          </w:tcPr>
          <w:p w14:paraId="5014EBE8">
            <w:pPr>
              <w:spacing w:after="0" w:line="240" w:lineRule="auto"/>
              <w:jc w:val="left"/>
            </w:pPr>
            <w:r>
              <w:rPr>
                <w:rFonts w:ascii="Times New Roman" w:hAnsi="Times New Roman" w:eastAsia="仿宋"/>
                <w:b w:val="0"/>
                <w:sz w:val="19"/>
              </w:rPr>
              <w:t>2.0 ≤ R &lt; 3.0</w:t>
            </w:r>
          </w:p>
        </w:tc>
        <w:tc>
          <w:tcPr>
            <w:tcW w:w="1020" w:type="dxa"/>
            <w:vAlign w:val="center"/>
          </w:tcPr>
          <w:p w14:paraId="63FD6436">
            <w:pPr>
              <w:spacing w:after="0" w:line="240" w:lineRule="auto"/>
              <w:jc w:val="left"/>
            </w:pPr>
            <w:r>
              <w:rPr>
                <w:rFonts w:ascii="Times New Roman" w:hAnsi="Times New Roman" w:eastAsia="仿宋"/>
                <w:b w:val="0"/>
                <w:sz w:val="19"/>
              </w:rPr>
              <w:t>关注风险</w:t>
            </w:r>
          </w:p>
        </w:tc>
        <w:tc>
          <w:tcPr>
            <w:tcW w:w="794" w:type="dxa"/>
            <w:vAlign w:val="center"/>
          </w:tcPr>
          <w:p w14:paraId="0EB064EF">
            <w:pPr>
              <w:spacing w:after="0" w:line="240" w:lineRule="auto"/>
              <w:jc w:val="left"/>
            </w:pPr>
            <w:r>
              <w:rPr>
                <w:rFonts w:ascii="Times New Roman" w:hAnsi="Times New Roman" w:eastAsia="仿宋"/>
                <w:b w:val="0"/>
                <w:sz w:val="19"/>
              </w:rPr>
              <w:t>黄色</w:t>
            </w:r>
          </w:p>
        </w:tc>
        <w:tc>
          <w:tcPr>
            <w:tcW w:w="2154" w:type="dxa"/>
            <w:vAlign w:val="center"/>
          </w:tcPr>
          <w:p w14:paraId="1537A406">
            <w:pPr>
              <w:spacing w:after="0" w:line="240" w:lineRule="auto"/>
              <w:jc w:val="left"/>
            </w:pPr>
            <w:r>
              <w:rPr>
                <w:rFonts w:ascii="Times New Roman" w:hAnsi="Times New Roman" w:eastAsia="仿宋"/>
                <w:b w:val="0"/>
                <w:sz w:val="19"/>
              </w:rPr>
              <w:t>迁徙季重点点位每月2次以上巡查；对高密度聚集点开展粪便或拭子抽样</w:t>
            </w:r>
          </w:p>
        </w:tc>
        <w:tc>
          <w:tcPr>
            <w:tcW w:w="1984" w:type="dxa"/>
            <w:vAlign w:val="center"/>
          </w:tcPr>
          <w:p w14:paraId="58ECD720">
            <w:pPr>
              <w:spacing w:after="0" w:line="240" w:lineRule="auto"/>
              <w:jc w:val="left"/>
            </w:pPr>
            <w:r>
              <w:rPr>
                <w:rFonts w:ascii="Times New Roman" w:hAnsi="Times New Roman" w:eastAsia="仿宋"/>
                <w:b w:val="0"/>
                <w:sz w:val="19"/>
              </w:rPr>
              <w:t>每月通报林业、农业农村、卫生健康相关处室</w:t>
            </w:r>
          </w:p>
        </w:tc>
        <w:tc>
          <w:tcPr>
            <w:tcW w:w="1531" w:type="dxa"/>
            <w:vAlign w:val="center"/>
          </w:tcPr>
          <w:p w14:paraId="42FBAFF2">
            <w:pPr>
              <w:spacing w:after="0" w:line="240" w:lineRule="auto"/>
              <w:jc w:val="left"/>
            </w:pPr>
            <w:r>
              <w:rPr>
                <w:rFonts w:ascii="Times New Roman" w:hAnsi="Times New Roman" w:eastAsia="仿宋"/>
                <w:b w:val="0"/>
                <w:sz w:val="19"/>
              </w:rPr>
              <w:t>启动部门信息共享；提醒周边养殖场户加强防鸟网、消毒和人员车辆管理</w:t>
            </w:r>
          </w:p>
        </w:tc>
      </w:tr>
      <w:tr w14:paraId="172E0555">
        <w:trPr>
          <w:jc w:val="center"/>
        </w:trPr>
        <w:tc>
          <w:tcPr>
            <w:tcW w:w="1304" w:type="dxa"/>
            <w:vAlign w:val="center"/>
          </w:tcPr>
          <w:p w14:paraId="2280B2F9">
            <w:pPr>
              <w:spacing w:after="0" w:line="240" w:lineRule="auto"/>
              <w:jc w:val="left"/>
            </w:pPr>
            <w:r>
              <w:rPr>
                <w:rFonts w:ascii="Times New Roman" w:hAnsi="Times New Roman" w:eastAsia="仿宋"/>
                <w:b w:val="0"/>
                <w:sz w:val="19"/>
              </w:rPr>
              <w:t>3.0 ≤ R &lt; 4.0</w:t>
            </w:r>
          </w:p>
        </w:tc>
        <w:tc>
          <w:tcPr>
            <w:tcW w:w="1020" w:type="dxa"/>
            <w:vAlign w:val="center"/>
          </w:tcPr>
          <w:p w14:paraId="6D033058">
            <w:pPr>
              <w:spacing w:after="0" w:line="240" w:lineRule="auto"/>
              <w:jc w:val="left"/>
            </w:pPr>
            <w:r>
              <w:rPr>
                <w:rFonts w:ascii="Times New Roman" w:hAnsi="Times New Roman" w:eastAsia="仿宋"/>
                <w:b w:val="0"/>
                <w:sz w:val="19"/>
              </w:rPr>
              <w:t>较高风险</w:t>
            </w:r>
          </w:p>
        </w:tc>
        <w:tc>
          <w:tcPr>
            <w:tcW w:w="794" w:type="dxa"/>
            <w:vAlign w:val="center"/>
          </w:tcPr>
          <w:p w14:paraId="41C68ECD">
            <w:pPr>
              <w:spacing w:after="0" w:line="240" w:lineRule="auto"/>
              <w:jc w:val="left"/>
            </w:pPr>
            <w:r>
              <w:rPr>
                <w:rFonts w:ascii="Times New Roman" w:hAnsi="Times New Roman" w:eastAsia="仿宋"/>
                <w:b w:val="0"/>
                <w:sz w:val="19"/>
              </w:rPr>
              <w:t>橙色</w:t>
            </w:r>
          </w:p>
        </w:tc>
        <w:tc>
          <w:tcPr>
            <w:tcW w:w="2154" w:type="dxa"/>
            <w:vAlign w:val="center"/>
          </w:tcPr>
          <w:p w14:paraId="7C7A5E98">
            <w:pPr>
              <w:spacing w:after="0" w:line="240" w:lineRule="auto"/>
              <w:jc w:val="left"/>
            </w:pPr>
            <w:r>
              <w:rPr>
                <w:rFonts w:ascii="Times New Roman" w:hAnsi="Times New Roman" w:eastAsia="仿宋"/>
                <w:b w:val="0"/>
                <w:sz w:val="19"/>
              </w:rPr>
              <w:t>重点湿地、养殖界面和救护机构加密至每周巡查；发现病弱个体即采样送检</w:t>
            </w:r>
          </w:p>
        </w:tc>
        <w:tc>
          <w:tcPr>
            <w:tcW w:w="1984" w:type="dxa"/>
            <w:vAlign w:val="center"/>
          </w:tcPr>
          <w:p w14:paraId="152D827C">
            <w:pPr>
              <w:spacing w:after="0" w:line="240" w:lineRule="auto"/>
              <w:jc w:val="left"/>
            </w:pPr>
            <w:r>
              <w:rPr>
                <w:rFonts w:ascii="Times New Roman" w:hAnsi="Times New Roman" w:eastAsia="仿宋"/>
                <w:b w:val="0"/>
                <w:sz w:val="19"/>
              </w:rPr>
              <w:t>24小时内完成属地和省级通报；必要时组织会商</w:t>
            </w:r>
          </w:p>
        </w:tc>
        <w:tc>
          <w:tcPr>
            <w:tcW w:w="1531" w:type="dxa"/>
            <w:vAlign w:val="center"/>
          </w:tcPr>
          <w:p w14:paraId="20B5BBD1">
            <w:pPr>
              <w:spacing w:after="0" w:line="240" w:lineRule="auto"/>
              <w:jc w:val="left"/>
            </w:pPr>
            <w:r>
              <w:rPr>
                <w:rFonts w:ascii="Times New Roman" w:hAnsi="Times New Roman" w:eastAsia="仿宋"/>
                <w:b w:val="0"/>
                <w:sz w:val="19"/>
              </w:rPr>
              <w:t>设置临时警示区；限制公众接触；对周边养殖点、活禽市场和救护机构开展排查</w:t>
            </w:r>
          </w:p>
        </w:tc>
      </w:tr>
      <w:tr w14:paraId="6F161264">
        <w:trPr>
          <w:jc w:val="center"/>
        </w:trPr>
        <w:tc>
          <w:tcPr>
            <w:tcW w:w="1304" w:type="dxa"/>
            <w:vAlign w:val="center"/>
          </w:tcPr>
          <w:p w14:paraId="19530C36">
            <w:pPr>
              <w:spacing w:after="0" w:line="240" w:lineRule="auto"/>
              <w:jc w:val="left"/>
            </w:pPr>
            <w:r>
              <w:rPr>
                <w:rFonts w:ascii="Times New Roman" w:hAnsi="Times New Roman" w:eastAsia="仿宋"/>
                <w:b w:val="0"/>
                <w:sz w:val="19"/>
              </w:rPr>
              <w:t>4.0 ≤ R ≤ 5.0</w:t>
            </w:r>
          </w:p>
        </w:tc>
        <w:tc>
          <w:tcPr>
            <w:tcW w:w="1020" w:type="dxa"/>
            <w:vAlign w:val="center"/>
          </w:tcPr>
          <w:p w14:paraId="62CFFA14">
            <w:pPr>
              <w:spacing w:after="0" w:line="240" w:lineRule="auto"/>
              <w:jc w:val="left"/>
            </w:pPr>
            <w:r>
              <w:rPr>
                <w:rFonts w:ascii="Times New Roman" w:hAnsi="Times New Roman" w:eastAsia="仿宋"/>
                <w:b w:val="0"/>
                <w:sz w:val="19"/>
              </w:rPr>
              <w:t>高风险</w:t>
            </w:r>
          </w:p>
        </w:tc>
        <w:tc>
          <w:tcPr>
            <w:tcW w:w="794" w:type="dxa"/>
            <w:vAlign w:val="center"/>
          </w:tcPr>
          <w:p w14:paraId="4DD2F6AD">
            <w:pPr>
              <w:spacing w:after="0" w:line="240" w:lineRule="auto"/>
              <w:jc w:val="left"/>
            </w:pPr>
            <w:r>
              <w:rPr>
                <w:rFonts w:ascii="Times New Roman" w:hAnsi="Times New Roman" w:eastAsia="仿宋"/>
                <w:b w:val="0"/>
                <w:sz w:val="19"/>
              </w:rPr>
              <w:t>红色</w:t>
            </w:r>
          </w:p>
        </w:tc>
        <w:tc>
          <w:tcPr>
            <w:tcW w:w="2154" w:type="dxa"/>
            <w:vAlign w:val="center"/>
          </w:tcPr>
          <w:p w14:paraId="2D07502B">
            <w:pPr>
              <w:spacing w:after="0" w:line="240" w:lineRule="auto"/>
              <w:jc w:val="left"/>
            </w:pPr>
            <w:r>
              <w:rPr>
                <w:rFonts w:ascii="Times New Roman" w:hAnsi="Times New Roman" w:eastAsia="仿宋"/>
                <w:b w:val="0"/>
                <w:sz w:val="19"/>
              </w:rPr>
              <w:t>对异常地点实施连续巡查和全流程采样；阳性或聚集死亡区域按应急要求管理</w:t>
            </w:r>
          </w:p>
        </w:tc>
        <w:tc>
          <w:tcPr>
            <w:tcW w:w="1984" w:type="dxa"/>
            <w:vAlign w:val="center"/>
          </w:tcPr>
          <w:p w14:paraId="4AF8771E">
            <w:pPr>
              <w:spacing w:after="0" w:line="240" w:lineRule="auto"/>
              <w:jc w:val="left"/>
            </w:pPr>
            <w:r>
              <w:rPr>
                <w:rFonts w:ascii="Times New Roman" w:hAnsi="Times New Roman" w:eastAsia="仿宋"/>
                <w:b w:val="0"/>
                <w:sz w:val="19"/>
              </w:rPr>
              <w:t>24小时内报省级主管部门，并同步农业农村、卫生健康等部门；视情况上报国家层面</w:t>
            </w:r>
          </w:p>
        </w:tc>
        <w:tc>
          <w:tcPr>
            <w:tcW w:w="1531" w:type="dxa"/>
            <w:vAlign w:val="center"/>
          </w:tcPr>
          <w:p w14:paraId="29D22765">
            <w:pPr>
              <w:spacing w:after="0" w:line="240" w:lineRule="auto"/>
              <w:jc w:val="left"/>
            </w:pPr>
            <w:r>
              <w:rPr>
                <w:rFonts w:ascii="Times New Roman" w:hAnsi="Times New Roman" w:eastAsia="仿宋"/>
                <w:b w:val="0"/>
                <w:sz w:val="19"/>
              </w:rPr>
              <w:t>启动应急响应；划定临时管控区；规范无害化处置；必要时申请国家级技术支援</w:t>
            </w:r>
          </w:p>
        </w:tc>
      </w:tr>
    </w:tbl>
    <w:p w14:paraId="7816124B">
      <w:pPr>
        <w:spacing w:before="40" w:after="80"/>
      </w:pPr>
      <w:r>
        <w:rPr>
          <w:rFonts w:ascii="Times New Roman" w:hAnsi="Times New Roman" w:eastAsia="仿宋"/>
          <w:b w:val="0"/>
          <w:color w:val="646464"/>
          <w:sz w:val="18"/>
        </w:rPr>
        <w:t>注：当④"异常死亡和事件报告"得分≥4分时，不论R值高低，直接启动橙色预警；检出高致病性禽流感阳性或出现聚集性死亡时，直接启动红色预警。</w:t>
      </w:r>
    </w:p>
    <w:p w14:paraId="17FD4FB9">
      <w:pPr>
        <w:spacing w:before="280" w:after="120"/>
      </w:pPr>
      <w:r>
        <w:rPr>
          <w:rFonts w:ascii="Times New Roman" w:hAnsi="Times New Roman" w:eastAsia="黑体"/>
          <w:b/>
          <w:sz w:val="28"/>
        </w:rPr>
        <w:t>五、广东省代表性重点区域</w:t>
      </w:r>
    </w:p>
    <w:p w14:paraId="17837753">
      <w:pPr>
        <w:spacing w:before="0" w:after="100" w:line="360" w:lineRule="auto"/>
        <w:ind w:firstLine="420"/>
      </w:pPr>
      <w:r>
        <w:rPr>
          <w:rFonts w:ascii="Times New Roman" w:hAnsi="Times New Roman" w:eastAsia="仿宋"/>
          <w:b w:val="0"/>
          <w:sz w:val="21"/>
        </w:rPr>
        <w:t>结合广东省</w:t>
      </w:r>
      <w:r>
        <w:rPr>
          <w:rFonts w:hint="eastAsia" w:ascii="Times New Roman" w:hAnsi="Times New Roman" w:eastAsia="仿宋"/>
          <w:b w:val="0"/>
          <w:sz w:val="21"/>
          <w:lang w:val="en-US" w:eastAsia="zh-CN"/>
        </w:rPr>
        <w:t>迁徙</w:t>
      </w:r>
      <w:r>
        <w:rPr>
          <w:rFonts w:ascii="Times New Roman" w:hAnsi="Times New Roman" w:eastAsia="仿宋"/>
          <w:b w:val="0"/>
          <w:sz w:val="21"/>
        </w:rPr>
        <w:t>分布特点、现有疫源疫病监测站布局和重点保护区基础工作，本体系</w:t>
      </w:r>
      <w:r>
        <w:rPr>
          <w:rFonts w:hint="eastAsia" w:ascii="Times New Roman" w:hAnsi="Times New Roman" w:eastAsia="仿宋"/>
          <w:b w:val="0"/>
          <w:sz w:val="21"/>
          <w:lang w:val="en-US" w:eastAsia="zh-CN"/>
        </w:rPr>
        <w:t>选择了三</w:t>
      </w:r>
      <w:r>
        <w:rPr>
          <w:rFonts w:ascii="Times New Roman" w:hAnsi="Times New Roman" w:eastAsia="仿宋"/>
          <w:b w:val="0"/>
          <w:sz w:val="21"/>
        </w:rPr>
        <w:t>个代表性重点区域，作为指标体系试点应用和数据支撑的优先单元。后续可根据各区域物种名录、优势物种和年度监测结果，对重点关注对象与采样布局进行修订。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1984"/>
        <w:gridCol w:w="1984"/>
      </w:tblGrid>
      <w:tr w14:paraId="77523021">
        <w:trPr>
          <w:jc w:val="center"/>
        </w:trPr>
        <w:tc>
          <w:tcPr>
            <w:tcW w:w="1984" w:type="dxa"/>
            <w:shd w:val="clear" w:color="auto" w:fill="D9E1F2"/>
            <w:vAlign w:val="center"/>
          </w:tcPr>
          <w:p w14:paraId="0BE96C93">
            <w:pPr>
              <w:spacing w:after="0" w:line="240" w:lineRule="auto"/>
              <w:jc w:val="center"/>
            </w:pPr>
            <w:r>
              <w:rPr>
                <w:rFonts w:ascii="Times New Roman" w:hAnsi="Times New Roman" w:eastAsia="黑体"/>
                <w:b/>
                <w:sz w:val="20"/>
              </w:rPr>
              <w:t>代表性重点区域</w:t>
            </w:r>
          </w:p>
        </w:tc>
        <w:tc>
          <w:tcPr>
            <w:tcW w:w="1984" w:type="dxa"/>
            <w:shd w:val="clear" w:color="auto" w:fill="D9E1F2"/>
            <w:vAlign w:val="center"/>
          </w:tcPr>
          <w:p w14:paraId="588CB7ED">
            <w:pPr>
              <w:spacing w:after="0" w:line="240" w:lineRule="auto"/>
              <w:jc w:val="center"/>
            </w:pPr>
            <w:r>
              <w:rPr>
                <w:rFonts w:ascii="Times New Roman" w:hAnsi="Times New Roman" w:eastAsia="黑体"/>
                <w:b/>
                <w:sz w:val="20"/>
              </w:rPr>
              <w:t>对应监测基础</w:t>
            </w:r>
          </w:p>
        </w:tc>
        <w:tc>
          <w:tcPr>
            <w:tcW w:w="1984" w:type="dxa"/>
            <w:shd w:val="clear" w:color="auto" w:fill="D9E1F2"/>
            <w:vAlign w:val="center"/>
          </w:tcPr>
          <w:p w14:paraId="1BC465D5">
            <w:pPr>
              <w:spacing w:after="0" w:line="240" w:lineRule="auto"/>
              <w:jc w:val="center"/>
            </w:pPr>
            <w:r>
              <w:rPr>
                <w:rFonts w:ascii="Times New Roman" w:hAnsi="Times New Roman" w:eastAsia="黑体"/>
                <w:b/>
                <w:sz w:val="20"/>
              </w:rPr>
              <w:t>风险关注点</w:t>
            </w:r>
          </w:p>
        </w:tc>
      </w:tr>
      <w:tr w14:paraId="75AC914A">
        <w:trPr>
          <w:jc w:val="center"/>
        </w:trPr>
        <w:tc>
          <w:tcPr>
            <w:tcW w:w="1984" w:type="dxa"/>
            <w:vAlign w:val="center"/>
          </w:tcPr>
          <w:p w14:paraId="31F06DFF">
            <w:pPr>
              <w:spacing w:after="0" w:line="240" w:lineRule="auto"/>
              <w:jc w:val="left"/>
              <w:rPr>
                <w:rFonts w:hint="default" w:ascii="Times New Roman" w:hAnsi="Times New Roman" w:eastAsia="仿宋"/>
                <w:b w:val="0"/>
                <w:sz w:val="19"/>
                <w:lang w:val="en-US" w:eastAsia="zh-CN"/>
              </w:rPr>
            </w:pPr>
            <w:r>
              <w:rPr>
                <w:rFonts w:hint="eastAsia" w:ascii="Times New Roman" w:hAnsi="Times New Roman" w:eastAsia="仿宋"/>
                <w:b w:val="0"/>
                <w:sz w:val="19"/>
                <w:lang w:val="en-US" w:eastAsia="zh-CN"/>
              </w:rPr>
              <w:t>南岭</w:t>
            </w:r>
          </w:p>
        </w:tc>
        <w:tc>
          <w:tcPr>
            <w:tcW w:w="1984" w:type="dxa"/>
            <w:vAlign w:val="center"/>
          </w:tcPr>
          <w:p w14:paraId="2B9EF3BB">
            <w:pPr>
              <w:spacing w:after="0" w:line="240" w:lineRule="auto"/>
              <w:jc w:val="left"/>
              <w:rPr>
                <w:rFonts w:hint="eastAsia" w:ascii="Times New Roman" w:hAnsi="Times New Roman" w:eastAsia="仿宋"/>
                <w:b w:val="0"/>
                <w:sz w:val="19"/>
                <w:lang w:eastAsia="zh-CN"/>
              </w:rPr>
            </w:pPr>
            <w:r>
              <w:rPr>
                <w:rFonts w:hint="eastAsia" w:ascii="Times New Roman" w:hAnsi="Times New Roman" w:eastAsia="仿宋"/>
                <w:b w:val="0"/>
                <w:sz w:val="19"/>
                <w:lang w:eastAsia="zh-CN"/>
              </w:rPr>
              <w:t>广东南岭保护区国家级陆生野生动物疫源疫病监测站</w:t>
            </w:r>
          </w:p>
        </w:tc>
        <w:tc>
          <w:tcPr>
            <w:tcW w:w="1984" w:type="dxa"/>
            <w:vAlign w:val="center"/>
          </w:tcPr>
          <w:p w14:paraId="24D3775D">
            <w:pPr>
              <w:spacing w:after="0" w:line="240" w:lineRule="auto"/>
              <w:jc w:val="left"/>
            </w:pPr>
            <w:r>
              <w:rPr>
                <w:rFonts w:hint="eastAsia" w:ascii="Times New Roman" w:hAnsi="Times New Roman" w:eastAsia="仿宋"/>
                <w:b w:val="0"/>
                <w:sz w:val="19"/>
                <w:lang w:eastAsia="zh-CN"/>
              </w:rPr>
              <w:t>山地森林鸟类多样性高；</w:t>
            </w:r>
            <w:r>
              <w:rPr>
                <w:rFonts w:hint="eastAsia" w:ascii="Times New Roman" w:hAnsi="Times New Roman" w:eastAsia="仿宋"/>
                <w:b w:val="0"/>
                <w:sz w:val="19"/>
                <w:lang w:val="en-US" w:eastAsia="zh-CN"/>
              </w:rPr>
              <w:t>候鸟</w:t>
            </w:r>
            <w:r>
              <w:rPr>
                <w:rFonts w:hint="eastAsia" w:ascii="Times New Roman" w:hAnsi="Times New Roman" w:eastAsia="仿宋"/>
                <w:b w:val="0"/>
                <w:sz w:val="19"/>
                <w:lang w:eastAsia="zh-CN"/>
              </w:rPr>
              <w:t>跨省迁徙与扩散节点</w:t>
            </w:r>
          </w:p>
        </w:tc>
      </w:tr>
      <w:tr w14:paraId="1746E942">
        <w:trPr>
          <w:jc w:val="center"/>
        </w:trPr>
        <w:tc>
          <w:tcPr>
            <w:tcW w:w="1984" w:type="dxa"/>
            <w:vAlign w:val="center"/>
          </w:tcPr>
          <w:p w14:paraId="16EA1AFC">
            <w:pPr>
              <w:spacing w:after="0" w:line="240" w:lineRule="auto"/>
              <w:jc w:val="left"/>
              <w:rPr>
                <w:rFonts w:ascii="Times New Roman" w:hAnsi="Times New Roman" w:eastAsia="仿宋"/>
                <w:b w:val="0"/>
                <w:sz w:val="19"/>
              </w:rPr>
            </w:pPr>
            <w:r>
              <w:rPr>
                <w:rFonts w:ascii="Times New Roman" w:hAnsi="Times New Roman" w:eastAsia="仿宋"/>
                <w:b w:val="0"/>
                <w:sz w:val="19"/>
              </w:rPr>
              <w:t>深圳湾</w:t>
            </w:r>
          </w:p>
        </w:tc>
        <w:tc>
          <w:tcPr>
            <w:tcW w:w="1984" w:type="dxa"/>
            <w:vAlign w:val="center"/>
          </w:tcPr>
          <w:p w14:paraId="7CF01ECF">
            <w:pPr>
              <w:spacing w:after="0" w:line="240" w:lineRule="auto"/>
              <w:jc w:val="left"/>
              <w:rPr>
                <w:rFonts w:ascii="Times New Roman" w:hAnsi="Times New Roman" w:eastAsia="仿宋"/>
                <w:b w:val="0"/>
                <w:sz w:val="19"/>
              </w:rPr>
            </w:pPr>
            <w:r>
              <w:rPr>
                <w:rFonts w:ascii="Times New Roman" w:hAnsi="Times New Roman" w:eastAsia="仿宋"/>
                <w:b w:val="0"/>
                <w:sz w:val="19"/>
              </w:rPr>
              <w:t>广东内伶仃岛福田保护区国家级陆生野生动物疫源疫病监测站</w:t>
            </w:r>
          </w:p>
        </w:tc>
        <w:tc>
          <w:tcPr>
            <w:tcW w:w="1984" w:type="dxa"/>
            <w:vAlign w:val="center"/>
          </w:tcPr>
          <w:p w14:paraId="0C04BDE3">
            <w:pPr>
              <w:spacing w:after="0" w:line="240" w:lineRule="auto"/>
              <w:jc w:val="left"/>
            </w:pPr>
            <w:r>
              <w:rPr>
                <w:rFonts w:ascii="Times New Roman" w:hAnsi="Times New Roman" w:eastAsia="仿宋"/>
                <w:b w:val="0"/>
                <w:sz w:val="19"/>
              </w:rPr>
              <w:t>越冬水鸟种群密度大</w:t>
            </w:r>
            <w:r>
              <w:rPr>
                <w:rFonts w:hint="eastAsia" w:ascii="Times New Roman" w:hAnsi="Times New Roman" w:eastAsia="仿宋"/>
                <w:b w:val="0"/>
                <w:sz w:val="19"/>
                <w:lang w:eastAsia="zh-CN"/>
              </w:rPr>
              <w:t>；</w:t>
            </w:r>
            <w:r>
              <w:rPr>
                <w:rFonts w:ascii="Times New Roman" w:hAnsi="Times New Roman" w:eastAsia="仿宋"/>
                <w:b w:val="0"/>
                <w:sz w:val="19"/>
              </w:rPr>
              <w:t>城市湿地人鸟接触界面复杂</w:t>
            </w:r>
          </w:p>
        </w:tc>
      </w:tr>
      <w:tr w14:paraId="6BC09A63">
        <w:trPr>
          <w:jc w:val="center"/>
        </w:trPr>
        <w:tc>
          <w:tcPr>
            <w:tcW w:w="1984" w:type="dxa"/>
            <w:vAlign w:val="center"/>
          </w:tcPr>
          <w:p w14:paraId="0C56D594">
            <w:pPr>
              <w:spacing w:after="0" w:line="240" w:lineRule="auto"/>
              <w:jc w:val="left"/>
              <w:rPr>
                <w:rFonts w:hint="default" w:ascii="Times New Roman" w:hAnsi="Times New Roman" w:eastAsia="仿宋"/>
                <w:b w:val="0"/>
                <w:sz w:val="19"/>
                <w:lang w:val="en-US" w:eastAsia="zh-CN"/>
              </w:rPr>
            </w:pPr>
            <w:r>
              <w:rPr>
                <w:rFonts w:ascii="Times New Roman" w:hAnsi="Times New Roman" w:eastAsia="仿宋"/>
                <w:b w:val="0"/>
                <w:sz w:val="19"/>
              </w:rPr>
              <w:t>湛江雷州湾</w:t>
            </w:r>
          </w:p>
        </w:tc>
        <w:tc>
          <w:tcPr>
            <w:tcW w:w="1984" w:type="dxa"/>
            <w:vAlign w:val="center"/>
          </w:tcPr>
          <w:p w14:paraId="1216A71C">
            <w:pPr>
              <w:spacing w:after="0" w:line="240" w:lineRule="auto"/>
              <w:jc w:val="left"/>
              <w:rPr>
                <w:rFonts w:ascii="Times New Roman" w:hAnsi="Times New Roman" w:eastAsia="仿宋"/>
                <w:b w:val="0"/>
                <w:sz w:val="19"/>
              </w:rPr>
            </w:pPr>
            <w:r>
              <w:rPr>
                <w:rFonts w:ascii="Times New Roman" w:hAnsi="Times New Roman" w:eastAsia="仿宋"/>
                <w:b w:val="0"/>
                <w:sz w:val="19"/>
              </w:rPr>
              <w:t>广东湛江保护区国家级陆生野生动物疫源疫病监测站</w:t>
            </w:r>
          </w:p>
        </w:tc>
        <w:tc>
          <w:tcPr>
            <w:tcW w:w="1984" w:type="dxa"/>
            <w:vAlign w:val="center"/>
          </w:tcPr>
          <w:p w14:paraId="0AFD47E8">
            <w:pPr>
              <w:spacing w:after="0" w:line="240" w:lineRule="auto"/>
              <w:jc w:val="left"/>
            </w:pPr>
            <w:r>
              <w:rPr>
                <w:rFonts w:ascii="Times New Roman" w:hAnsi="Times New Roman" w:eastAsia="仿宋"/>
                <w:b w:val="0"/>
                <w:sz w:val="19"/>
              </w:rPr>
              <w:t>红树林—鱼塘界面候鸟与家禽共存风险；越冬水鸟种群密度大</w:t>
            </w:r>
          </w:p>
        </w:tc>
      </w:tr>
    </w:tbl>
    <w:p w14:paraId="7DE4F180">
      <w:pPr>
        <w:spacing w:before="280" w:after="120"/>
      </w:pPr>
      <w:r>
        <w:rPr>
          <w:rFonts w:ascii="Times New Roman" w:hAnsi="Times New Roman" w:eastAsia="黑体"/>
          <w:b/>
          <w:sz w:val="28"/>
        </w:rPr>
        <w:t>六、资料补充和年度更新</w:t>
      </w:r>
    </w:p>
    <w:p w14:paraId="2194C587">
      <w:pPr>
        <w:spacing w:before="0" w:after="100" w:line="360" w:lineRule="auto"/>
        <w:ind w:firstLine="420"/>
      </w:pPr>
      <w:r>
        <w:rPr>
          <w:rFonts w:ascii="Times New Roman" w:hAnsi="Times New Roman" w:eastAsia="仿宋"/>
          <w:b w:val="0"/>
          <w:sz w:val="21"/>
        </w:rPr>
        <w:t>本指标体系为可动态更新的鸟类数据支撑框架，并非一次性完成的固定模型。三个代表性重点区域的鸟类物种名录、优势物种、各季节数量变化、重点宿主类群构成、人鸟接触场景、异常死亡记录与实验室检测结果，应作为后续重点补充内容。</w:t>
      </w:r>
    </w:p>
    <w:p w14:paraId="4B548B59">
      <w:pPr>
        <w:spacing w:before="0" w:after="100" w:line="360" w:lineRule="auto"/>
        <w:ind w:firstLine="420"/>
      </w:pPr>
      <w:r>
        <w:rPr>
          <w:rFonts w:ascii="Times New Roman" w:hAnsi="Times New Roman" w:eastAsia="仿宋"/>
          <w:b w:val="0"/>
          <w:sz w:val="21"/>
        </w:rPr>
        <w:t>建议每年迁徙季结束后，结合广东省越冬水鸟同步监测、保护区例行调查、疫源疫病监测站台账和实验室检测结果，对各级指标评分、权重设置和重点关注对象进行年度复盘和修订；当主迁徙路线发生明显变化、出现新的重大疫情，或新增代表性重点区域时，应及时补充。鸟类禽流感易感指数的物种权重应随全球野鸟AIV宿主数据集的更新（如Du等2026数据集后续版本）同步刷新。</w:t>
      </w:r>
    </w:p>
    <w:p w14:paraId="22A55EB7"/>
    <w:p w14:paraId="5C0AB2C3">
      <w:pPr>
        <w:rPr>
          <w:rFonts w:hint="default" w:eastAsia="黑体"/>
          <w:lang w:val="en-US" w:eastAsia="zh-CN"/>
        </w:rPr>
      </w:pPr>
      <w:r>
        <w:rPr>
          <w:rFonts w:ascii="SimHei" w:hAnsi="SimHei" w:eastAsia="黑体"/>
          <w:b/>
          <w:sz w:val="28"/>
        </w:rPr>
        <w:t>参考文献及相关资料</w:t>
      </w:r>
    </w:p>
    <w:bookmarkEnd w:id="0"/>
    <w:p>
      <w:pPr>
        <w:spacing w:after="60"/>
        <w:ind w:hanging="360" w:left="360"/>
      </w:pPr>
      <w:r>
        <w:rPr>
          <w:rFonts w:ascii="Times New Roman" w:hAnsi="Times New Roman" w:eastAsia="宋体"/>
          <w:sz w:val="21"/>
        </w:rPr>
        <w:t>[1] 张敏, 田春坡, 车先丽, 赵岩岩, 陈什旺, 周霞, 邹发生. 广东省鸟类新记录及其与自然和社会经济因素的关联性[J]. 生物多样性, 2022, 30(5): 21396. DOI: 10.17520/biods.2021396.</w:t>
      </w:r>
    </w:p>
    <w:p>
      <w:pPr>
        <w:spacing w:after="60"/>
        <w:ind w:hanging="360" w:left="360"/>
      </w:pPr>
      <w:r>
        <w:rPr>
          <w:rFonts w:ascii="Times New Roman" w:hAnsi="Times New Roman" w:eastAsia="宋体"/>
          <w:sz w:val="21"/>
        </w:rPr>
        <w:t>[2] Du F, Zhang Q, Cheng Y, Liu Y, Lei W, Wang L, Sun H, Sun Y, Liu J, Li Z, Pu J. A taxonomically harmonized global dataset of wild bird hosts for avian influenza virus surveillance[J]. Scientific Data, 2026, 13: 135. DOI: 10.1038/s41597-025-06451-1.</w:t>
      </w:r>
    </w:p>
    <w:p>
      <w:pPr>
        <w:spacing w:after="60"/>
        <w:ind w:hanging="360" w:left="360"/>
      </w:pPr>
      <w:r>
        <w:rPr>
          <w:rFonts w:ascii="Times New Roman" w:hAnsi="Times New Roman" w:eastAsia="宋体"/>
          <w:sz w:val="21"/>
        </w:rPr>
        <w:t>[3] Olsen B, Munster V J, Wallensten A, Waldenström J, Osterhaus A D M E, Fouchier R A M. Global patterns of influenza A virus in wild birds[J]. Science, 2006, 312(5772): 384-388. DOI: 10.1126/science.1122438.</w:t>
      </w:r>
    </w:p>
    <w:p>
      <w:pPr>
        <w:spacing w:after="60"/>
        <w:ind w:hanging="360" w:left="360"/>
      </w:pPr>
      <w:r>
        <w:rPr>
          <w:rFonts w:ascii="Times New Roman" w:hAnsi="Times New Roman" w:eastAsia="宋体"/>
          <w:sz w:val="21"/>
        </w:rPr>
        <w:t>[4] Tian H, Zhou S, Dong L, Van Boeckel T P, Cui Y, Wu Y, Cazelles B, Huang S, Yang R, Grenfell B T, Xu B. Avian influenza H5N1 viral and bird migration networks in Asia[J]. Proceedings of the National Academy of Sciences, 2015, 112(1): 172-177. DOI: 10.1073/pnas.1405216112.</w:t>
      </w:r>
    </w:p>
    <w:p>
      <w:pPr>
        <w:spacing w:after="60"/>
        <w:ind w:hanging="360" w:left="360"/>
      </w:pPr>
      <w:r>
        <w:rPr>
          <w:rFonts w:ascii="Times New Roman" w:hAnsi="Times New Roman" w:eastAsia="宋体"/>
          <w:sz w:val="21"/>
        </w:rPr>
        <w:t>[5] The Global Consortium for H5N8 and Related Influenza Viruses. Role for migratory wild birds in the global spread of avian influenza H5N8[J]. Science, 2016, 354(6309): 213-217. DOI: 10.1126/science.aaf8852.</w:t>
      </w:r>
    </w:p>
    <w:p>
      <w:pPr>
        <w:spacing w:after="60"/>
        <w:ind w:hanging="360" w:left="360"/>
      </w:pPr>
      <w:r>
        <w:rPr>
          <w:rFonts w:ascii="Times New Roman" w:hAnsi="Times New Roman" w:eastAsia="宋体"/>
          <w:sz w:val="21"/>
        </w:rPr>
        <w:t>[6] World Organisation for Animal Health (WOAH). Avian influenza[EB/OL]. https://www.woah.org/en/disease/avian-influenza/（访问日期：2026-05-07）.</w:t>
      </w:r>
    </w:p>
    <w:p>
      <w:pPr>
        <w:spacing w:after="60"/>
        <w:ind w:hanging="360" w:left="360"/>
      </w:pPr>
      <w:r>
        <w:rPr>
          <w:rFonts w:ascii="Times New Roman" w:hAnsi="Times New Roman" w:eastAsia="宋体"/>
          <w:sz w:val="21"/>
        </w:rPr>
        <w:t>[7] World Organisation for Animal Health (WOAH). Animal disease events: WAHIS[EB/OL]. https://wahis.woah.org/#/event-management（访问日期：2026-05-07）.</w:t>
      </w:r>
    </w:p>
    <w:p>
      <w:pPr>
        <w:spacing w:after="60"/>
        <w:ind w:hanging="360" w:left="360"/>
      </w:pPr>
      <w:r>
        <w:rPr>
          <w:rFonts w:ascii="Times New Roman" w:hAnsi="Times New Roman" w:eastAsia="宋体"/>
          <w:sz w:val="21"/>
        </w:rPr>
        <w:t>[8] World Organisation for Animal Health (WOAH). Avian influenza and wildlife: risk management for people working with wild birds[EB/OL]. 2022. https://www.woah.org/app/uploads/2022/08/avian-influenza-and-wildlife-risk-management-for-people-working-with-wild-birds.pdf（访问日期：2026-05-07）.</w:t>
      </w:r>
    </w:p>
    <w:p>
      <w:pPr>
        <w:spacing w:after="60"/>
        <w:ind w:hanging="360" w:left="360"/>
      </w:pPr>
      <w:r>
        <w:rPr>
          <w:rFonts w:ascii="Times New Roman" w:hAnsi="Times New Roman" w:eastAsia="宋体"/>
          <w:sz w:val="21"/>
        </w:rPr>
        <w:t>[9] Food and Agriculture Organization of the United Nations (FAO). Wild birds and avian influenza: an introduction to applied field research and disease sampling techniques[M]. FAO Animal Production and Health Manual No. 5, 2007. https://www.fao.org/4/a1521e/a1521e00.htm（访问日期：2026-05-07）.</w:t>
      </w:r>
    </w:p>
    <w:p>
      <w:pPr>
        <w:spacing w:after="60"/>
        <w:ind w:hanging="360" w:left="360"/>
      </w:pPr>
      <w:r>
        <w:rPr>
          <w:rFonts w:ascii="Times New Roman" w:hAnsi="Times New Roman" w:eastAsia="宋体"/>
          <w:sz w:val="21"/>
        </w:rPr>
        <w:t>[10] 国家林业局. 陆生野生动物疫源疫病监测防控管理办法（国家林业局令第31号）[EB/OL]. 2013-01-22. https://www.gov.cn/zhengce/2013-01/22/content_5718740.htm（访问日期：2026-05-07）.</w:t>
      </w:r>
    </w:p>
    <w:p>
      <w:pPr>
        <w:spacing w:after="60"/>
        <w:ind w:hanging="360" w:left="360"/>
      </w:pPr>
      <w:r>
        <w:rPr>
          <w:rFonts w:ascii="Times New Roman" w:hAnsi="Times New Roman" w:eastAsia="宋体"/>
          <w:sz w:val="21"/>
        </w:rPr>
        <w:t>[11] 国家林业和草原局. 国家林草局部署加强野生动物疫源疫病监测防控[EB/OL]. 2020-12-17. https://www.forestry.gov.cn/c/www/gkzcjd/35955.jhtml（访问日期：2026-05-07）.</w:t>
      </w:r>
    </w:p>
    <w:p>
      <w:pPr>
        <w:spacing w:after="60"/>
        <w:ind w:hanging="360" w:left="360"/>
      </w:pPr>
      <w:r>
        <w:rPr>
          <w:rFonts w:ascii="Times New Roman" w:hAnsi="Times New Roman" w:eastAsia="宋体"/>
          <w:sz w:val="21"/>
        </w:rPr>
        <w:t>[12] 广东省人民政府门户网站. 《广东省候鸟及迁徙通道保护行动计划（2023—2035年）》正式印发[EB/OL]. 2023-12-18. https://www.gd.gov.cn/gdywdt/bmdt/content/post_4302105.html（访问日期：2026-05-07）.</w:t>
      </w:r>
    </w:p>
    <w:p>
      <w:pPr>
        <w:spacing w:after="60"/>
        <w:ind w:hanging="360" w:left="360"/>
      </w:pPr>
      <w:r>
        <w:rPr>
          <w:rFonts w:ascii="Times New Roman" w:hAnsi="Times New Roman" w:eastAsia="宋体"/>
          <w:sz w:val="21"/>
        </w:rPr>
        <w:t>[13] 国家林业和草原局. 广东完成2026年全国越冬水鸟同步监测工作[EB/OL]. 2026-01-30. https://www.forestry.gov.cn/lyj/1/dzbhdt/20260130/658739.html（访问日期：2026-05-07）.</w:t>
      </w:r>
    </w:p>
    <w:p>
      <w:pPr>
        <w:spacing w:after="60"/>
        <w:ind w:hanging="360" w:left="360"/>
      </w:pPr>
      <w:r>
        <w:rPr>
          <w:rFonts w:ascii="Times New Roman" w:hAnsi="Times New Roman" w:eastAsia="宋体"/>
          <w:sz w:val="21"/>
        </w:rPr>
        <w:t>[14] East Asian-Australasian Flyway Partnership (EAAFP). About the East Asian-Australasian Flyway Partnership[EB/OL]. https://eaaflyway.net/about-us/（访问日期：2026-05-07）.</w:t>
      </w:r>
    </w:p>
    <w:p>
      <w:pPr>
        <w:spacing w:after="60"/>
        <w:ind w:hanging="360" w:left="360"/>
      </w:pPr>
      <w:r>
        <w:rPr>
          <w:rFonts w:ascii="Times New Roman" w:hAnsi="Times New Roman" w:eastAsia="宋体"/>
          <w:sz w:val="21"/>
        </w:rPr>
        <w:t>[15] Mundkur T, Langendoen T, Watkins D. Report on the conservation status of migratory waterbirds of the East Asian-Australasian Flyway, First Edition[R]. Wetlands International / EAAFP, 2022. https://www.wetlands.org/publication/eaaf-conservation-status-review1/（访问日期：2026-05-07）.</w:t>
      </w:r>
    </w:p>
    <w:p>
      <w:pPr>
        <w:spacing w:after="60"/>
        <w:ind w:hanging="360" w:left="360"/>
      </w:pPr>
      <w:r>
        <w:rPr>
          <w:rFonts w:ascii="Times New Roman" w:hAnsi="Times New Roman" w:eastAsia="宋体"/>
          <w:sz w:val="21"/>
        </w:rPr>
        <w:t>[16] 刘志发, 杨昌腾, 龚粤宁. 广东南岭国家级自然保护区森林鸟类多样性监测[J]. 热带地理, 2018, 38(3): 328-336. DOI: 10.13284/j.cnki.rddl.003050.</w:t>
      </w:r>
    </w:p>
    <w:sectPr>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仿宋">
    <w:altName w:val="方正仿宋_GBK"/>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方正仿宋_GBK">
    <w:panose1 w:val="03000509000000000000"/>
    <w:charset w:val="86"/>
    <w:family w:val="auto"/>
    <w:pitch w:val="default"/>
    <w:sig w:usb0="00000001" w:usb1="080E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楷体">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sans-serif">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3"/>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6AA5DC"/>
    <w:rsid w:val="7FB183A6"/>
    <w:rsid w:val="FD7CDD9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TotalTime>
  <ScaleCrop>false</ScaleCrop>
  <LinksUpToDate>false</LinksUpToDate>
  <CharactersWithSpaces>0</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python-docx</dc:creator>
  <dc:description>generated by python-docx</dc:description>
  <cp:lastModifiedBy>伍洋</cp:lastModifiedBy>
  <dcterms:modified xsi:type="dcterms:W3CDTF">2026-05-07T14:52:08Z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76115B35FA9003D09836FC690871F607_43</vt:lpwstr>
  </property>
</Properties>
</file>