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00" w:lineRule="exact" w:after="80"/>
        <w:jc w:val="center"/>
      </w:pPr>
      <w:r>
        <w:t>品牌網站開發委託合約書</w:t>
      </w:r>
    </w:p>
    <w:p>
      <w:pPr>
        <w:pStyle w:val="Subtitle"/>
        <w:spacing w:line="300" w:lineRule="exact" w:after="80"/>
        <w:jc w:val="center"/>
      </w:pPr>
      <w:r>
        <w:t>WEBSITE DEVELOPMENT SERVICE AGREEMENT</w:t>
      </w:r>
    </w:p>
    <w:p>
      <w:pPr>
        <w:spacing w:line="300" w:lineRule="exact" w:after="80"/>
        <w:jc w:val="center"/>
      </w:pPr>
      <w:r>
        <w:rPr>
          <w:b w:val="0"/>
          <w:sz w:val="20"/>
        </w:rPr>
        <w:t>標的：SAKURA Kitchen 品牌網站</w:t>
      </w:r>
    </w:p>
    <w:p>
      <w:pPr>
        <w:spacing w:line="300" w:lineRule="exact" w:after="80"/>
      </w:pPr>
      <w:r>
        <w:rPr>
          <w:b w:val="0"/>
        </w:rPr>
        <w:t>立合約書人：</w:t>
      </w:r>
    </w:p>
    <w:p>
      <w:pPr>
        <w:spacing w:line="300" w:lineRule="exact" w:after="80"/>
      </w:pPr>
      <w:r>
        <w:rPr>
          <w:b w:val="0"/>
        </w:rPr>
        <w:t>委託方（以下簡稱「甲方」）：____________________________</w:t>
      </w:r>
    </w:p>
    <w:p>
      <w:pPr>
        <w:spacing w:line="300" w:lineRule="exact" w:after="80"/>
      </w:pPr>
      <w:r>
        <w:rPr>
          <w:b w:val="0"/>
        </w:rPr>
        <w:t>負責人：________________　統一編號：________________</w:t>
      </w:r>
    </w:p>
    <w:p>
      <w:pPr>
        <w:spacing w:line="300" w:lineRule="exact" w:after="80"/>
      </w:pPr>
      <w:r>
        <w:rPr>
          <w:b/>
        </w:rPr>
        <w:t>受託方（以下簡稱「乙方」）：隼訊數位行銷有限公司</w:t>
      </w:r>
    </w:p>
    <w:p>
      <w:pPr>
        <w:spacing w:line="300" w:lineRule="exact" w:after="80"/>
      </w:pPr>
      <w:r>
        <w:rPr>
          <w:b w:val="0"/>
        </w:rPr>
        <w:t>負責人：蔡翊廉　　統一編號：60397487</w:t>
      </w:r>
    </w:p>
    <w:p>
      <w:pPr>
        <w:spacing w:line="300" w:lineRule="exact" w:after="80"/>
      </w:pPr>
      <w:r>
        <w:rPr>
          <w:b w:val="0"/>
        </w:rPr>
        <w:t>甲乙雙方就甲方委託乙方辦理 SAKURA Kitchen 品牌網站設計、前端開發與交付事宜，訂立本合約，雙方應依下列條款履行。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第一條　委託標的及服務範圍</w:t>
      </w:r>
    </w:p>
    <w:p>
      <w:pPr>
        <w:spacing w:line="300" w:lineRule="exact" w:after="80"/>
      </w:pPr>
      <w:r>
        <w:rPr>
          <w:b w:val="0"/>
        </w:rPr>
        <w:t>一、本案採 Nuxt 3 建置繁體中文響應式多頁品牌官網，含首頁與共用導覽、品牌系列與商品展示、設計靈感、廚房裝修指南、型錄、門市查詢與案例、優惠活動與最新消息及影音、品牌介紹與品牌館、服務流程、加盟與建商專區及隱私權頁。</w:t>
      </w:r>
    </w:p>
    <w:p>
      <w:pPr>
        <w:spacing w:line="300" w:lineRule="exact" w:after="80"/>
      </w:pPr>
      <w:r>
        <w:rPr>
          <w:b w:val="0"/>
        </w:rPr>
        <w:t>二、包含前述頁面之版面製作、甲方提供圖文之整合、既有輪播及篩選互動、手機與平板適配、頁面標題與描述等基礎 SEO 設定，以及第六條約定之 CMS 展示雛形。內容筆數、版型與素材，以雙方確認之交付清單及設計稿版本為準。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第二條　合約總價 發票及付款方式</w:t>
      </w:r>
    </w:p>
    <w:p>
      <w:pPr>
        <w:spacing w:line="300" w:lineRule="exact" w:after="80"/>
      </w:pPr>
      <w:r>
        <w:rPr>
          <w:b w:val="0"/>
        </w:rPr>
        <w:t>一、本案開發費用為新臺幣壹拾貳萬元整（NT$120,000，未稅），營業稅百分之五為新臺幣陸仟元整（NT$6,000），含稅總價為新臺幣壹拾貳萬陸仟元整（NT$126,000）。乙方應依實際收款金額開立統一發票。</w:t>
      </w:r>
    </w:p>
    <w:p>
      <w:pPr>
        <w:spacing w:line="300" w:lineRule="exact" w:after="80"/>
      </w:pPr>
      <w:r>
        <w:rPr>
          <w:b w:val="0"/>
          <w:sz w:val="20"/>
        </w:rPr>
        <w:t>二、本案不收取訂金或預付款。甲方應於依第八條驗收通過後 7 日內，一次支付含稅總價新臺幣壹拾貳萬陸仟元整（NT$126,000）；合約提前終止時，依第十三條辦理結算。</w:t>
      </w:r>
    </w:p>
    <w:p>
      <w:pPr>
        <w:spacing w:line="300" w:lineRule="exact" w:after="80"/>
      </w:pPr>
      <w:r>
        <w:rPr>
          <w:b w:val="0"/>
          <w:sz w:val="20"/>
        </w:rPr>
        <w:t>指定匯款帳戶　中國信託商業銀行（822）／帳號：277541622301</w:t>
        <w:br/>
        <w:t>戶名：隼訊數位行銷有限公司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第三條　保固與年度維護</w:t>
      </w:r>
    </w:p>
    <w:p>
      <w:pPr>
        <w:spacing w:line="300" w:lineRule="exact" w:after="80"/>
      </w:pPr>
      <w:r>
        <w:rPr>
          <w:b w:val="0"/>
        </w:rPr>
        <w:t>一、本案自驗收通過之日起保固一年，乙方免費修正可歸責於乙方且不符合本合約之瑕疵；新增需求、甲方自行修改或第三方服務變動，另行議價。</w:t>
      </w:r>
    </w:p>
    <w:p>
      <w:pPr>
        <w:spacing w:line="300" w:lineRule="exact" w:after="80"/>
      </w:pPr>
      <w:r>
        <w:rPr>
          <w:b w:val="0"/>
        </w:rPr>
        <w:t>二、年度代管及維護不自動包含於建置費，是否委託：□另約　□不委託。委託時，雙方應書面列明年費、服務期間、主機／網域費、備份頻率、保存期間及回應時限；未委託者由甲方自行管理。</w:t>
      </w:r>
    </w:p>
    <w:p>
      <w:pPr>
        <w:pStyle w:val="Heading1"/>
        <w:pageBreakBefore/>
        <w:pBdr>
          <w:left w:val="single" w:sz="20" w:space="6" w:color="191919"/>
        </w:pBdr>
        <w:spacing w:line="380" w:lineRule="exact" w:after="80"/>
      </w:pPr>
      <w:r>
        <w:t>第四條　表單串接及第三方服務</w:t>
      </w:r>
    </w:p>
    <w:p>
      <w:pPr>
        <w:spacing w:line="300" w:lineRule="exact" w:after="80"/>
      </w:pPr>
      <w:r>
        <w:rPr>
          <w:b w:val="0"/>
        </w:rPr>
        <w:t>一、加盟申請及建商預約表單包含前端欄位、必填驗證與送出狀態；正式收件 API、郵件、CRM 或其他接收系統之建置與串接，須另列於報價單或交付清單。未列入者，交付以前端介面及明確的未串接提示為限，不得顯示虛假成功訊息。</w:t>
      </w:r>
    </w:p>
    <w:p>
      <w:pPr>
        <w:spacing w:line="300" w:lineRule="exact" w:after="80"/>
      </w:pPr>
      <w:r>
        <w:rPr>
          <w:b w:val="0"/>
        </w:rPr>
        <w:t>二、地圖、影音、型錄連結、字型、主機及其他外部服務之帳號、授權與費用，由雙方於交付清單列明負擔人；原則由甲方持有正式網域及主機帳號，乙方僅取得履約必要權限。</w:t>
      </w:r>
    </w:p>
    <w:p>
      <w:pPr>
        <w:spacing w:line="300" w:lineRule="exact" w:after="80"/>
      </w:pPr>
      <w:r>
        <w:rPr>
          <w:b w:val="0"/>
        </w:rPr>
        <w:t>三、第三方政策、介面或費率變動所需之新增調整，經雙方確認後另計；因乙方設定或程式錯誤所生之問題，仍由乙方依本合約負責修正。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第五條　內容 授權及營運責任</w:t>
      </w:r>
    </w:p>
    <w:p>
      <w:pPr>
        <w:spacing w:line="300" w:lineRule="exact" w:after="80"/>
      </w:pPr>
      <w:r>
        <w:rPr>
          <w:b w:val="0"/>
        </w:rPr>
        <w:t>一、甲方提供品牌標誌、商品資料、圖片、影片、型錄、門市資訊、活動內容及隱私權文字，並確保其使用與公開之合法權源；乙方自行提供之模板、素材與程式，亦應具合法授權。</w:t>
      </w:r>
    </w:p>
    <w:p>
      <w:pPr>
        <w:spacing w:line="300" w:lineRule="exact" w:after="80"/>
      </w:pPr>
      <w:r>
        <w:rPr>
          <w:b w:val="0"/>
        </w:rPr>
        <w:t>二、商品規格、活動辦法、加盟條件、預約回覆及消費爭議由甲方負責；乙方依確認之內容建置頁面。基礎 SEO 不構成搜尋排名、流量、詢問量或成交結果之保證。</w:t>
      </w:r>
    </w:p>
    <w:p>
      <w:pPr>
        <w:spacing w:line="300" w:lineRule="exact" w:after="80"/>
      </w:pPr>
      <w:r>
        <w:rPr>
          <w:b w:val="0"/>
        </w:rPr>
        <w:t>三、本案不包含購物車、會員交易、金流、點數、ERP、薪資、人事或其他營運系統；如需新增，依第九條另行約定。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第六條　CMS 展示雛形及交付方式</w:t>
      </w:r>
    </w:p>
    <w:p>
      <w:pPr>
        <w:spacing w:line="300" w:lineRule="exact" w:after="80"/>
      </w:pPr>
      <w:r>
        <w:rPr>
          <w:b w:val="0"/>
        </w:rPr>
        <w:t>一、CMS 範圍為工作台、首頁管理、內容管理及品牌媒體庫之展示介面，包含展示資料搜尋、篩選、編輯與選圖預覽。儲存、發布及上傳僅顯示展示提示，重新整理後還原，不寫入正式網站或資料庫。</w:t>
      </w:r>
    </w:p>
    <w:p>
      <w:pPr>
        <w:spacing w:line="300" w:lineRule="exact" w:after="80"/>
      </w:pPr>
      <w:r>
        <w:rPr>
          <w:b w:val="0"/>
        </w:rPr>
        <w:t>二、正式 CMS 登入帳號、角色權限、資料庫、檔案上傳、實際儲存發布、操作紀錄與 API 串接不屬前項範圍；需投入營運時，應另行確認功能、費用、工期及驗收方式。</w:t>
      </w:r>
    </w:p>
    <w:p>
      <w:pPr>
        <w:spacing w:line="300" w:lineRule="exact" w:after="80"/>
      </w:pPr>
      <w:r>
        <w:rPr>
          <w:b w:val="0"/>
        </w:rPr>
        <w:t>三、乙方於驗收且甲方付清建置費後 7 日內，交付本案客製原始碼、可交付素材、建置與部署設定、必要操作說明及第三方授權清單。正式部署至甲方指定環境一次；甲方應提供有效帳號及必要設定，需新增之服務另行約定。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第七條　開發期程及資料提供</w:t>
      </w:r>
    </w:p>
    <w:p>
      <w:pPr>
        <w:spacing w:line="300" w:lineRule="exact" w:after="80"/>
      </w:pPr>
      <w:r>
        <w:rPr>
          <w:b w:val="0"/>
        </w:rPr>
        <w:t>一、本合約簽訂、雙方確認需求與設計稿，且甲方提供必要素材及帳號均完成之日起 ______ 個工作天內，乙方完成約定版本供甲方測試；正式上線日期由雙方另行書面確認。工作天不含週六、週日及政府公告休假日。</w:t>
      </w:r>
    </w:p>
    <w:p>
      <w:pPr>
        <w:spacing w:line="300" w:lineRule="exact" w:after="80"/>
      </w:pPr>
      <w:r>
        <w:rPr>
          <w:b w:val="0"/>
        </w:rPr>
        <w:t>二、甲方應指定單一窗口彙整意見。資料延遲、需求變更或必要第三方審核致影響進度時，乙方應說明影響與調整時程，雙方書面確認後順延。既有已完成工作是否納入本案，以第一條確認清單為準。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第八條　驗收</w:t>
      </w:r>
    </w:p>
    <w:p>
      <w:pPr>
        <w:spacing w:line="300" w:lineRule="exact" w:after="80"/>
      </w:pPr>
      <w:r>
        <w:rPr>
          <w:b w:val="0"/>
        </w:rPr>
        <w:t>一、乙方提交可測試版本及交付清單後，甲方應於 7 日內確認或以書面提出具體差異；逾期未回覆者，乙方應再書面催告，甲方於催告送達後 7 日仍未提出具體異議，且交付內容已可正常測試時，視為驗收通過。</w:t>
      </w:r>
    </w:p>
    <w:p>
      <w:pPr>
        <w:spacing w:line="300" w:lineRule="exact" w:after="80"/>
      </w:pPr>
      <w:r>
        <w:rPr>
          <w:b w:val="0"/>
        </w:rPr>
        <w:t>二、驗收依確認之頁面、內容與功能逐項辦理；於約定設計稿之桌面尺寸比對版面，並檢查 390px 手機、768px 平板及 1440px 桌面之可讀性、操作與溢出情形。瀏覽器以驗收時 Chrome、Edge、Safari 最新穩定版為準。</w:t>
      </w:r>
    </w:p>
    <w:p>
      <w:pPr>
        <w:spacing w:line="300" w:lineRule="exact" w:after="80"/>
      </w:pPr>
      <w:r>
        <w:rPr>
          <w:b w:val="0"/>
        </w:rPr>
        <w:t>三、甲方應彙整可重現步驟、畫面及預期結果；乙方於雙方確認之合理期間內修正並重提驗收。影響主要功能之瑕疵未排除前，不得視為通過；不影響主要使用之事項得列入雙方同意之補正清單。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第九條　修改及需求變更</w:t>
      </w:r>
    </w:p>
    <w:p>
      <w:pPr>
        <w:spacing w:line="300" w:lineRule="exact" w:after="80"/>
      </w:pPr>
      <w:r>
        <w:rPr>
          <w:b w:val="0"/>
        </w:rPr>
        <w:t>確認範圍內之設計微調以 ______ 輪為限，每輪由甲方一次彙整。乙方造成之瑕疵修正不計入輪次；新增頁面、重新設計、功能或內容量變更，須先書面確認項目、加減費用及工期後始執行。</w:t>
      </w:r>
    </w:p>
    <w:p>
      <w:pPr>
        <w:pStyle w:val="Heading1"/>
        <w:pageBreakBefore/>
        <w:pBdr>
          <w:left w:val="single" w:sz="20" w:space="6" w:color="191919"/>
        </w:pBdr>
        <w:spacing w:line="380" w:lineRule="exact" w:after="80"/>
      </w:pPr>
      <w:r>
        <w:t>第十條　資料保護與備份</w:t>
      </w:r>
    </w:p>
    <w:p>
      <w:pPr>
        <w:spacing w:line="300" w:lineRule="exact" w:after="80"/>
      </w:pPr>
      <w:r>
        <w:rPr>
          <w:b w:val="0"/>
        </w:rPr>
        <w:t>一、涉及申請人、聯絡人或其他個人資料時，雙方應依實際處理角色遵守個人資料保護相關法令。甲方負責蒐集依據與告知內容；乙方僅於履約必要範圍內處理，並採取適當保護措施，不得另作行銷或其他用途。</w:t>
      </w:r>
    </w:p>
    <w:p>
      <w:pPr>
        <w:spacing w:line="300" w:lineRule="exact" w:after="80"/>
      </w:pPr>
      <w:r>
        <w:rPr>
          <w:b w:val="0"/>
        </w:rPr>
        <w:t>二、乙方於交付前保留本案程式與素材之版本備份；未另約定代管服務時，不承諾持續備份甲方主機或第三方系統資料。正式資料處理、覆寫或刪除應先取得甲方授權並確認可回復方式，不得擅自執行資料損失作業。</w:t>
      </w:r>
    </w:p>
    <w:p>
      <w:pPr>
        <w:spacing w:line="300" w:lineRule="exact" w:after="80"/>
      </w:pPr>
      <w:r>
        <w:rPr>
          <w:b w:val="0"/>
        </w:rPr>
        <w:t>三、正式收件、存放及備份如交由第三方服務，應於啟用前確認其服務內容、存取權限及資料處理安排。發現資料外洩、遺失或未授權存取時，依第十二條通知並處理。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第十一條　智慧財產權</w:t>
      </w:r>
    </w:p>
    <w:p>
      <w:pPr>
        <w:spacing w:line="300" w:lineRule="exact" w:after="80"/>
      </w:pPr>
      <w:r>
        <w:rPr>
          <w:b w:val="0"/>
        </w:rPr>
        <w:t>一、本案由乙方完成且有權處分之客製化設計與程式，其著作財產權於甲方付清全部建置費用後讓與甲方；乙方應確保其員工或協力人員之權利安排足以履行本條。著作人格權依法律規定處理。</w:t>
      </w:r>
    </w:p>
    <w:p>
      <w:pPr>
        <w:spacing w:line="300" w:lineRule="exact" w:after="80"/>
      </w:pPr>
      <w:r>
        <w:rPr>
          <w:b w:val="0"/>
        </w:rPr>
        <w:t>二、乙方既有框架、工具及通用元件之權利仍歸原權利人；其中為本案運作必要且乙方有權授權者，乙方授權甲方永久、非專屬、免另付費地用於本案之使用、維護與修改，並得交由受保密義務拘束之維護廠商於本案範圍內利用。</w:t>
      </w:r>
    </w:p>
    <w:p>
      <w:pPr>
        <w:spacing w:line="300" w:lineRule="exact" w:after="80"/>
      </w:pPr>
      <w:r>
        <w:rPr>
          <w:b w:val="0"/>
        </w:rPr>
        <w:t>三、第三方開源套件、付費模板、字型、圖片及服務依原授權條款使用，不列入著作財產權讓與。乙方應於交付時說明授權、續費及移轉限制；可重用通用技術，不代表可攜出甲方機密資訊或專屬素材。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第十二條　保密協議</w:t>
      </w:r>
    </w:p>
    <w:p>
      <w:pPr>
        <w:spacing w:line="300" w:lineRule="exact" w:after="80"/>
      </w:pPr>
      <w:r>
        <w:rPr>
          <w:b w:val="0"/>
        </w:rPr>
        <w:t>一、保密資訊指雙方因本案洽談、開發、測試、交付或維護而取得，經標示保密或依資訊性質及揭露情境合理可知應保密之資料；包含未公開設計與品牌策略、報價及合作條件、原始碼、架構、帳號密碼與金鑰、客戶及門市名單、申請資料、營運數據與測試資料，不限於書面或電子形式。</w:t>
      </w:r>
    </w:p>
    <w:p>
      <w:pPr>
        <w:spacing w:line="300" w:lineRule="exact" w:after="80"/>
      </w:pPr>
      <w:r>
        <w:rPr>
          <w:b w:val="0"/>
        </w:rPr>
        <w:t>二、收受方僅得為履行本合約使用保密資訊，應以不低於保護自身同類資訊且合理之注意保管，並採必要權限控管及安全傳遞措施；非經揭露方事前書面同意，不得複製、公開、轉交或供本案以外使用。</w:t>
      </w:r>
    </w:p>
    <w:p>
      <w:pPr>
        <w:spacing w:line="300" w:lineRule="exact" w:after="80"/>
      </w:pPr>
      <w:r>
        <w:rPr>
          <w:b w:val="0"/>
        </w:rPr>
        <w:t>三、僅履約必要之員工、顧問或協力廠商得於最小必要範圍接觸保密資訊，收受方應使其受不低於本條之保密義務拘束，並就其履約行為依本合約負責。未經揭露方書面同意，不得將保密資訊上傳公開儲存庫，或交予得公開利用或作模型訓練之 AI 服務。</w:t>
      </w:r>
    </w:p>
    <w:p>
      <w:pPr>
        <w:spacing w:line="300" w:lineRule="exact" w:after="80"/>
      </w:pPr>
      <w:r>
        <w:rPr>
          <w:b w:val="0"/>
        </w:rPr>
        <w:t>四、收受方能證明資訊已合法公開、取得前已合法持有、由有權第三方合法提供，或未使用保密資訊而獨立開發者，不受本條限制。依法令或有權機關要求揭露時，應於法律允許範圍內事先通知，並僅揭露必要部分。</w:t>
      </w:r>
    </w:p>
    <w:p>
      <w:pPr>
        <w:spacing w:line="300" w:lineRule="exact" w:after="80"/>
      </w:pPr>
      <w:r>
        <w:rPr>
          <w:b w:val="0"/>
        </w:rPr>
        <w:t>五、未經甲方事前書面同意，乙方不得公開雙方合作關係、甲方名稱或商標作為客戶案例，亦不得將本案畫面、設計、程式或成效用於作品集、社群、提案或宣傳；網站上線不視為該等宣傳授權。甲方依法或經授權公開之網站內容本身，依前項處理。</w:t>
      </w:r>
    </w:p>
    <w:p>
      <w:pPr>
        <w:spacing w:line="300" w:lineRule="exact" w:after="80"/>
      </w:pPr>
      <w:r>
        <w:rPr>
          <w:b w:val="0"/>
        </w:rPr>
        <w:t>六、發現或合理懷疑保密資訊外洩、遺失或遭未授權存取者，應立即採取阻止擴大之措施，並於知悉後 24 小時內通知他方，持續提供事件範圍、處理進度與改善措施；依法應更早通知或另有通報義務者，從其規定。</w:t>
      </w:r>
    </w:p>
    <w:p>
      <w:pPr>
        <w:spacing w:line="300" w:lineRule="exact" w:after="80"/>
      </w:pPr>
      <w:r>
        <w:rPr>
          <w:b w:val="0"/>
        </w:rPr>
        <w:t>七、履約完成、合約終止或揭露方提出要求時，收受方應於 15 日內返還或刪除非履約必要之保密資訊，並依要求確認處理結果。依法必須保存或系統備份暫無法個別刪除者，應隔離、限制使用，於保存原因消滅或原定備份週期屆滿時刪除，期間仍負保密義務。</w:t>
      </w:r>
    </w:p>
    <w:p>
      <w:pPr>
        <w:spacing w:line="300" w:lineRule="exact" w:after="80"/>
      </w:pPr>
      <w:r>
        <w:rPr>
          <w:b w:val="0"/>
        </w:rPr>
        <w:t>八、本條自雙方因本案首次揭露保密資訊時起適用，於合約終止或履行完畢後持續 5 年；營業秘密於符合法定要件期間、個人資料於依法應保護期間，仍持續受保護。違反者應停止侵害、採取補救措施，並依法賠償可歸責之損害；他方得依法請求必要之保全或排除侵害。</w:t>
      </w:r>
    </w:p>
    <w:p>
      <w:pPr>
        <w:pStyle w:val="Heading1"/>
        <w:pageBreakBefore/>
        <w:pBdr>
          <w:left w:val="single" w:sz="20" w:space="6" w:color="191919"/>
        </w:pBdr>
        <w:spacing w:line="380" w:lineRule="exact" w:after="80"/>
      </w:pPr>
      <w:r>
        <w:t>第十三條　合約變更 終止及不可抗力</w:t>
      </w:r>
    </w:p>
    <w:p>
      <w:pPr>
        <w:spacing w:line="300" w:lineRule="exact" w:after="80"/>
      </w:pPr>
      <w:r>
        <w:rPr>
          <w:b w:val="0"/>
        </w:rPr>
        <w:t>一、本合約之增刪、補充或需求變更，應由雙方有權代表書面確認；電子郵件或可保存且足以確認發送人與同意內容之電子紀錄，亦屬書面。僅提出討論、估價或尚未回覆之訊息，不視為同意變更。</w:t>
      </w:r>
    </w:p>
    <w:p>
      <w:pPr>
        <w:spacing w:line="300" w:lineRule="exact" w:after="80"/>
      </w:pPr>
      <w:r>
        <w:rPr>
          <w:b w:val="0"/>
        </w:rPr>
        <w:t>二、一方重大違約時，他方得以書面通知並給予不少於 7 日之合理改善期間；屆期未改善者，得終止合約。保密資訊已發生之洩漏，其停止侵害及補救義務不因改善期間而延後。</w:t>
      </w:r>
    </w:p>
    <w:p>
      <w:pPr>
        <w:spacing w:line="300" w:lineRule="exact" w:after="80"/>
      </w:pPr>
      <w:r>
        <w:rPr>
          <w:b w:val="0"/>
        </w:rPr>
        <w:t>三、甲方提前終止或雙方合意終止時，應就可交付之已完成工作、經甲方同意且無法取消之第三方支出及依法應負擔之損害結算；乙方應提供計算依據。已付款超過應結算金額者應退還，不足者由甲方補足；不得就相同損失重複請求。</w:t>
      </w:r>
    </w:p>
    <w:p>
      <w:pPr>
        <w:spacing w:line="300" w:lineRule="exact" w:after="80"/>
      </w:pPr>
      <w:r>
        <w:rPr>
          <w:b w:val="0"/>
        </w:rPr>
        <w:t>四、終止時，乙方應交付已結清費用對應之成果，協助移交甲方持有之帳號及資料，並依第十條至第十二條辦理資料、權利及保密事項；乙方不得因款項爭議擅自刪除或破壞甲方資料。</w:t>
      </w:r>
    </w:p>
    <w:p>
      <w:pPr>
        <w:spacing w:line="300" w:lineRule="exact" w:after="80"/>
      </w:pPr>
      <w:r>
        <w:rPr>
          <w:b w:val="0"/>
        </w:rPr>
        <w:t>五、因天災、戰爭或其他不可歸責於雙方之事由，致無法或延遲履約者，受影響方應及時通知並採合理減損措施，雙方協議調整期程；已到期款項、既有資料保護及保密義務不因此當然免除。</w:t>
      </w:r>
    </w:p>
    <w:p>
      <w:pPr>
        <w:pStyle w:val="Heading1"/>
        <w:pBdr>
          <w:left w:val="single" w:sz="20" w:space="6" w:color="191919"/>
        </w:pBdr>
        <w:spacing w:line="380" w:lineRule="exact" w:after="80"/>
      </w:pPr>
      <w:r>
        <w:t>第十四條　爭議處理及其他</w:t>
      </w:r>
    </w:p>
    <w:p>
      <w:pPr>
        <w:spacing w:line="300" w:lineRule="exact" w:after="80"/>
      </w:pPr>
      <w:r>
        <w:rPr>
          <w:b w:val="0"/>
        </w:rPr>
        <w:t>一、本合約以中華民國法律為準據法；雙方應先誠信協商爭議，如涉訟，合意以臺灣桃園地方法院為第一審管轄法院，但法律另有專屬管轄規定者從其規定。</w:t>
      </w:r>
    </w:p>
    <w:p>
      <w:pPr>
        <w:spacing w:line="300" w:lineRule="exact" w:after="80"/>
      </w:pPr>
      <w:r>
        <w:rPr>
          <w:b w:val="0"/>
        </w:rPr>
        <w:t>二、本合約與雙方簽認之報價單、交付清單、設計稿版本及書面補充約定共同構成完整契約。條款一部無效，不影響其餘條款效力；未盡事宜依相關法令及雙方書面協議辦理。</w:t>
      </w:r>
    </w:p>
    <w:p>
      <w:pPr>
        <w:spacing w:line="300" w:lineRule="exact" w:after="80"/>
      </w:pPr>
      <w:r>
        <w:rPr>
          <w:b w:val="0"/>
        </w:rPr>
        <w:t>三、本合約一式貳份，由甲乙雙方各執壹份為憑；簽約時應填妥工期、修改輪次及附件版本，並由雙方確認。</w:t>
      </w:r>
    </w:p>
    <w:p>
      <w:pPr>
        <w:spacing w:line="300" w:lineRule="exact" w:after="80"/>
      </w:pPr>
      <w:r>
        <w:rPr>
          <w:b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cantSplit/>
        </w:trPr>
        <w:tc>
          <w:tcPr>
            <w:tcW w:type="dxa" w:w="50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91919"/>
          </w:tcPr>
          <w:p>
            <w:pPr>
              <w:keepNext/>
              <w:spacing w:after="20" w:line="280" w:lineRule="exact"/>
            </w:pPr>
            <w:r>
              <w:rPr>
                <w:b/>
                <w:color w:val="FFFFFF"/>
                <w:sz w:val="20"/>
              </w:rPr>
              <w:t>甲方　委託方</w:t>
            </w:r>
          </w:p>
        </w:tc>
        <w:tc>
          <w:tcPr>
            <w:tcW w:type="dxa" w:w="50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91919"/>
          </w:tcPr>
          <w:p>
            <w:pPr>
              <w:keepNext/>
              <w:spacing w:after="20" w:line="280" w:lineRule="exact"/>
            </w:pPr>
            <w:r>
              <w:rPr>
                <w:b/>
                <w:color w:val="FFFFFF"/>
                <w:sz w:val="20"/>
              </w:rPr>
              <w:t>乙方　受託方</w:t>
            </w:r>
          </w:p>
        </w:tc>
      </w:tr>
      <w:tr>
        <w:trPr>
          <w:cantSplit/>
        </w:trPr>
        <w:tc>
          <w:tcPr>
            <w:tcW w:type="dxa" w:w="50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sz w:val="20"/>
              </w:rPr>
              <w:t>公司／單位名稱：________________</w:t>
              <w:br/>
              <w:br/>
              <w:t>負責人：________________________</w:t>
              <w:br/>
              <w:br/>
              <w:t>統一編號：______________________</w:t>
              <w:br/>
              <w:br/>
              <w:t>地址：__________________________</w:t>
              <w:br/>
              <w:br/>
              <w:t>聯絡電話：______________________</w:t>
              <w:br/>
              <w:br/>
              <w:t>電子郵件：______________________</w:t>
              <w:br/>
              <w:br/>
              <w:t>簽章／用印：</w:t>
            </w:r>
          </w:p>
        </w:tc>
        <w:tc>
          <w:tcPr>
            <w:tcW w:type="dxa" w:w="50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sz w:val="20"/>
              </w:rPr>
              <w:t>公司名稱：隼訊數位行銷有限公司</w:t>
              <w:br/>
              <w:br/>
              <w:t>負責人：蔡翊廉</w:t>
              <w:br/>
              <w:br/>
              <w:t>統一編號：60397487</w:t>
              <w:br/>
              <w:br/>
              <w:t>地址：__________________________</w:t>
              <w:br/>
              <w:br/>
              <w:t>聯絡電話：0958-801-559</w:t>
              <w:br/>
              <w:br/>
              <w:t>電子郵件：______________________</w:t>
              <w:br/>
              <w:br/>
              <w:t>簽章／用印：</w:t>
            </w:r>
          </w:p>
          <w:p>
            <w:pPr>
              <w:spacing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40000" cy="879441"/>
                  <wp:docPr id="1" name="Picture 1" descr="隼訊數位行銷有限公司公司章及負責人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79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line="300" w:lineRule="exact" w:after="80"/>
        <w:jc w:val="center"/>
      </w:pPr>
      <w:r>
        <w:rPr>
          <w:b w:val="0"/>
        </w:rPr>
        <w:t>中華民國　________ 年　________ 月　________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35" w:left="935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20" w:lineRule="exact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頁／共 </w:t>
    </w:r>
    <w:fldSimple w:instr="NUMPAGES"/>
    <w:r>
      <w:rPr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20" w:lineRule="exact"/>
      <w:jc w:val="right"/>
    </w:pPr>
    <w:r>
      <w:rPr>
        <w:color w:val="777777"/>
        <w:sz w:val="16"/>
      </w:rPr>
      <w:t>SAKURA Kitchen　品牌網站開發委託合約書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Songti TC" w:hAnsi="Songti TC" w:eastAsia="Songti TC" w:cs="Songti TC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TC" w:hAnsi="Songti TC" w:eastAsia="Songti TC" w:cs="Songti T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ngti TC" w:hAnsi="Songti TC" w:eastAsia="Songti TC" w:cs="Songti T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TC" w:hAnsi="Songti TC" w:eastAsia="Songti TC" w:cs="Songti T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ngti TC" w:hAnsi="Songti TC" w:eastAsia="Songti TC" w:cs="Songti T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80" w:lineRule="exact"/>
      <w:outlineLvl w:val="0"/>
    </w:pPr>
    <w:rPr>
      <w:rFonts w:ascii="Songti TC" w:hAnsi="Songti TC" w:eastAsia="Songti TC" w:cs="Songti TC"/>
      <w:b/>
      <w:bCs/>
      <w:color w:val="19191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ongti TC" w:hAnsi="Songti TC" w:eastAsia="Songti TC" w:cs="Songti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ongti TC" w:hAnsi="Songti TC" w:eastAsia="Songti TC" w:cs="Songti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ngti TC" w:hAnsi="Songti TC" w:eastAsia="Songti TC" w:cs="Songti T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ngti TC" w:hAnsi="Songti TC" w:eastAsia="Songti TC" w:cs="Songti T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ngti TC" w:hAnsi="Songti TC" w:eastAsia="Songti TC" w:cs="Songti T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ngti TC" w:hAnsi="Songti TC" w:eastAsia="Songti TC" w:cs="Songti T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ngti TC" w:hAnsi="Songti TC" w:eastAsia="Songti TC" w:cs="Songti T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ngti TC" w:hAnsi="Songti TC" w:eastAsia="Songti TC" w:cs="Songti T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ngti TC" w:hAnsi="Songti TC" w:eastAsia="Songti TC" w:cs="Songti T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TC" w:hAnsi="Songti TC" w:eastAsia="Songti TC" w:cs="Songti T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ongti TC" w:hAnsi="Songti TC" w:eastAsia="Songti TC" w:cs="Songti T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ongti TC" w:hAnsi="Songti TC" w:eastAsia="Songti TC" w:cs="Songti T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ongti TC" w:hAnsi="Songti TC" w:eastAsia="Songti TC" w:cs="Songti T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600" w:lineRule="exact"/>
      <w:contextualSpacing/>
    </w:pPr>
    <w:rPr>
      <w:rFonts w:ascii="Songti TC" w:hAnsi="Songti TC" w:eastAsia="Songti TC" w:cs="Songti TC"/>
      <w:b/>
      <w:i w:val="0"/>
      <w:color w:val="19191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ongti TC" w:hAnsi="Songti TC" w:eastAsia="Songti TC" w:cs="Songti T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80" w:lineRule="exact"/>
    </w:pPr>
    <w:rPr>
      <w:rFonts w:ascii="Songti TC" w:hAnsi="Songti TC" w:eastAsia="Songti TC" w:cs="Songti TC"/>
      <w:i w:val="0"/>
      <w:iCs/>
      <w:color w:val="191919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ongti TC" w:hAnsi="Songti TC" w:eastAsia="Songti TC" w:cs="Songti T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TC" w:hAnsi="Songti TC" w:eastAsia="Songti TC" w:cs="Songti T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TC" w:hAnsi="Songti TC" w:eastAsia="Songti TC" w:cs="Songti T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ngti TC" w:hAnsi="Songti TC" w:eastAsia="Songti TC" w:cs="Songti T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TC" w:hAnsi="Songti TC" w:eastAsia="Songti TC" w:cs="Songti T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ngti TC" w:hAnsi="Songti TC" w:eastAsia="Songti TC" w:cs="Songti T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TC" w:hAnsi="Songti TC" w:eastAsia="Songti TC" w:cs="Songti T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ngti TC" w:hAnsi="Songti TC" w:eastAsia="Songti TC" w:cs="Songti T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TC" w:hAnsi="Songti TC" w:eastAsia="Songti TC" w:cs="Songti T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TC" w:hAnsi="Songti TC" w:eastAsia="Songti TC" w:cs="Songti T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TC" w:hAnsi="Songti TC" w:eastAsia="Songti TC" w:cs="Songti T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TC" w:hAnsi="Songti TC" w:eastAsia="Songti TC" w:cs="Songti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TC" w:hAnsi="Songti TC" w:eastAsia="Songti TC" w:cs="Songti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TC" w:hAnsi="Songti TC" w:eastAsia="Songti TC" w:cs="Songti T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TC" w:hAnsi="Songti TC" w:eastAsia="Songti TC" w:cs="Songti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TC" w:hAnsi="Songti TC" w:eastAsia="Songti TC" w:cs="Songti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TC" w:hAnsi="Songti TC" w:eastAsia="Songti TC" w:cs="Songti T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TC" w:hAnsi="Songti TC" w:eastAsia="Songti TC" w:cs="Songti T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TC" w:hAnsi="Songti TC" w:eastAsia="Songti TC" w:cs="Songti T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TC" w:hAnsi="Songti TC" w:eastAsia="Songti TC" w:cs="Songti T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TC" w:hAnsi="Songti TC" w:eastAsia="Songti TC" w:cs="Songti T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TC" w:hAnsi="Songti TC" w:eastAsia="Songti TC" w:cs="Songti T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TC" w:hAnsi="Songti TC" w:eastAsia="Songti TC" w:cs="Songti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ngti TC" w:hAnsi="Songti TC" w:eastAsia="Songti TC" w:cs="Songti T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ongti TC" w:hAnsi="Songti TC" w:eastAsia="Songti TC" w:cs="Songti T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ongti TC" w:hAnsi="Songti TC" w:eastAsia="Songti TC" w:cs="Songti T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ongti TC" w:hAnsi="Songti TC" w:eastAsia="Songti TC" w:cs="Songti T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ongti TC" w:hAnsi="Songti TC" w:eastAsia="Songti TC" w:cs="Songti T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ongti TC" w:hAnsi="Songti TC" w:eastAsia="Songti TC" w:cs="Songti T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ongti TC" w:hAnsi="Songti TC" w:eastAsia="Songti TC" w:cs="Songti T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TC" w:hAnsi="Songti TC" w:eastAsia="Songti TC" w:cs="Songti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ngti TC" w:hAnsi="Songti TC" w:eastAsia="Songti TC" w:cs="Songti T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ongti TC" w:hAnsi="Songti TC" w:eastAsia="Songti TC" w:cs="Songti T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ongti TC" w:hAnsi="Songti TC" w:eastAsia="Songti TC" w:cs="Songti T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ngti TC" w:hAnsi="Songti TC" w:eastAsia="Songti TC" w:cs="Songti T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ngti TC" w:hAnsi="Songti TC" w:eastAsia="Songti TC" w:cs="Songti T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ngti TC" w:hAnsi="Songti TC" w:eastAsia="Songti TC" w:cs="Songti T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ngti TC" w:hAnsi="Songti TC" w:eastAsia="Songti TC" w:cs="Songti T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ngti TC" w:hAnsi="Songti TC" w:eastAsia="Songti TC" w:cs="Songti T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ngti TC" w:hAnsi="Songti TC" w:eastAsia="Songti TC" w:cs="Songti T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TC" w:hAnsi="Songti TC" w:eastAsia="Songti TC" w:cs="Songti T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SAKURA Kitchen 品牌網站開發委託合約書</dc:title>
  <dc:subject>網站開發委託及保密協議</dc:subject>
  <dc:creator>隼訊數位行銷有限公司</dc:creator>
  <cp:keywords>SAKURA Kitchen, 網站開發, 保密協議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