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18773">
      <w:pPr>
        <w:pStyle w:val="2"/>
        <w:bidi w:val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实验三 ARM 处理器工作模式实验</w:t>
      </w:r>
    </w:p>
    <w:p w14:paraId="47F101F7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258C084E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掌握使用 msr/mrs 指令实现 ARM 处理器工作模式切换，观察不同模式下的寄存器，加深对 CPU 结构的理解。</w:t>
      </w:r>
    </w:p>
    <w:p w14:paraId="7EC4D090">
      <w:pPr>
        <w:ind w:firstLine="420" w:firstLineChars="0"/>
        <w:rPr>
          <w:rFonts w:hint="eastAsia"/>
        </w:rPr>
      </w:pPr>
      <w:r>
        <w:rPr>
          <w:rFonts w:hint="eastAsia" w:ascii="黑体" w:hAnsi="黑体" w:eastAsia="黑体" w:cs="黑体"/>
        </w:rPr>
        <w:t>掌握 ld 中通过命令行指定代码段起始地址的方法。</w:t>
      </w:r>
    </w:p>
    <w:p w14:paraId="11176E05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实验原理</w:t>
      </w:r>
    </w:p>
    <w:p w14:paraId="2FC1AAA5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ARM 处理器模式：支持 7 种模式，包括用户模式、FIQ、IRQ 等，除用户模式外均为特权模式，异常模式可通过异常触发进入。</w:t>
      </w:r>
    </w:p>
    <w:p w14:paraId="5FA2C0E1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程序状态寄存器：CPSR 包含条件码标志、中断禁止位和模式位，SPSR 用于保留异常发生时 CPSR 的状态。</w:t>
      </w:r>
    </w:p>
    <w:p w14:paraId="48C2121B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模式切换指令：MRS 用于将状态寄存器内容传到通用寄存器，MSR 用于反向传送，实现模式切换。</w:t>
      </w:r>
    </w:p>
    <w:p w14:paraId="0AC97ECE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</w:t>
      </w:r>
    </w:p>
    <w:p w14:paraId="32BFF546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 ADS 下创建工程 asmmodelab，完成各模式下的堆栈初始化，将 R1-R12 内容存入当前模式堆栈。</w:t>
      </w:r>
    </w:p>
    <w:p w14:paraId="2FEAFE7A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 AXD 单步调试，验证工作模式切换，观察 CPSR 寄存器和 SP（R13）的变化。</w:t>
      </w:r>
    </w:p>
    <w:p w14:paraId="1B940607">
      <w:pPr>
        <w:ind w:firstLine="420" w:firstLineChars="0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记录实验过程中的关键问题及答案</w:t>
      </w:r>
      <w:r>
        <w:rPr>
          <w:rFonts w:hint="eastAsia" w:ascii="黑体" w:hAnsi="黑体" w:eastAsia="黑体" w:cs="黑体"/>
          <w:lang w:eastAsia="zh-CN"/>
        </w:rPr>
        <w:t>：</w:t>
      </w:r>
    </w:p>
    <w:p w14:paraId="7858AF8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1）程序复位之后系统处于什么模式？ </w:t>
      </w:r>
    </w:p>
    <w:p w14:paraId="351267D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2）记录每种模式下的初始堆栈指针，以及执行 R1-R12 内容压栈后本模式堆栈相 </w:t>
      </w:r>
    </w:p>
    <w:p w14:paraId="094A28D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关内存单元的数值。并分析快速中断 FIQ 模式与其他模式存入的 R1-R12 有什 </w:t>
      </w:r>
    </w:p>
    <w:p w14:paraId="14B5FFC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么不同。</w:t>
      </w:r>
    </w:p>
    <w:p w14:paraId="130A081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3）切换成用户模式之后还能否从用户模式切换到其他模式（如系统模式）？ </w:t>
      </w:r>
    </w:p>
    <w:p w14:paraId="0239596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4）用户模式下能否执行堆栈压栈操作？如果能得话，观察用户模式下压栈之前和 </w:t>
      </w:r>
    </w:p>
    <w:p w14:paraId="18E4E8B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压栈之后其堆栈区域的变化情况。 </w:t>
      </w:r>
    </w:p>
    <w:p w14:paraId="0A60E98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5）观察本程序模式切换过程中 SPSR 有无变化，并解释其原因。</w:t>
      </w:r>
    </w:p>
    <w:p w14:paraId="42741DEB">
      <w:pPr>
        <w:ind w:left="420" w:leftChars="0" w:firstLine="420" w:firstLineChars="0"/>
        <w:rPr>
          <w:rFonts w:hint="eastAsia" w:ascii="黑体" w:hAnsi="黑体" w:eastAsia="黑体" w:cs="黑体"/>
          <w:lang w:eastAsia="zh-CN"/>
        </w:rPr>
      </w:pPr>
    </w:p>
    <w:p w14:paraId="765DB00E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实验设备</w:t>
      </w:r>
    </w:p>
    <w:p w14:paraId="7C3F45E6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硬件：PC 机。</w:t>
      </w:r>
    </w:p>
    <w:p w14:paraId="48134899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软件：ADS1.2 集成开发环境。</w:t>
      </w:r>
    </w:p>
    <w:p w14:paraId="3EBBAAED">
      <w:pPr>
        <w:pStyle w:val="3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实验过程</w:t>
      </w:r>
    </w:p>
    <w:p w14:paraId="4CA66949">
      <w:pPr>
        <w:numPr>
          <w:ilvl w:val="0"/>
          <w:numId w:val="1"/>
        </w:num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示例代码实验</w:t>
      </w:r>
    </w:p>
    <w:p w14:paraId="3591243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1.程序复位之后系统处于什么模式？ </w:t>
      </w:r>
    </w:p>
    <w:p w14:paraId="5F94FFC1">
      <w:pPr>
        <w:numPr>
          <w:ilvl w:val="0"/>
          <w:numId w:val="0"/>
        </w:numPr>
        <w:ind w:left="84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程序复位后，观察CPSR寄存器</w:t>
      </w:r>
    </w:p>
    <w:p w14:paraId="1356ACBD">
      <w:pPr>
        <w:numPr>
          <w:ilvl w:val="0"/>
          <w:numId w:val="0"/>
        </w:numPr>
        <w:ind w:left="84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0375" cy="3238500"/>
            <wp:effectExtent l="0" t="0" r="9525" b="0"/>
            <wp:docPr id="1" name="图片 1" descr="e0c22ff6-1d4a-4009-8ecd-14c0d8030f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0c22ff6-1d4a-4009-8ecd-14c0d8030ff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BE99">
      <w:pPr>
        <w:pStyle w:val="4"/>
        <w:numPr>
          <w:ilvl w:val="0"/>
          <w:numId w:val="0"/>
        </w:numPr>
        <w:ind w:left="84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CPSR寄存器</w:t>
      </w:r>
    </w:p>
    <w:p w14:paraId="4452F4C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在程序复位后，系统处于SVC模式下，此时的堆栈指针为0x8130。观察此时模式，我们可以发现此时为管理模式，根据我们所学，这是正确的，当单片机上电复位后，会先处于管理模式，再进入其他特权模式，依次初始化对应的堆栈，最后才进入用户模式。</w:t>
      </w:r>
    </w:p>
    <w:p w14:paraId="4137EBB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2）记录每种模式下的初始堆栈指针，以及执行 R1-R12 内容压栈后本模式堆栈相 </w:t>
      </w:r>
    </w:p>
    <w:p w14:paraId="18A4F78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关内存单元的数值。并分析快速中断 FIQ 模式与其他模式存入的 R1-R12 有什么不同。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ab/>
      </w:r>
      <w:r>
        <w:rPr>
          <w:rFonts w:hint="eastAsia"/>
          <w:lang w:val="en-US" w:eastAsia="zh-CN"/>
        </w:rPr>
        <w:t>进行单步运行，观察R13的变化（当前模式的堆栈指针）。</w:t>
      </w:r>
    </w:p>
    <w:p w14:paraId="676140C2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78DF25C3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 w14:paraId="2D363E4B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90445" cy="3395980"/>
            <wp:effectExtent l="0" t="0" r="14605" b="13970"/>
            <wp:docPr id="2" name="图片 2" descr="d81c48a89da09c66a5cdc8779b5e5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81c48a89da09c66a5cdc8779b5e5d7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DF73">
      <w:pPr>
        <w:pStyle w:val="4"/>
        <w:ind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IRQ模式</w:t>
      </w:r>
    </w:p>
    <w:p w14:paraId="6C346C13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68855" cy="3364230"/>
            <wp:effectExtent l="0" t="0" r="17145" b="7620"/>
            <wp:docPr id="3" name="图片 3" descr="4c085e8cd82f78631877a3524464c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c085e8cd82f78631877a3524464c78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5BC0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FIQ模式</w:t>
      </w:r>
    </w:p>
    <w:p w14:paraId="35F5FA5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33930" cy="3312795"/>
            <wp:effectExtent l="0" t="0" r="13970" b="1905"/>
            <wp:docPr id="5" name="图片 5" descr="41a2e768a2884b55d62bfa2988e182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1a2e768a2884b55d62bfa2988e1825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3E6D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ABORT模式</w:t>
      </w:r>
    </w:p>
    <w:p w14:paraId="12F2033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85035" cy="3239770"/>
            <wp:effectExtent l="0" t="0" r="5715" b="17780"/>
            <wp:docPr id="6" name="图片 6" descr="b87dfc3fae722099f6b8701e3054a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87dfc3fae722099f6b8701e3054ad3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503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0AF7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Undef模式</w:t>
      </w:r>
    </w:p>
    <w:p w14:paraId="02CAC8A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22830" cy="3378835"/>
            <wp:effectExtent l="0" t="0" r="1270" b="12065"/>
            <wp:docPr id="7" name="图片 7" descr="6c1bf4bf9ae0330f6a4cbe9c1b4fb3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c1bf4bf9ae0330f6a4cbe9c1b4fb3c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2676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系统模式</w:t>
      </w:r>
    </w:p>
    <w:p w14:paraId="1A361DB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44725" cy="3328035"/>
            <wp:effectExtent l="0" t="0" r="3175" b="5715"/>
            <wp:docPr id="8" name="图片 8" descr="111175f3e471b8ba9c663d20e3f658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1175f3e471b8ba9c663d20e3f6582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2F4D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用户模式</w:t>
      </w:r>
    </w:p>
    <w:p w14:paraId="5E6510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综上，我们可以发现，我们所初始化的各模式的堆栈地址，均为我们在程序之初所设定的，进行运行后的结果为:</w:t>
      </w:r>
    </w:p>
    <w:p w14:paraId="36B2A6F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41245" cy="3828415"/>
            <wp:effectExtent l="0" t="0" r="1905" b="635"/>
            <wp:docPr id="9" name="图片 9" descr="cdfba1fe-09f5-4b6f-83bc-4aad4bdc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dfba1fe-09f5-4b6f-83bc-4aad4bdc94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522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E9DC05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模式</w:t>
            </w:r>
          </w:p>
        </w:tc>
        <w:tc>
          <w:tcPr>
            <w:tcW w:w="2130" w:type="dxa"/>
          </w:tcPr>
          <w:p w14:paraId="57F5D17D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初始化堆栈</w:t>
            </w:r>
          </w:p>
        </w:tc>
        <w:tc>
          <w:tcPr>
            <w:tcW w:w="2131" w:type="dxa"/>
          </w:tcPr>
          <w:p w14:paraId="1F9704EC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压栈后堆栈</w:t>
            </w:r>
          </w:p>
        </w:tc>
        <w:tc>
          <w:tcPr>
            <w:tcW w:w="2131" w:type="dxa"/>
          </w:tcPr>
          <w:p w14:paraId="14D63BFE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R1-r12的变化</w:t>
            </w:r>
          </w:p>
        </w:tc>
      </w:tr>
      <w:tr w14:paraId="6BD1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E7B8E9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SVC</w:t>
            </w:r>
          </w:p>
        </w:tc>
        <w:tc>
          <w:tcPr>
            <w:tcW w:w="2130" w:type="dxa"/>
          </w:tcPr>
          <w:p w14:paraId="4496CF24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0x8240</w:t>
            </w:r>
          </w:p>
        </w:tc>
        <w:tc>
          <w:tcPr>
            <w:tcW w:w="2131" w:type="dxa"/>
          </w:tcPr>
          <w:p w14:paraId="03DFBC95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0x8210</w:t>
            </w:r>
          </w:p>
        </w:tc>
        <w:tc>
          <w:tcPr>
            <w:tcW w:w="2131" w:type="dxa"/>
          </w:tcPr>
          <w:p w14:paraId="7473DC5A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不变</w:t>
            </w:r>
          </w:p>
        </w:tc>
      </w:tr>
      <w:tr w14:paraId="73E24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865F88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IRQ</w:t>
            </w:r>
          </w:p>
        </w:tc>
        <w:tc>
          <w:tcPr>
            <w:tcW w:w="2130" w:type="dxa"/>
          </w:tcPr>
          <w:p w14:paraId="32A0E89B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0x8340</w:t>
            </w:r>
          </w:p>
        </w:tc>
        <w:tc>
          <w:tcPr>
            <w:tcW w:w="2131" w:type="dxa"/>
          </w:tcPr>
          <w:p w14:paraId="1E883E04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0x8310</w:t>
            </w:r>
          </w:p>
        </w:tc>
        <w:tc>
          <w:tcPr>
            <w:tcW w:w="2131" w:type="dxa"/>
          </w:tcPr>
          <w:p w14:paraId="3D78087D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不变</w:t>
            </w:r>
          </w:p>
        </w:tc>
      </w:tr>
      <w:tr w14:paraId="445F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7F15FE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FIQ</w:t>
            </w:r>
          </w:p>
        </w:tc>
        <w:tc>
          <w:tcPr>
            <w:tcW w:w="2130" w:type="dxa"/>
          </w:tcPr>
          <w:p w14:paraId="00117036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0x8380</w:t>
            </w:r>
          </w:p>
        </w:tc>
        <w:tc>
          <w:tcPr>
            <w:tcW w:w="2131" w:type="dxa"/>
          </w:tcPr>
          <w:p w14:paraId="3EB09B10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0x8350</w:t>
            </w:r>
          </w:p>
        </w:tc>
        <w:tc>
          <w:tcPr>
            <w:tcW w:w="2131" w:type="dxa"/>
          </w:tcPr>
          <w:p w14:paraId="38408A9E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R8-R12归零</w:t>
            </w:r>
          </w:p>
        </w:tc>
      </w:tr>
      <w:tr w14:paraId="291EE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36CD01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Abo</w:t>
            </w:r>
          </w:p>
        </w:tc>
        <w:tc>
          <w:tcPr>
            <w:tcW w:w="2130" w:type="dxa"/>
          </w:tcPr>
          <w:p w14:paraId="33156C29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0x8440</w:t>
            </w:r>
          </w:p>
        </w:tc>
        <w:tc>
          <w:tcPr>
            <w:tcW w:w="2131" w:type="dxa"/>
          </w:tcPr>
          <w:p w14:paraId="2AB3C507">
            <w:pPr>
              <w:jc w:val="center"/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0x8390</w:t>
            </w:r>
          </w:p>
        </w:tc>
        <w:tc>
          <w:tcPr>
            <w:tcW w:w="2131" w:type="dxa"/>
          </w:tcPr>
          <w:p w14:paraId="3328DC0D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不变</w:t>
            </w:r>
          </w:p>
        </w:tc>
      </w:tr>
      <w:tr w14:paraId="65ABA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7EDC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Und</w:t>
            </w:r>
          </w:p>
        </w:tc>
        <w:tc>
          <w:tcPr>
            <w:tcW w:w="2130" w:type="dxa"/>
          </w:tcPr>
          <w:p w14:paraId="444AFA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0x8400</w:t>
            </w:r>
          </w:p>
        </w:tc>
        <w:tc>
          <w:tcPr>
            <w:tcW w:w="2131" w:type="dxa"/>
          </w:tcPr>
          <w:p w14:paraId="332672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x83D0</w:t>
            </w:r>
          </w:p>
        </w:tc>
        <w:tc>
          <w:tcPr>
            <w:tcW w:w="2131" w:type="dxa"/>
          </w:tcPr>
          <w:p w14:paraId="1DB61C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不变</w:t>
            </w:r>
          </w:p>
        </w:tc>
      </w:tr>
      <w:tr w14:paraId="007E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30D7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Use</w:t>
            </w:r>
          </w:p>
        </w:tc>
        <w:tc>
          <w:tcPr>
            <w:tcW w:w="2130" w:type="dxa"/>
          </w:tcPr>
          <w:p w14:paraId="2B2A7F51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0x8190</w:t>
            </w:r>
          </w:p>
        </w:tc>
        <w:tc>
          <w:tcPr>
            <w:tcW w:w="2131" w:type="dxa"/>
          </w:tcPr>
          <w:p w14:paraId="579163F6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0x8160</w:t>
            </w:r>
          </w:p>
        </w:tc>
        <w:tc>
          <w:tcPr>
            <w:tcW w:w="2131" w:type="dxa"/>
          </w:tcPr>
          <w:p w14:paraId="22EF99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不变</w:t>
            </w:r>
          </w:p>
        </w:tc>
      </w:tr>
      <w:tr w14:paraId="0798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CC2B18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Sys</w:t>
            </w:r>
          </w:p>
        </w:tc>
        <w:tc>
          <w:tcPr>
            <w:tcW w:w="2130" w:type="dxa"/>
          </w:tcPr>
          <w:p w14:paraId="42BB1BE0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0x81C0</w:t>
            </w:r>
          </w:p>
        </w:tc>
        <w:tc>
          <w:tcPr>
            <w:tcW w:w="2131" w:type="dxa"/>
          </w:tcPr>
          <w:p w14:paraId="59C10870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0x8190</w:t>
            </w:r>
          </w:p>
        </w:tc>
        <w:tc>
          <w:tcPr>
            <w:tcW w:w="2131" w:type="dxa"/>
          </w:tcPr>
          <w:p w14:paraId="39C2A9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不变</w:t>
            </w:r>
          </w:p>
        </w:tc>
      </w:tr>
    </w:tbl>
    <w:p w14:paraId="14C313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此表，我们可以发现，对于除FIQ以外的模式，他们的R0-R12寄存器均为公用的，其可以被访问到，同时，若我们此时压栈，也会将对应的R0-R12压入栈中（0x0030）。但是，对于FIQ模式，这可不一样，由于此时它的寄存器为部分分组寄存器，其一进入模式，R8-R12自动归零，不能访问其他模式下的R8-R12，但是我们可以通过压栈将这部分数据进行保存访问。</w:t>
      </w:r>
    </w:p>
    <w:p w14:paraId="5404DCE3">
      <w:pPr>
        <w:numPr>
          <w:ilvl w:val="0"/>
          <w:numId w:val="0"/>
        </w:numP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3）切换成用户模式之后还能否从用户模式切换到其他模式（如系统模式）？</w:t>
      </w:r>
    </w:p>
    <w:p w14:paraId="30E945B4">
      <w:pPr>
        <w:numPr>
          <w:ilvl w:val="0"/>
          <w:numId w:val="0"/>
        </w:numPr>
        <w:ind w:firstLine="420" w:firstLineChars="0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继续进行单步调试，观察cpsr寄存器：</w:t>
      </w:r>
    </w:p>
    <w:p w14:paraId="4BEF9D4C">
      <w:pPr>
        <w:numPr>
          <w:ilvl w:val="0"/>
          <w:numId w:val="0"/>
        </w:numPr>
        <w:ind w:left="420" w:leftChars="0"/>
        <w:jc w:val="center"/>
      </w:pPr>
      <w:r>
        <w:drawing>
          <wp:inline distT="0" distB="0" distL="114300" distR="114300">
            <wp:extent cx="2092325" cy="3420745"/>
            <wp:effectExtent l="0" t="0" r="3175" b="825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6BCE">
      <w:pPr>
        <w:pStyle w:val="4"/>
        <w:numPr>
          <w:ilvl w:val="0"/>
          <w:numId w:val="0"/>
        </w:numPr>
        <w:ind w:left="42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cpsr寄存器的变化</w:t>
      </w:r>
    </w:p>
    <w:p w14:paraId="0C7D07E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我们可以发现，这里的寄存器没有变化，我们的操作失败了，这是因为当我们切换为用户模式后，除非遇到对应的异常，不然我们不会跳入对应的模式。</w:t>
      </w:r>
    </w:p>
    <w:p w14:paraId="1F4055A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4）用户模式下能否执行堆栈压栈操作？如果能得话，观察用户模式下压栈之前和压栈之后其堆栈区域的变化情况。 </w:t>
      </w:r>
    </w:p>
    <w:p w14:paraId="2182BBD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由上表可以知道，可以进行堆栈压栈操作，我们观察对应堆栈区域情况如下：</w:t>
      </w:r>
    </w:p>
    <w:p w14:paraId="62A1CE48">
      <w:pPr>
        <w:jc w:val="center"/>
        <w:rPr>
          <w:rFonts w:hint="default"/>
          <w:lang w:val="en-US" w:eastAsia="zh-CN"/>
        </w:rPr>
      </w:pPr>
    </w:p>
    <w:p w14:paraId="3AA4AFD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97145" cy="985520"/>
            <wp:effectExtent l="0" t="0" r="8255" b="5080"/>
            <wp:docPr id="11" name="图片 11" descr="15db2d7a-3be7-437f-9b77-76796cf64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5db2d7a-3be7-437f-9b77-76796cf64a34"/>
                    <pic:cNvPicPr>
                      <a:picLocks noChangeAspect="1"/>
                    </pic:cNvPicPr>
                  </pic:nvPicPr>
                  <pic:blipFill>
                    <a:blip r:embed="rId13"/>
                    <a:srcRect r="50863" b="-2876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9965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堆栈区域</w:t>
      </w:r>
    </w:p>
    <w:p w14:paraId="5A16A6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我们可以发现，对应堆栈区域变为了1-C的操作数，这与我们前面的理论一致，在用户模式下，可以访问对应的公用寄存器并将其压栈处理。</w:t>
      </w:r>
    </w:p>
    <w:p w14:paraId="34D473C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5）观察本程序模式切换过程中 SPSR 有无变化，并解释其原因。</w:t>
      </w:r>
    </w:p>
    <w:p w14:paraId="5860EA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lang w:val="en-US" w:eastAsia="zh-CN"/>
        </w:rPr>
        <w:t>观察SPSR寄存器，我们可以发现，除了当我们切换为用户模式后spsr寄存器不能访问，其他模式均没有变化，这是因为spsr是异常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模式的私有寄存器，仅在</w:t>
      </w: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异常触发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时生效：当处理器从正常模式进入异常（如 IRQ/FIQ/SWI），硬件会自动将当前 CPSR 值保存到对应异常模式的 SPSR 中；异常返回时，再将 SPSR 恢复到 CPSR。</w:t>
      </w:r>
    </w:p>
    <w:p w14:paraId="2D704A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br w:type="textWrapping"/>
      </w:r>
      <w:bookmarkStart w:id="0" w:name="_GoBack"/>
      <w:bookmarkEnd w:id="0"/>
    </w:p>
    <w:p w14:paraId="6FC5F3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default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22E4AA"/>
    <w:multiLevelType w:val="singleLevel"/>
    <w:tmpl w:val="FB22E4AA"/>
    <w:lvl w:ilvl="0" w:tentative="0">
      <w:start w:val="1"/>
      <w:numFmt w:val="decimal"/>
      <w:suff w:val="space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11BA4"/>
    <w:rsid w:val="3B420FA5"/>
    <w:rsid w:val="402375A2"/>
    <w:rsid w:val="54011503"/>
    <w:rsid w:val="69A0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1497</Words>
  <Characters>1779</Characters>
  <Lines>0</Lines>
  <Paragraphs>0</Paragraphs>
  <TotalTime>93</TotalTime>
  <ScaleCrop>false</ScaleCrop>
  <LinksUpToDate>false</LinksUpToDate>
  <CharactersWithSpaces>1864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2025-11-23T06:06:00Z</dcterms:created>
  <dc:creator>Eric</dc:creator>
  <cp:lastModifiedBy/>
  <dcterms:modified xsi:type="dcterms:W3CDTF">2025-12-21T11:12:30Z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F0AA41549FC94012BE89E070038BFF9D_12</vt:lpwstr>
  </property>
</Properties>
</file>