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BB7CC">
      <w:pPr>
        <w:pStyle w:val="2"/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实验1 PCM编译码实验</w:t>
      </w:r>
    </w:p>
    <w:p w14:paraId="421C674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实验目的</w:t>
      </w:r>
    </w:p>
    <w:p w14:paraId="670998E8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1. 理解PCM编译码原理及PCM编译码性能； </w:t>
      </w:r>
    </w:p>
    <w:p w14:paraId="28DF78B8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2. 熟悉PCM编译码专用集成芯片的功能和使用方法及各种时钟间的关系； </w:t>
      </w:r>
    </w:p>
    <w:p w14:paraId="10C2FB07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3. 熟悉语音数字化技术的主要指标及测量方法。</w:t>
      </w:r>
    </w:p>
    <w:p w14:paraId="6AD7DA2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实验仪器</w:t>
      </w:r>
    </w:p>
    <w:p w14:paraId="6FBC973C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1. RZ9681实验平台 </w:t>
      </w:r>
    </w:p>
    <w:p w14:paraId="6398E8E8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实验模块：</w:t>
      </w:r>
    </w:p>
    <w:p w14:paraId="28238C07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1260" w:leftChars="0" w:hanging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主控模块</w:t>
      </w:r>
    </w:p>
    <w:p w14:paraId="02BDBFB0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1260" w:leftChars="0" w:hanging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 xml:space="preserve">信源编码与时分复用模块-A3 </w:t>
      </w:r>
    </w:p>
    <w:p w14:paraId="391ACB5C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3. 100M双通道示波器 </w:t>
      </w:r>
    </w:p>
    <w:p w14:paraId="28D6DDA0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4. 信号连接线 </w:t>
      </w:r>
    </w:p>
    <w:p w14:paraId="7A9B0298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</w:rPr>
        <w:t>5. PC机（二次开发）</w:t>
      </w:r>
    </w:p>
    <w:p w14:paraId="2CA0C21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实验原理</w:t>
      </w:r>
    </w:p>
    <w:p w14:paraId="5137AA88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right="0" w:rightChars="0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PCM基本原理</w:t>
      </w:r>
    </w:p>
    <w:p w14:paraId="287E789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right="0" w:rightChars="0" w:firstLine="420" w:firstLineChars="0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模拟信号转化为数字信号需要经过抽样与量化两个部分，而PCM编码是一种进行非均匀量化的一种量化编码方法（这是由语音信号的统计特性决定的——低频信号丰富，而高频信号并不丰富）。</w:t>
      </w:r>
    </w:p>
    <w:p w14:paraId="49B4004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right="0" w:rightChars="0" w:firstLine="420" w:firstLineChars="0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对于模拟信号的量化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为均匀量化和非均匀量化两种。把输入模拟信号的取值域按等距离分割的量化就称为均匀量化，每个量化区间的量化电平均取在各区间的中点，如下图所示。</w:t>
      </w:r>
    </w:p>
    <w:p w14:paraId="1800172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 w:right="0" w:rightChars="0" w:firstLine="420" w:firstLineChars="0"/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  <w:drawing>
          <wp:inline distT="0" distB="0" distL="114300" distR="114300">
            <wp:extent cx="4648200" cy="2867025"/>
            <wp:effectExtent l="0" t="0" r="0" b="9525"/>
            <wp:docPr id="1" name="图片 1" descr="ac8c366c-717d-4cad-a736-88b8cfd677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c8c366c-717d-4cad-a736-88b8cfd6779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2197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 w:right="0" w:rightChars="0" w:firstLine="420" w:firstLineChars="0"/>
        <w:jc w:val="center"/>
        <w:rPr>
          <w:rFonts w:hint="eastAsia" w:ascii="黑体" w:hAnsi="黑体" w:eastAsia="黑体" w:cs="黑体"/>
          <w:b/>
          <w:bCs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 xml:space="preserve">图 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fldChar w:fldCharType="begin"/>
      </w:r>
      <w:r>
        <w:rPr>
          <w:rFonts w:hint="eastAsia" w:ascii="黑体" w:hAnsi="黑体" w:eastAsia="黑体" w:cs="黑体"/>
          <w:b/>
          <w:bCs/>
          <w:sz w:val="21"/>
          <w:szCs w:val="21"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sz w:val="21"/>
          <w:szCs w:val="21"/>
        </w:rPr>
        <w:fldChar w:fldCharType="separate"/>
      </w:r>
      <w:r>
        <w:rPr>
          <w:rFonts w:hint="eastAsia" w:ascii="黑体" w:hAnsi="黑体" w:eastAsia="黑体" w:cs="黑体"/>
          <w:b/>
          <w:bCs/>
          <w:sz w:val="21"/>
          <w:szCs w:val="21"/>
        </w:rPr>
        <w:t>1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b/>
          <w:bCs/>
          <w:sz w:val="21"/>
          <w:szCs w:val="21"/>
          <w:lang w:eastAsia="zh-CN"/>
        </w:rPr>
        <w:t xml:space="preserve"> 均匀量化示意图</w:t>
      </w:r>
    </w:p>
    <w:p w14:paraId="15724455">
      <w:pPr>
        <w:pStyle w:val="4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</w:rPr>
        <w:t>均匀量化的主要缺点是无论抽样值大小如何，量化噪声的均方根值都固定不变。因此，当信号</w:t>
      </w:r>
      <w:r>
        <w:rPr>
          <w:rFonts w:hint="eastAsia" w:ascii="黑体" w:hAnsi="黑体" w:eastAsia="黑体" w:cs="黑体"/>
          <w:lang w:val="en-US" w:eastAsia="zh-CN"/>
        </w:rPr>
        <w:t>m</w:t>
      </w:r>
      <w:r>
        <w:rPr>
          <w:rFonts w:hint="eastAsia" w:ascii="黑体" w:hAnsi="黑体" w:eastAsia="黑体" w:cs="黑体"/>
          <w:lang w:eastAsia="zh-CN"/>
        </w:rPr>
        <w:t>（</w:t>
      </w:r>
      <w:r>
        <w:rPr>
          <w:rFonts w:hint="eastAsia" w:ascii="黑体" w:hAnsi="黑体" w:eastAsia="黑体" w:cs="黑体"/>
          <w:lang w:val="en-US" w:eastAsia="zh-CN"/>
        </w:rPr>
        <w:t>t</w:t>
      </w:r>
      <w:r>
        <w:rPr>
          <w:rFonts w:hint="eastAsia" w:ascii="黑体" w:hAnsi="黑体" w:eastAsia="黑体" w:cs="黑体"/>
          <w:lang w:eastAsia="zh-CN"/>
        </w:rPr>
        <w:t>）</w:t>
      </w:r>
      <w:r>
        <w:rPr>
          <w:rFonts w:hint="eastAsia" w:ascii="黑体" w:hAnsi="黑体" w:eastAsia="黑体" w:cs="黑体"/>
        </w:rPr>
        <w:t xml:space="preserve"> 较小时</w:t>
      </w:r>
      <w:r>
        <w:rPr>
          <w:rFonts w:hint="eastAsia" w:ascii="黑体" w:hAnsi="黑体" w:eastAsia="黑体" w:cs="黑体"/>
          <w:sz w:val="24"/>
          <w:szCs w:val="24"/>
        </w:rPr>
        <w:t xml:space="preserve">，则信号量化噪声功率比也很小。这样，对于弱信号时的量化信噪比就难以达到给定的要求。通常把满足信噪比要求的输入信号取值范围定义为动态范围，那么，均匀量化时的信号动态范围将受到较大的限制。为了克服这个缺点，实际中往往采用非均匀量化的方法。 </w:t>
      </w:r>
    </w:p>
    <w:p w14:paraId="03C7DF2D">
      <w:pPr>
        <w:pStyle w:val="4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而</w:t>
      </w:r>
      <w:r>
        <w:rPr>
          <w:rFonts w:hint="eastAsia" w:ascii="黑体" w:hAnsi="黑体" w:eastAsia="黑体" w:cs="黑体"/>
          <w:sz w:val="24"/>
          <w:szCs w:val="24"/>
        </w:rPr>
        <w:t>非均匀量化是根据信号的不同区间来确定量化间隔的。对于信号取值小的区间，其量化间隔v 也小；反之，量化间隔就大。非均匀量化与均匀量化相比，有两个突出的优点：首先，当输入量化器的信号具有非均匀分布的概率密度（实际中往往是这样）时，非均匀量化器的输出端可以得到较高的平均信号量化噪声功率比；其次，非均匀量化时，量化噪声功率的均方根值基本上与信号抽样值成比例，因此量化噪声对大、小信号的影响大致相同，即改善了小信号时的信噪比。 非均匀量化的实际过程通常是将抽样值压缩后再进行均匀量化。现在广泛采用两种对数压缩，美国采用压缩律，我国和欧洲各国均采用A压缩律。</w:t>
      </w:r>
    </w:p>
    <w:p w14:paraId="3E8014FC">
      <w:pPr>
        <w:pStyle w:val="4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本实验中PCM编码方式也是采用A压缩律。A律压扩特性是连续曲线，实际中往往都采用近似于A律函数规律的13折线（A=87.6）的压扩特性。这样，它基本保持连续压扩特性曲线的优点，又便于用数字电路来实现，如图2所示。</w:t>
      </w:r>
    </w:p>
    <w:p w14:paraId="5913E7BD">
      <w:pPr>
        <w:spacing w:line="360" w:lineRule="auto"/>
        <w:ind w:left="420" w:leftChars="0" w:firstLine="420" w:firstLineChars="0"/>
        <w:jc w:val="center"/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eastAsia="zh-CN"/>
        </w:rPr>
        <w:drawing>
          <wp:inline distT="0" distB="0" distL="114300" distR="114300">
            <wp:extent cx="3858260" cy="2802255"/>
            <wp:effectExtent l="0" t="0" r="8890" b="17145"/>
            <wp:docPr id="2" name="图片 2" descr="e8c931c7-ccf4-4211-93e9-26895707cc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8c931c7-ccf4-4211-93e9-26895707cc0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2745">
      <w:pPr>
        <w:pStyle w:val="3"/>
        <w:spacing w:line="360" w:lineRule="auto"/>
        <w:ind w:left="420" w:leftChars="0" w:firstLine="420" w:firstLineChars="0"/>
        <w:jc w:val="center"/>
        <w:rPr>
          <w:rFonts w:hint="eastAsia" w:ascii="黑体" w:hAnsi="黑体" w:eastAsia="黑体" w:cs="黑体"/>
          <w:b/>
          <w:bCs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 xml:space="preserve">图 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fldChar w:fldCharType="begin"/>
      </w:r>
      <w:r>
        <w:rPr>
          <w:rFonts w:hint="eastAsia" w:ascii="黑体" w:hAnsi="黑体" w:eastAsia="黑体" w:cs="黑体"/>
          <w:b/>
          <w:bCs/>
          <w:sz w:val="21"/>
          <w:szCs w:val="21"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sz w:val="21"/>
          <w:szCs w:val="21"/>
        </w:rPr>
        <w:fldChar w:fldCharType="separate"/>
      </w:r>
      <w:r>
        <w:rPr>
          <w:rFonts w:hint="eastAsia" w:ascii="黑体" w:hAnsi="黑体" w:eastAsia="黑体" w:cs="黑体"/>
          <w:b/>
          <w:bCs/>
          <w:sz w:val="21"/>
          <w:szCs w:val="21"/>
        </w:rPr>
        <w:t>2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b/>
          <w:bCs/>
          <w:sz w:val="21"/>
          <w:szCs w:val="21"/>
          <w:lang w:eastAsia="zh-CN"/>
        </w:rPr>
        <w:t xml:space="preserve"> 13折线特性 </w:t>
      </w:r>
    </w:p>
    <w:p w14:paraId="5793700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20" w:firstLineChars="0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5F9C0498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right="0" w:rightChars="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PCM的基本过程</w:t>
      </w:r>
    </w:p>
    <w:p w14:paraId="10199867">
      <w:pPr>
        <w:pStyle w:val="4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对模拟信号进行抽样，并量化成自然二进制编码，我们便需要再在此基础上将其映射到8位PCM码，其中第一位是极性码，正为1，负为0，剩下七位编码的前三位为段落码，</w:t>
      </w:r>
      <w:r>
        <w:rPr>
          <w:rFonts w:hint="eastAsia" w:ascii="黑体" w:hAnsi="黑体" w:eastAsia="黑体" w:cs="黑体"/>
        </w:rPr>
        <w:t>表示信号绝对值处于那个段落，3位码可表示8个段落，代表了8个段落的起始电平值</w:t>
      </w:r>
      <w:r>
        <w:rPr>
          <w:rFonts w:hint="eastAsia" w:ascii="黑体" w:hAnsi="黑体" w:eastAsia="黑体" w:cs="黑体"/>
          <w:lang w:eastAsia="zh-CN"/>
        </w:rPr>
        <w:t>，</w:t>
      </w:r>
      <w:r>
        <w:rPr>
          <w:rFonts w:hint="eastAsia" w:ascii="黑体" w:hAnsi="黑体" w:eastAsia="黑体" w:cs="黑体"/>
          <w:lang w:val="en-US" w:eastAsia="zh-CN"/>
        </w:rPr>
        <w:t>我们便将自然编码与起始电平值一一比较以确定段落码，再由</w:t>
      </w:r>
      <w:r>
        <w:rPr>
          <w:rFonts w:hint="eastAsia" w:ascii="黑体" w:hAnsi="黑体" w:eastAsia="黑体" w:cs="黑体"/>
          <w:b w:val="0"/>
          <w:bCs w:val="0"/>
          <w:lang w:val="en-US" w:eastAsia="zh-CN"/>
        </w:rPr>
        <w:t>再通过段落起始电平与该段的量化间隔相除计算出段内码。</w:t>
      </w:r>
    </w:p>
    <w:p w14:paraId="36AC9C5D">
      <w:pPr>
        <w:pStyle w:val="4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表 1 段落码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23"/>
        <w:gridCol w:w="1100"/>
        <w:gridCol w:w="1288"/>
      </w:tblGrid>
      <w:tr w14:paraId="58D8F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23" w:type="dxa"/>
          </w:tcPr>
          <w:p w14:paraId="750ACB0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段落序号</w:t>
            </w:r>
          </w:p>
        </w:tc>
        <w:tc>
          <w:tcPr>
            <w:tcW w:w="1100" w:type="dxa"/>
          </w:tcPr>
          <w:p w14:paraId="1AD302A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段落码</w:t>
            </w:r>
          </w:p>
        </w:tc>
        <w:tc>
          <w:tcPr>
            <w:tcW w:w="1288" w:type="dxa"/>
          </w:tcPr>
          <w:p w14:paraId="6A1C849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段落序号</w:t>
            </w:r>
          </w:p>
        </w:tc>
      </w:tr>
      <w:tr w14:paraId="5BC7D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23" w:type="dxa"/>
          </w:tcPr>
          <w:p w14:paraId="62001F4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8</w:t>
            </w:r>
          </w:p>
        </w:tc>
        <w:tc>
          <w:tcPr>
            <w:tcW w:w="1100" w:type="dxa"/>
          </w:tcPr>
          <w:p w14:paraId="5C63854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111</w:t>
            </w:r>
          </w:p>
        </w:tc>
        <w:tc>
          <w:tcPr>
            <w:tcW w:w="1288" w:type="dxa"/>
          </w:tcPr>
          <w:p w14:paraId="6811DBF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8</w:t>
            </w:r>
          </w:p>
        </w:tc>
      </w:tr>
      <w:tr w14:paraId="47D14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23" w:type="dxa"/>
          </w:tcPr>
          <w:p w14:paraId="3B1D3E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7</w:t>
            </w:r>
          </w:p>
        </w:tc>
        <w:tc>
          <w:tcPr>
            <w:tcW w:w="1100" w:type="dxa"/>
          </w:tcPr>
          <w:p w14:paraId="086DE4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110</w:t>
            </w:r>
          </w:p>
        </w:tc>
        <w:tc>
          <w:tcPr>
            <w:tcW w:w="1288" w:type="dxa"/>
          </w:tcPr>
          <w:p w14:paraId="2DFBD2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7</w:t>
            </w:r>
          </w:p>
        </w:tc>
      </w:tr>
      <w:tr w14:paraId="0C8BA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23" w:type="dxa"/>
          </w:tcPr>
          <w:p w14:paraId="75404EC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6</w:t>
            </w:r>
          </w:p>
        </w:tc>
        <w:tc>
          <w:tcPr>
            <w:tcW w:w="1100" w:type="dxa"/>
          </w:tcPr>
          <w:p w14:paraId="7C75A3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101</w:t>
            </w:r>
          </w:p>
        </w:tc>
        <w:tc>
          <w:tcPr>
            <w:tcW w:w="1288" w:type="dxa"/>
          </w:tcPr>
          <w:p w14:paraId="0CBEE6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6</w:t>
            </w:r>
          </w:p>
        </w:tc>
      </w:tr>
      <w:tr w14:paraId="358DF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23" w:type="dxa"/>
          </w:tcPr>
          <w:p w14:paraId="34185D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5</w:t>
            </w:r>
          </w:p>
        </w:tc>
        <w:tc>
          <w:tcPr>
            <w:tcW w:w="1100" w:type="dxa"/>
          </w:tcPr>
          <w:p w14:paraId="39A898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100</w:t>
            </w:r>
          </w:p>
        </w:tc>
        <w:tc>
          <w:tcPr>
            <w:tcW w:w="1288" w:type="dxa"/>
          </w:tcPr>
          <w:p w14:paraId="14EC9B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5</w:t>
            </w:r>
          </w:p>
        </w:tc>
      </w:tr>
      <w:tr w14:paraId="11D1A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23" w:type="dxa"/>
          </w:tcPr>
          <w:p w14:paraId="5436374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4</w:t>
            </w:r>
          </w:p>
        </w:tc>
        <w:tc>
          <w:tcPr>
            <w:tcW w:w="1100" w:type="dxa"/>
          </w:tcPr>
          <w:p w14:paraId="73C442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011</w:t>
            </w:r>
          </w:p>
        </w:tc>
        <w:tc>
          <w:tcPr>
            <w:tcW w:w="1288" w:type="dxa"/>
          </w:tcPr>
          <w:p w14:paraId="101CF37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4</w:t>
            </w:r>
          </w:p>
        </w:tc>
      </w:tr>
      <w:tr w14:paraId="73A9B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23" w:type="dxa"/>
          </w:tcPr>
          <w:p w14:paraId="6D5C27E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3</w:t>
            </w:r>
          </w:p>
        </w:tc>
        <w:tc>
          <w:tcPr>
            <w:tcW w:w="1100" w:type="dxa"/>
          </w:tcPr>
          <w:p w14:paraId="065999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010</w:t>
            </w:r>
          </w:p>
        </w:tc>
        <w:tc>
          <w:tcPr>
            <w:tcW w:w="1288" w:type="dxa"/>
          </w:tcPr>
          <w:p w14:paraId="6C9CAE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3</w:t>
            </w:r>
          </w:p>
        </w:tc>
      </w:tr>
      <w:tr w14:paraId="0BCB3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23" w:type="dxa"/>
          </w:tcPr>
          <w:p w14:paraId="3DC3D0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2</w:t>
            </w:r>
          </w:p>
        </w:tc>
        <w:tc>
          <w:tcPr>
            <w:tcW w:w="1100" w:type="dxa"/>
          </w:tcPr>
          <w:p w14:paraId="37E773B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001</w:t>
            </w:r>
          </w:p>
        </w:tc>
        <w:tc>
          <w:tcPr>
            <w:tcW w:w="1288" w:type="dxa"/>
          </w:tcPr>
          <w:p w14:paraId="646642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2</w:t>
            </w:r>
          </w:p>
        </w:tc>
      </w:tr>
      <w:tr w14:paraId="0D2BE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23" w:type="dxa"/>
          </w:tcPr>
          <w:p w14:paraId="4742A6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1</w:t>
            </w:r>
          </w:p>
        </w:tc>
        <w:tc>
          <w:tcPr>
            <w:tcW w:w="1100" w:type="dxa"/>
          </w:tcPr>
          <w:p w14:paraId="0358A3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000</w:t>
            </w:r>
          </w:p>
        </w:tc>
        <w:tc>
          <w:tcPr>
            <w:tcW w:w="1288" w:type="dxa"/>
          </w:tcPr>
          <w:p w14:paraId="2ADD70E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1</w:t>
            </w:r>
          </w:p>
        </w:tc>
      </w:tr>
    </w:tbl>
    <w:p w14:paraId="78AA9666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  <w:lang w:val="en-US" w:eastAsia="zh-CN"/>
        </w:rPr>
      </w:pPr>
    </w:p>
    <w:p w14:paraId="42DD2E6E">
      <w:pPr>
        <w:pStyle w:val="4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表2  段内</w:t>
      </w: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lang w:val="en-US" w:eastAsia="zh-CN"/>
        </w:rPr>
        <w:t>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98"/>
        <w:gridCol w:w="2475"/>
      </w:tblGrid>
      <w:tr w14:paraId="22B5B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8" w:type="dxa"/>
            <w:vAlign w:val="center"/>
          </w:tcPr>
          <w:p w14:paraId="715F0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量化级</w:t>
            </w:r>
          </w:p>
        </w:tc>
        <w:tc>
          <w:tcPr>
            <w:tcW w:w="2475" w:type="dxa"/>
            <w:vAlign w:val="center"/>
          </w:tcPr>
          <w:p w14:paraId="7ADA25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段内码</w:t>
            </w:r>
          </w:p>
        </w:tc>
      </w:tr>
      <w:tr w14:paraId="505F8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8" w:type="dxa"/>
            <w:vAlign w:val="center"/>
          </w:tcPr>
          <w:p w14:paraId="179BF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2475" w:type="dxa"/>
            <w:vAlign w:val="center"/>
          </w:tcPr>
          <w:p w14:paraId="0DBDB7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1111</w:t>
            </w:r>
          </w:p>
        </w:tc>
      </w:tr>
      <w:tr w14:paraId="6B61A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8" w:type="dxa"/>
            <w:vAlign w:val="center"/>
          </w:tcPr>
          <w:p w14:paraId="14E3A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14</w:t>
            </w:r>
          </w:p>
        </w:tc>
        <w:tc>
          <w:tcPr>
            <w:tcW w:w="2475" w:type="dxa"/>
            <w:vAlign w:val="center"/>
          </w:tcPr>
          <w:p w14:paraId="1BEB2F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1110</w:t>
            </w:r>
          </w:p>
        </w:tc>
      </w:tr>
      <w:tr w14:paraId="17EC9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8" w:type="dxa"/>
            <w:vAlign w:val="center"/>
          </w:tcPr>
          <w:p w14:paraId="5F7E72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13</w:t>
            </w:r>
          </w:p>
        </w:tc>
        <w:tc>
          <w:tcPr>
            <w:tcW w:w="2475" w:type="dxa"/>
            <w:vAlign w:val="center"/>
          </w:tcPr>
          <w:p w14:paraId="732E8A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1101</w:t>
            </w:r>
          </w:p>
        </w:tc>
      </w:tr>
      <w:tr w14:paraId="08ABA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8" w:type="dxa"/>
            <w:vAlign w:val="center"/>
          </w:tcPr>
          <w:p w14:paraId="563CB9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2475" w:type="dxa"/>
            <w:vAlign w:val="center"/>
          </w:tcPr>
          <w:p w14:paraId="26DD2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1100</w:t>
            </w:r>
          </w:p>
        </w:tc>
      </w:tr>
      <w:tr w14:paraId="3C29C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8" w:type="dxa"/>
            <w:vAlign w:val="center"/>
          </w:tcPr>
          <w:p w14:paraId="54FB03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2475" w:type="dxa"/>
            <w:vAlign w:val="center"/>
          </w:tcPr>
          <w:p w14:paraId="46300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1011</w:t>
            </w:r>
          </w:p>
        </w:tc>
      </w:tr>
      <w:tr w14:paraId="0A144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8" w:type="dxa"/>
            <w:vAlign w:val="center"/>
          </w:tcPr>
          <w:p w14:paraId="6495BC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2475" w:type="dxa"/>
            <w:vAlign w:val="center"/>
          </w:tcPr>
          <w:p w14:paraId="058CF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1010</w:t>
            </w:r>
          </w:p>
        </w:tc>
      </w:tr>
      <w:tr w14:paraId="2DF49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8" w:type="dxa"/>
            <w:vAlign w:val="center"/>
          </w:tcPr>
          <w:p w14:paraId="1C88F8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2475" w:type="dxa"/>
            <w:vAlign w:val="center"/>
          </w:tcPr>
          <w:p w14:paraId="570398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1001</w:t>
            </w:r>
          </w:p>
        </w:tc>
      </w:tr>
      <w:tr w14:paraId="760D1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8" w:type="dxa"/>
            <w:vAlign w:val="center"/>
          </w:tcPr>
          <w:p w14:paraId="578986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2475" w:type="dxa"/>
            <w:vAlign w:val="center"/>
          </w:tcPr>
          <w:p w14:paraId="5DA33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</w:tr>
      <w:tr w14:paraId="5A4C1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8" w:type="dxa"/>
            <w:vAlign w:val="center"/>
          </w:tcPr>
          <w:p w14:paraId="4A35E0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2475" w:type="dxa"/>
            <w:vAlign w:val="center"/>
          </w:tcPr>
          <w:p w14:paraId="2851A3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0111</w:t>
            </w:r>
          </w:p>
        </w:tc>
      </w:tr>
      <w:tr w14:paraId="35E04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8" w:type="dxa"/>
            <w:vAlign w:val="center"/>
          </w:tcPr>
          <w:p w14:paraId="186A85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2475" w:type="dxa"/>
            <w:vAlign w:val="center"/>
          </w:tcPr>
          <w:p w14:paraId="38518A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0110</w:t>
            </w:r>
          </w:p>
        </w:tc>
      </w:tr>
      <w:tr w14:paraId="53E18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8" w:type="dxa"/>
            <w:vAlign w:val="center"/>
          </w:tcPr>
          <w:p w14:paraId="74A987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2475" w:type="dxa"/>
            <w:vAlign w:val="center"/>
          </w:tcPr>
          <w:p w14:paraId="65DFBD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0101</w:t>
            </w:r>
          </w:p>
        </w:tc>
      </w:tr>
      <w:tr w14:paraId="02911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8" w:type="dxa"/>
            <w:vAlign w:val="center"/>
          </w:tcPr>
          <w:p w14:paraId="3C65D7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2475" w:type="dxa"/>
            <w:vAlign w:val="center"/>
          </w:tcPr>
          <w:p w14:paraId="4C18DC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0100</w:t>
            </w:r>
          </w:p>
        </w:tc>
      </w:tr>
      <w:tr w14:paraId="10C1D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8" w:type="dxa"/>
            <w:vAlign w:val="center"/>
          </w:tcPr>
          <w:p w14:paraId="3B61A4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2475" w:type="dxa"/>
            <w:vAlign w:val="center"/>
          </w:tcPr>
          <w:p w14:paraId="69231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0011</w:t>
            </w:r>
          </w:p>
        </w:tc>
      </w:tr>
      <w:tr w14:paraId="389A8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8" w:type="dxa"/>
            <w:vAlign w:val="center"/>
          </w:tcPr>
          <w:p w14:paraId="14C5B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2475" w:type="dxa"/>
            <w:vAlign w:val="center"/>
          </w:tcPr>
          <w:p w14:paraId="446A42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0010</w:t>
            </w:r>
          </w:p>
        </w:tc>
      </w:tr>
      <w:tr w14:paraId="16584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8" w:type="dxa"/>
            <w:vAlign w:val="center"/>
          </w:tcPr>
          <w:p w14:paraId="79A85A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2475" w:type="dxa"/>
            <w:vAlign w:val="center"/>
          </w:tcPr>
          <w:p w14:paraId="7FBE4A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0001</w:t>
            </w:r>
          </w:p>
        </w:tc>
      </w:tr>
      <w:tr w14:paraId="74E8C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8" w:type="dxa"/>
            <w:vAlign w:val="center"/>
          </w:tcPr>
          <w:p w14:paraId="3E8600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2475" w:type="dxa"/>
            <w:vAlign w:val="center"/>
          </w:tcPr>
          <w:p w14:paraId="701100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0000</w:t>
            </w:r>
          </w:p>
        </w:tc>
      </w:tr>
    </w:tbl>
    <w:p w14:paraId="4B312F4A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  <w:lang w:val="en-US" w:eastAsia="zh-CN"/>
        </w:rPr>
      </w:pPr>
    </w:p>
    <w:p w14:paraId="52E0B0C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20" w:firstLineChars="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7411D185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right="0" w:rightChars="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PCM编译码的实现</w:t>
      </w:r>
    </w:p>
    <w:p w14:paraId="68BF5CA9">
      <w:pPr>
        <w:pStyle w:val="4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</w:rPr>
        <w:t>完成 PCM 编码的方式有多种，最常用的是采用集成电路完成 PCM 编译码，如TP3057等，集成电路的优点是电路简单</w:t>
      </w:r>
      <w:r>
        <w:rPr>
          <w:rFonts w:hint="eastAsia" w:ascii="黑体" w:hAnsi="黑体" w:eastAsia="黑体" w:cs="黑体"/>
          <w:b w:val="0"/>
          <w:bCs w:val="0"/>
          <w:lang w:eastAsia="zh-CN"/>
        </w:rPr>
        <w:t>，</w:t>
      </w:r>
      <w:r>
        <w:rPr>
          <w:rFonts w:hint="eastAsia" w:ascii="黑体" w:hAnsi="黑体" w:eastAsia="黑体" w:cs="黑体"/>
          <w:b w:val="0"/>
          <w:bCs w:val="0"/>
          <w:lang w:val="en-US" w:eastAsia="zh-CN"/>
        </w:rPr>
        <w:t>但不能展示编码过程。我们实验中采用的是软件编码：即使用ADC进行采样，由其寄存器所存的量化值与PCM的阈值电平一一进行比较，确认段落码，再通过段落起始电平与该段的量化间隔计算出段内码。</w:t>
      </w:r>
    </w:p>
    <w:p w14:paraId="1694FF3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20" w:firstLineChars="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6DB8818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41AB9DC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实验预习题</w:t>
      </w:r>
    </w:p>
    <w:p w14:paraId="54F7801A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简述 PCM 编码调制的原理（抽样、量化、编码的过程）。</w:t>
      </w:r>
    </w:p>
    <w:p w14:paraId="536B34A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840" w:leftChars="0" w:right="0" w:rightChars="0" w:firstLine="420" w:firstLineChars="0"/>
        <w:rPr>
          <w:rFonts w:hint="default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PCM（脉冲编码调制）通过抽样、量化、编码三步将模拟信号转换为数字信号。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先令模拟信号通过抗混叠滤波器以滤去高频噪声（一般ADC自带抗混叠滤波器），再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按奈奎斯特定理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抽样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，以两倍于信号最高频率的速率对模拟信号周期性采样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，（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或者根据带通抽样定理，令抽样频率大于两倍带宽抽样），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离散化时间点样值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最后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；量化将连续幅度值映射到有限离散电平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自然二进制编码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，引入量化噪声；编码则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根据PCM的编码规则一步步确定极性码，段落码，最后通过该段的量化间隔与量化电平与段落起始电平之差的商决定。</w:t>
      </w:r>
    </w:p>
    <w:p w14:paraId="0E8E86E1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简述均匀量化与非均匀量化的区别？</w:t>
      </w:r>
    </w:p>
    <w:p w14:paraId="57330EB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 w:right="0" w:rightChars="0" w:firstLine="420" w:firstLineChars="0"/>
        <w:rPr>
          <w:rFonts w:hint="eastAsia" w:ascii="黑体" w:hAnsi="黑体" w:eastAsia="黑体" w:cs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均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匀量化的量化间隔固定，大、小信号量化误差相同，小信号信噪比低、音质差；非均匀量化的量化间隔随信号幅度变化，小信号区间间隔小，大信号区间间隔大，能提升小信号信噪比，更适用于话音等动态范围大的信号。</w:t>
      </w:r>
    </w:p>
    <w:p w14:paraId="6A9BEE6D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话音信号的频带范围是多少？CCITT规定的PCM编码的抽样速率是多少？</w:t>
      </w:r>
      <w:r>
        <w:rPr>
          <w:rFonts w:hint="eastAsia" w:ascii="黑体" w:hAnsi="黑体" w:eastAsia="黑体" w:cs="黑体"/>
        </w:rPr>
        <w:t xml:space="preserve">采用A律13折线PCM编码，一路话音的信息传输速率是多少？ </w:t>
      </w:r>
    </w:p>
    <w:p w14:paraId="62B0A8A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 w:right="0" w:righ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话音信号的频带范围是 300Hz 至 3400Hz；CCITT 规定的 PCM 编码抽样速率为 8kHz；A 律 13 折线 PCM 编码中，每个样点 8 位，一路话音的信息传输速率为 8kHz×8bit=64kbps。</w:t>
      </w:r>
    </w:p>
    <w:p w14:paraId="7C9CB411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理解抗混叠滤波的作用，实验中抗混叠滤波器的作用。</w:t>
      </w:r>
    </w:p>
    <w:p w14:paraId="0C3F364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 w:right="0" w:righ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由于我们在对信号进行抽样时，根据数字信号处理，我们高于奈奎斯特频率的信号会被折叠到低频区，因此</w:t>
      </w:r>
      <w:r>
        <w:rPr>
          <w:rFonts w:hint="eastAsia" w:ascii="黑体" w:hAnsi="黑体" w:eastAsia="黑体" w:cs="黑体"/>
        </w:rPr>
        <w:t>抗混叠滤波的核心作用是在采样前滤除高于奈奎斯特频率（f_s/2）的信号分量，防止高频信号折叠到基带形成混叠失真。实验中，它能确保输入采样的信号带宽符合要求，比如话音信号通过截止频率 3.4kHz 的低通滤波器，避免后续采样环节出现频谱失真。</w:t>
      </w:r>
    </w:p>
    <w:p w14:paraId="5C29C613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画出频率 1000HZ 的正弦波的频谱图并分析其特点:画出频率分别为 1100HZ、1300HZ、2000HZ 方波的频谱图并分析其特点。</w:t>
      </w:r>
    </w:p>
    <w:p w14:paraId="2DF9C7C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right="0" w:rightChars="0" w:firstLine="420" w:firstLineChars="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4867275" cy="3895725"/>
            <wp:effectExtent l="0" t="0" r="9525" b="9525"/>
            <wp:docPr id="3" name="图片 3" descr="6f5ac5e1-0276-4376-a538-bcb4f8c717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f5ac5e1-0276-4376-a538-bcb4f8c7170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5FC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right="0" w:rightChars="0" w:firstLine="420" w:firstLineChars="0"/>
        <w:jc w:val="center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 xml:space="preserve">图 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fldChar w:fldCharType="begin"/>
      </w:r>
      <w:r>
        <w:rPr>
          <w:rFonts w:hint="eastAsia" w:ascii="黑体" w:hAnsi="黑体" w:eastAsia="黑体" w:cs="黑体"/>
          <w:b/>
          <w:bCs/>
          <w:sz w:val="21"/>
          <w:szCs w:val="21"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sz w:val="21"/>
          <w:szCs w:val="21"/>
        </w:rPr>
        <w:fldChar w:fldCharType="separate"/>
      </w:r>
      <w:r>
        <w:rPr>
          <w:rFonts w:hint="eastAsia" w:ascii="黑体" w:hAnsi="黑体" w:eastAsia="黑体" w:cs="黑体"/>
          <w:b/>
          <w:bCs/>
          <w:sz w:val="21"/>
          <w:szCs w:val="21"/>
        </w:rPr>
        <w:t>3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b/>
          <w:bCs/>
          <w:sz w:val="21"/>
          <w:szCs w:val="21"/>
          <w:lang w:eastAsia="zh-CN"/>
        </w:rPr>
        <w:t xml:space="preserve"> 1000Hz正弦波频谱</w:t>
      </w: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图</w:t>
      </w:r>
    </w:p>
    <w:p w14:paraId="4234096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852160" cy="2703195"/>
            <wp:effectExtent l="0" t="0" r="15240" b="1905"/>
            <wp:docPr id="4" name="图片 4" descr="42496d7d-251d-445d-90d4-dad57e72c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2496d7d-251d-445d-90d4-dad57e72c28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E333">
      <w:pPr>
        <w:spacing w:line="360" w:lineRule="auto"/>
        <w:ind w:left="420" w:leftChars="0" w:firstLine="420" w:firstLineChars="0"/>
        <w:jc w:val="left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shd w:val="clear" w:fill="FFFFFF"/>
        </w:rPr>
        <w:t xml:space="preserve">1000Hz 正弦波的频谱图仅在 1000Hz 处有单一谱线，幅度为基波幅值，无谐波，因纯正弦波为单一频率成分，频谱简洁；1100Hz、1300Hz、2000Hz 方波的频谱图均包含基波和奇次谐波，幅度随谐波次数增加而衰减。其中 1100Hz 方波谐波为 3300Hz、5500Hz 等，1300Hz 方波谐波为 3900Hz、6500Hz 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等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shd w:val="clear" w:fill="FFFFFF"/>
        </w:rPr>
        <w:t>2000Hz 方波谐波为 6000Hz、10000Hz 等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。</w:t>
      </w:r>
    </w:p>
    <w:p w14:paraId="48CB9858">
      <w:pPr>
        <w:spacing w:line="360" w:lineRule="auto"/>
        <w:ind w:left="420" w:leftChars="0" w:firstLine="420" w:firstLineChars="0"/>
        <w:jc w:val="left"/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因此对比正弦波，方波的谐波成分更加丰富。</w:t>
      </w:r>
    </w:p>
    <w:p w14:paraId="4A916A1A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PCM编码一个样点是几bit编码？</w:t>
      </w:r>
    </w:p>
    <w:p w14:paraId="20FDCEE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42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shd w:val="clear" w:fill="FFFFFF"/>
        </w:rPr>
        <w:t>PCM 编码中每个样点采用 8 位编码，对应 256 个量化级别，可满足话音信号的动态范围需求，保证音质效果。</w:t>
      </w:r>
    </w:p>
    <w:p w14:paraId="35B99719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标出实验中各个测量点的作用。</w:t>
      </w:r>
    </w:p>
    <w:p w14:paraId="1E2E55DD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主控模块：</w:t>
      </w:r>
    </w:p>
    <w:p w14:paraId="135294F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1）DDS1：模拟信号输出端，用于产生实验所需的原始信号（如正弦波、方波），作为 PCM 编码的输入信号。</w:t>
      </w:r>
    </w:p>
    <w:p w14:paraId="2D9A8FF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2）P04：扬声器输入端，接入译码后的模拟信号，可通过扬声器听取恢复后的语音或信号声音，直观判断译码效果。</w:t>
      </w:r>
    </w:p>
    <w:p w14:paraId="5542C34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（2）信源编码与时分复用模块（A3）：</w:t>
      </w:r>
    </w:p>
    <w:p w14:paraId="529A729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1）3P1：原始信号输入铆孔，接收主控模块 DDS1 输出的模拟信号，是 PCM 编码的信号来源。</w:t>
      </w:r>
    </w:p>
    <w:p w14:paraId="30E1584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2)3P3：带限输出铆孔，输出经 300-3400Hz 抗混叠滤波后的信号，验证滤波对原始信号的处理效果。</w:t>
      </w:r>
    </w:p>
    <w:p w14:paraId="74E50EC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3)3P4：编码输出端，输出经 A 律 13 折线编码后的 8 位二进制数字码流，用于观测编码结果。</w:t>
      </w:r>
    </w:p>
    <w:p w14:paraId="78ECF2C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4)3P5：PCM 译码输入端，接收编码输出信号（如自环实验中连接 3P4），为译码环节提供输入。</w:t>
      </w:r>
    </w:p>
    <w:p w14:paraId="43C3F09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5)3P6：模拟信号恢复输出端，输出经译码和低通滤波后的模拟信号，可与原始信号对比，评估译码失真程度。</w:t>
      </w:r>
    </w:p>
    <w:p w14:paraId="35A8982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6)3P7：抽样脉冲输出端，输出 8kHz 的抽样脉冲信号，决定编码的抽样时刻，需与编码时钟同步。</w:t>
      </w:r>
    </w:p>
    <w:p w14:paraId="31ACF29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7)3P8：编码时钟输出端，提供编码所需的时钟信号，控制编码速率，确保编码时序正确。</w:t>
      </w:r>
    </w:p>
    <w:p w14:paraId="3CFBBE9E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根据实验内容设计具体的实验步骤。</w:t>
      </w:r>
    </w:p>
    <w:p w14:paraId="3612AC49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编码原理验证</w:t>
      </w:r>
    </w:p>
    <w:p w14:paraId="4ED8CD4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40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1）参数设置：点击液晶界面 “原始信号” 按钮，设置信号类型为 “正弦波”、频率 1000Hz、幅度 15（约 2Vp-p）；抽样脉冲（3P7）频率设为 8kHz，编码时钟（3P8）速率匹配编码需求。</w:t>
      </w:r>
    </w:p>
    <w:p w14:paraId="7354DAE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40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2）时序观测：用双踪示波器观测 3P7（抽样脉冲）和 3P8（编码时钟），以 3P7 为触发源，分析两者同步关系（如同步沿、脉冲宽度）；再观测 3P7 与 3P4（编码输出），明确编码数据与抽样脉冲的时序对应关系。</w:t>
      </w:r>
    </w:p>
    <w:p w14:paraId="370EF64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3）液晶观测与验证：在 A3 模块液晶上观察模拟信号、抽样脉冲、量化值，按下编码器切换至 “编码” 显示模式，对比观测到的编码值与理论计算值（如量化值 - 1600 对应编码 01111001），验证编码规则。</w:t>
      </w:r>
    </w:p>
    <w:p w14:paraId="4AF7812F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译码观测</w:t>
      </w:r>
    </w:p>
    <w:p w14:paraId="47169E6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1）自环连接：用导线连接 A3 模块 3P4（编码输出）和 3P5（译码输入），构成编码 - 译码自环。</w:t>
      </w:r>
    </w:p>
    <w:p w14:paraId="63CBC59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2）波形对比：用示波器同时观测 3P1（原始输入信号）和 3P6（译码恢复信号），以 3P1 为触发源，分别测试正弦波（1000Hz）和方波（1100Hz、1300Hz、2000Hz）输入时的译码波形，记录失真情况并分析原因。</w:t>
      </w:r>
    </w:p>
    <w:p w14:paraId="46DA989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3）恢复信号监听：调节主控 “功放音量”，通过 P04 连接的扬声器听取译码后的信号，直观判断恢复效果。</w:t>
      </w:r>
    </w:p>
    <w:p w14:paraId="3E10E559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性能测量</w:t>
      </w:r>
    </w:p>
    <w:p w14:paraId="3EB3C22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1）频率响应测量：固定输入信号幅度为 2Vp-p，依次改变输入信号频率（250Hz~4000Hz），用示波器测量 3P6 输出信号的幅度，记录不同频率下的输出幅度值，绘制频响特性曲线。</w:t>
      </w:r>
    </w:p>
    <w:p w14:paraId="153FD28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2）失真测量：固定输入信号频率为 1000Hz，改变输入信号幅度（0.1V~5Vp-p），通过示波器对比 3P1（输入）和 3P6（输出）的波形平滑度，定性评估译码失真程度。</w:t>
      </w:r>
    </w:p>
    <w:p w14:paraId="2E9872E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lang w:val="en-US" w:eastAsia="zh-CN"/>
        </w:rPr>
        <w:t>3）系统增益测量：设置输入信号为 1000Hz、2Vp-p 的正弦波，用示波器分别测量 3P1 输入幅度和 3P6 输出幅度，计算增益（输出幅度 / 输入幅度）并换算为 dB 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553A1A"/>
    <w:multiLevelType w:val="singleLevel"/>
    <w:tmpl w:val="92553A1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6ECC720"/>
    <w:multiLevelType w:val="singleLevel"/>
    <w:tmpl w:val="C6ECC72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4DB7B56"/>
    <w:multiLevelType w:val="singleLevel"/>
    <w:tmpl w:val="F4DB7B5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3">
    <w:nsid w:val="FAD4D78F"/>
    <w:multiLevelType w:val="singleLevel"/>
    <w:tmpl w:val="FAD4D78F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FB7445E6"/>
    <w:multiLevelType w:val="singleLevel"/>
    <w:tmpl w:val="FB7445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48F3AA9A"/>
    <w:multiLevelType w:val="singleLevel"/>
    <w:tmpl w:val="48F3AA9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70838"/>
    <w:rsid w:val="06D2058A"/>
    <w:rsid w:val="15CB4775"/>
    <w:rsid w:val="160405D7"/>
    <w:rsid w:val="16D974A6"/>
    <w:rsid w:val="18771ED6"/>
    <w:rsid w:val="26BC2270"/>
    <w:rsid w:val="2E3F3F2B"/>
    <w:rsid w:val="2E4F07E1"/>
    <w:rsid w:val="30F20901"/>
    <w:rsid w:val="34075993"/>
    <w:rsid w:val="3796206C"/>
    <w:rsid w:val="40062655"/>
    <w:rsid w:val="47BE2D22"/>
    <w:rsid w:val="4A55090E"/>
    <w:rsid w:val="4AAC0413"/>
    <w:rsid w:val="54FF1D2E"/>
    <w:rsid w:val="5FE14112"/>
    <w:rsid w:val="603D527B"/>
    <w:rsid w:val="64031649"/>
    <w:rsid w:val="665054B9"/>
    <w:rsid w:val="671D3407"/>
    <w:rsid w:val="67CF629B"/>
    <w:rsid w:val="68D47FEC"/>
    <w:rsid w:val="70F9548A"/>
    <w:rsid w:val="746D7236"/>
    <w:rsid w:val="7BA615A2"/>
    <w:rsid w:val="7FE6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3166</Words>
  <Characters>3565</Characters>
  <Lines>0</Lines>
  <Paragraphs>0</Paragraphs>
  <TotalTime>0</TotalTime>
  <ScaleCrop>false</ScaleCrop>
  <LinksUpToDate>false</LinksUpToDate>
  <CharactersWithSpaces>3707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2025-11-01T13:09:00Z</dcterms:created>
  <dc:creator>Eric</dc:creator>
  <cp:lastModifiedBy/>
  <dcterms:modified xsi:type="dcterms:W3CDTF">2025-11-02T02:16:45Z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eyJoZGlkIjoiNTA0ODZjMGRkMWIxZWMzZWYyMGU3NTMxM2ViYjhlYmEiLCJ1c2VySWQiOiIxNTk2MzU0MTMwIn0=</vt:lpwstr>
  </property>
  <property fmtid="{D5CDD505-2E9C-101B-9397-08002B2CF9AE}" pid="4" name="ICV">
    <vt:lpwstr>9538796785374D5CAB2BDE82DED6B031_12</vt:lpwstr>
  </property>
</Properties>
</file>