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763B5">
      <w:pPr>
        <w:pStyle w:val="2"/>
        <w:spacing w:after="200"/>
        <w:jc w:val="center"/>
      </w:pPr>
      <w:bookmarkStart w:id="0" w:name="_Toc5146"/>
      <w:r>
        <w:t>基于AIoT的宫颈癌筛查云平台技术方案研究——以武汉兰丁为例</w:t>
      </w:r>
      <w:bookmarkEnd w:id="0"/>
    </w:p>
    <w:p w14:paraId="48458AC2"/>
    <w:p w14:paraId="49894787"/>
    <w:p w14:paraId="2F0A5003"/>
    <w:p w14:paraId="767C811D"/>
    <w:p w14:paraId="184508A6">
      <w:pPr>
        <w:pStyle w:val="3"/>
        <w:spacing w:after="200"/>
        <w:jc w:val="left"/>
      </w:pPr>
      <w:bookmarkStart w:id="1" w:name="_Toc16485"/>
      <w:r>
        <w:t>摘要</w:t>
      </w:r>
      <w:bookmarkEnd w:id="1"/>
    </w:p>
    <w:p w14:paraId="7FC17E27">
      <w:pPr>
        <w:spacing w:after="120"/>
        <w:ind w:firstLine="500" w:firstLineChars="0"/>
        <w:jc w:val="left"/>
        <w:rPr>
          <w:rFonts w:hint="eastAsia" w:ascii="黑体" w:hAnsi="黑体" w:eastAsia="黑体" w:cs="黑体"/>
        </w:rPr>
      </w:pPr>
      <w:r>
        <w:rPr>
          <w:rFonts w:hint="eastAsia" w:ascii="黑体" w:hAnsi="黑体" w:eastAsia="黑体" w:cs="黑体"/>
        </w:rPr>
        <w:t>宫颈癌是全球重大公共卫生挑战，我国每年新发病例约15.1万例，基层病理医生严重匮乏导致大规模筛查难以落地。本文以武汉兰丁智能医学股份有限公司为研究对象，系统分析其基于AIoT（人工智能物联网）的肿瘤筛查云平台技术方案。该平台构建了"终端采样数据化—网络传输云端化—AI诊断智能化—专家复核人性化"五层闭环系统</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_Ref23473 \r \h </w:instrText>
      </w:r>
      <w:r>
        <w:rPr>
          <w:rFonts w:hint="eastAsia" w:ascii="黑体" w:hAnsi="黑体" w:eastAsia="黑体" w:cs="黑体"/>
          <w:sz w:val="16"/>
          <w:szCs w:val="16"/>
        </w:rPr>
        <w:fldChar w:fldCharType="separate"/>
      </w:r>
      <w:r>
        <w:rPr>
          <w:rFonts w:hint="eastAsia" w:ascii="黑体" w:hAnsi="黑体" w:eastAsia="黑体" w:cs="黑体"/>
          <w:sz w:val="16"/>
          <w:szCs w:val="16"/>
        </w:rPr>
        <w:t>[6]</w:t>
      </w:r>
      <w:r>
        <w:rPr>
          <w:rFonts w:hint="eastAsia" w:ascii="黑体" w:hAnsi="黑体" w:eastAsia="黑体" w:cs="黑体"/>
          <w:sz w:val="16"/>
          <w:szCs w:val="16"/>
        </w:rPr>
        <w:fldChar w:fldCharType="end"/>
      </w:r>
      <w:r>
        <w:rPr>
          <w:rFonts w:hint="eastAsia" w:ascii="黑体" w:hAnsi="黑体" w:eastAsia="黑体" w:cs="黑体"/>
        </w:rPr>
        <w:t>，深度融合深度学习病理AI模型、高通量切片扫描、5G云边协同架构及人机协同质控机制。研究表明，该平台已累计完成超1300万人次筛查，单日最高检测量达5万例，AI敏感性与特异性均超90%，成本较传统模式下降约100倍。</w:t>
      </w:r>
    </w:p>
    <w:p w14:paraId="0AA082DE">
      <w:pPr>
        <w:spacing w:after="200"/>
        <w:rPr>
          <w:rFonts w:hint="eastAsia" w:ascii="黑体" w:hAnsi="黑体" w:eastAsia="黑体" w:cs="黑体"/>
        </w:rPr>
      </w:pPr>
    </w:p>
    <w:p w14:paraId="4D1FFAD6">
      <w:pPr>
        <w:spacing w:after="120"/>
        <w:jc w:val="left"/>
        <w:rPr>
          <w:rFonts w:hint="eastAsia" w:ascii="黑体" w:hAnsi="黑体" w:eastAsia="黑体" w:cs="黑体"/>
        </w:rPr>
      </w:pPr>
      <w:r>
        <w:rPr>
          <w:rFonts w:hint="eastAsia" w:ascii="黑体" w:hAnsi="黑体" w:eastAsia="黑体" w:cs="黑体"/>
          <w:b/>
          <w:bCs/>
        </w:rPr>
        <w:t>关键词</w:t>
      </w:r>
      <w:r>
        <w:rPr>
          <w:rFonts w:hint="eastAsia" w:ascii="黑体" w:hAnsi="黑体" w:eastAsia="黑体" w:cs="黑体"/>
        </w:rPr>
        <w:t>：AIoT；宫颈癌筛查；云平台；深度学习；5G远程病理；武汉兰丁</w:t>
      </w:r>
    </w:p>
    <w:p w14:paraId="0060F060">
      <w:pPr>
        <w:spacing w:after="120"/>
        <w:jc w:val="left"/>
        <w:rPr>
          <w:rFonts w:hint="eastAsia" w:ascii="黑体" w:hAnsi="黑体" w:eastAsia="黑体" w:cs="黑体"/>
        </w:rPr>
      </w:pPr>
    </w:p>
    <w:p w14:paraId="6537A5A4">
      <w:pPr>
        <w:spacing w:after="120"/>
        <w:jc w:val="left"/>
        <w:rPr>
          <w:rFonts w:hint="eastAsia" w:ascii="黑体" w:hAnsi="黑体" w:eastAsia="黑体" w:cs="黑体"/>
        </w:rPr>
      </w:pPr>
    </w:p>
    <w:p w14:paraId="2543BA36">
      <w:pPr>
        <w:spacing w:after="120"/>
        <w:jc w:val="left"/>
        <w:rPr>
          <w:rFonts w:hint="eastAsia" w:ascii="黑体" w:hAnsi="黑体" w:eastAsia="黑体" w:cs="黑体"/>
        </w:rPr>
      </w:pPr>
    </w:p>
    <w:p w14:paraId="61D66B61">
      <w:pPr>
        <w:spacing w:after="120"/>
        <w:jc w:val="left"/>
        <w:rPr>
          <w:rFonts w:hint="eastAsia" w:ascii="黑体" w:hAnsi="黑体" w:eastAsia="黑体" w:cs="黑体"/>
        </w:rPr>
      </w:pPr>
    </w:p>
    <w:p w14:paraId="67D750A7">
      <w:pPr>
        <w:spacing w:after="120"/>
        <w:jc w:val="left"/>
        <w:rPr>
          <w:rFonts w:hint="eastAsia" w:ascii="黑体" w:hAnsi="黑体" w:eastAsia="黑体" w:cs="黑体"/>
        </w:rPr>
      </w:pPr>
    </w:p>
    <w:p w14:paraId="5608A925">
      <w:pPr>
        <w:spacing w:after="120"/>
        <w:jc w:val="left"/>
        <w:rPr>
          <w:rFonts w:hint="eastAsia" w:ascii="黑体" w:hAnsi="黑体" w:eastAsia="黑体" w:cs="黑体"/>
        </w:rPr>
      </w:pPr>
    </w:p>
    <w:p w14:paraId="20C8316A">
      <w:pPr>
        <w:spacing w:after="120"/>
        <w:jc w:val="left"/>
        <w:rPr>
          <w:rFonts w:hint="eastAsia" w:ascii="黑体" w:hAnsi="黑体" w:eastAsia="黑体" w:cs="黑体"/>
        </w:rPr>
      </w:pPr>
    </w:p>
    <w:p w14:paraId="0DE27A30">
      <w:pPr>
        <w:spacing w:after="120"/>
        <w:jc w:val="left"/>
        <w:rPr>
          <w:rFonts w:hint="eastAsia" w:ascii="黑体" w:hAnsi="黑体" w:eastAsia="黑体" w:cs="黑体"/>
        </w:rPr>
      </w:pPr>
    </w:p>
    <w:p w14:paraId="62A00FB9">
      <w:pPr>
        <w:spacing w:after="120"/>
        <w:jc w:val="left"/>
        <w:rPr>
          <w:rFonts w:hint="eastAsia" w:ascii="黑体" w:hAnsi="黑体" w:eastAsia="黑体" w:cs="黑体"/>
        </w:rPr>
      </w:pPr>
    </w:p>
    <w:p w14:paraId="530030E8">
      <w:pPr>
        <w:spacing w:after="120"/>
        <w:jc w:val="left"/>
        <w:rPr>
          <w:rFonts w:hint="eastAsia" w:ascii="黑体" w:hAnsi="黑体" w:eastAsia="黑体" w:cs="黑体"/>
        </w:rPr>
      </w:pPr>
    </w:p>
    <w:p w14:paraId="4A863FEE">
      <w:pPr>
        <w:spacing w:after="120"/>
        <w:jc w:val="left"/>
        <w:rPr>
          <w:rFonts w:hint="eastAsia" w:ascii="黑体" w:hAnsi="黑体" w:eastAsia="黑体" w:cs="黑体"/>
        </w:rPr>
      </w:pPr>
    </w:p>
    <w:p w14:paraId="20E9BE69">
      <w:pPr>
        <w:spacing w:after="120"/>
        <w:jc w:val="left"/>
        <w:rPr>
          <w:rFonts w:hint="eastAsia" w:ascii="黑体" w:hAnsi="黑体" w:eastAsia="黑体" w:cs="黑体"/>
        </w:rPr>
      </w:pPr>
    </w:p>
    <w:p w14:paraId="338E3DE0">
      <w:pPr>
        <w:spacing w:after="120"/>
        <w:jc w:val="left"/>
        <w:rPr>
          <w:rFonts w:hint="eastAsia" w:ascii="黑体" w:hAnsi="黑体" w:eastAsia="黑体" w:cs="黑体"/>
        </w:rPr>
      </w:pPr>
    </w:p>
    <w:p w14:paraId="443A9723">
      <w:pPr>
        <w:spacing w:after="120"/>
        <w:jc w:val="left"/>
        <w:rPr>
          <w:rFonts w:hint="eastAsia" w:ascii="黑体" w:hAnsi="黑体" w:eastAsia="黑体" w:cs="黑体"/>
        </w:rPr>
      </w:pPr>
    </w:p>
    <w:p w14:paraId="18931F09">
      <w:pPr>
        <w:spacing w:after="120"/>
        <w:jc w:val="left"/>
        <w:rPr>
          <w:rFonts w:hint="eastAsia" w:ascii="黑体" w:hAnsi="黑体" w:eastAsia="黑体" w:cs="黑体"/>
        </w:rPr>
      </w:pPr>
    </w:p>
    <w:p w14:paraId="7EAB63BC">
      <w:pPr>
        <w:spacing w:after="120"/>
        <w:jc w:val="left"/>
        <w:rPr>
          <w:rFonts w:hint="eastAsia" w:ascii="黑体" w:hAnsi="黑体" w:eastAsia="黑体" w:cs="黑体"/>
        </w:rPr>
      </w:pPr>
    </w:p>
    <w:p w14:paraId="5CA6A308">
      <w:pPr>
        <w:spacing w:after="120"/>
        <w:jc w:val="left"/>
        <w:rPr>
          <w:rFonts w:hint="eastAsia" w:ascii="黑体" w:hAnsi="黑体" w:eastAsia="黑体" w:cs="黑体"/>
        </w:rPr>
      </w:pPr>
    </w:p>
    <w:p w14:paraId="47514027">
      <w:pPr>
        <w:spacing w:after="120"/>
        <w:jc w:val="left"/>
        <w:rPr>
          <w:rFonts w:hint="eastAsia" w:ascii="黑体" w:hAnsi="黑体" w:eastAsia="黑体" w:cs="黑体"/>
        </w:rPr>
      </w:pPr>
    </w:p>
    <w:p w14:paraId="4858A053">
      <w:pPr>
        <w:spacing w:after="120"/>
        <w:jc w:val="left"/>
        <w:rPr>
          <w:rFonts w:hint="eastAsia" w:ascii="黑体" w:hAnsi="黑体" w:eastAsia="黑体" w:cs="黑体"/>
        </w:rPr>
      </w:pPr>
    </w:p>
    <w:p w14:paraId="5D65C156">
      <w:pPr>
        <w:spacing w:after="120"/>
        <w:jc w:val="left"/>
        <w:rPr>
          <w:rFonts w:hint="eastAsia" w:ascii="黑体" w:hAnsi="黑体" w:eastAsia="黑体" w:cs="黑体"/>
        </w:rPr>
      </w:pPr>
    </w:p>
    <w:p w14:paraId="152E6B45">
      <w:pPr>
        <w:pStyle w:val="10"/>
        <w:tabs>
          <w:tab w:val="right" w:leader="dot" w:pos="9026"/>
        </w:tabs>
        <w:jc w:val="center"/>
        <w:rPr>
          <w:rFonts w:hint="eastAsia" w:ascii="黑体" w:hAnsi="黑体" w:eastAsia="黑体" w:cs="黑体"/>
          <w:sz w:val="24"/>
          <w:szCs w:val="24"/>
        </w:rPr>
      </w:pPr>
      <w:r>
        <w:rPr>
          <w:rFonts w:hint="eastAsia" w:ascii="黑体" w:hAnsi="黑体" w:eastAsia="黑体" w:cs="黑体"/>
          <w:sz w:val="36"/>
          <w:szCs w:val="36"/>
          <w:lang w:val="en-US" w:eastAsia="zh-CN"/>
        </w:rPr>
        <w:t>目录</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TOC \o "1-3" \h \u </w:instrText>
      </w:r>
      <w:r>
        <w:rPr>
          <w:rFonts w:hint="eastAsia" w:ascii="黑体" w:hAnsi="黑体" w:eastAsia="黑体" w:cs="黑体"/>
          <w:sz w:val="24"/>
          <w:szCs w:val="24"/>
        </w:rPr>
        <w:fldChar w:fldCharType="separate"/>
      </w:r>
    </w:p>
    <w:p w14:paraId="59B4E11B">
      <w:pPr>
        <w:pStyle w:val="12"/>
        <w:tabs>
          <w:tab w:val="right" w:leader="dot" w:pos="9026"/>
        </w:tabs>
        <w:rPr>
          <w:rFonts w:hint="eastAsia" w:ascii="黑体" w:hAnsi="黑体" w:eastAsia="黑体" w:cs="黑体"/>
          <w:sz w:val="24"/>
          <w:szCs w:val="24"/>
        </w:rPr>
      </w:pPr>
    </w:p>
    <w:p w14:paraId="687720EA">
      <w:pPr>
        <w:pStyle w:val="12"/>
        <w:tabs>
          <w:tab w:val="right" w:leader="dot" w:pos="9026"/>
        </w:tabs>
        <w:rPr>
          <w:rFonts w:hint="eastAsia" w:ascii="黑体" w:hAnsi="黑体" w:eastAsia="黑体" w:cs="黑体"/>
          <w:sz w:val="24"/>
          <w:szCs w:val="24"/>
        </w:rPr>
      </w:pPr>
    </w:p>
    <w:p w14:paraId="5F3EB804">
      <w:pPr>
        <w:pStyle w:val="12"/>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_Toc14817 </w:instrText>
      </w:r>
      <w:r>
        <w:rPr>
          <w:rFonts w:hint="eastAsia" w:ascii="黑体" w:hAnsi="黑体" w:eastAsia="黑体" w:cs="黑体"/>
          <w:sz w:val="24"/>
          <w:szCs w:val="24"/>
        </w:rPr>
        <w:fldChar w:fldCharType="separate"/>
      </w:r>
      <w:r>
        <w:rPr>
          <w:rFonts w:hint="eastAsia" w:ascii="黑体" w:hAnsi="黑体" w:eastAsia="黑体" w:cs="黑体"/>
          <w:sz w:val="24"/>
          <w:szCs w:val="24"/>
        </w:rPr>
        <w:t>1 引言</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_Toc14817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0417F61A">
      <w:pPr>
        <w:pStyle w:val="12"/>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_Toc31846 </w:instrText>
      </w:r>
      <w:r>
        <w:rPr>
          <w:rFonts w:hint="eastAsia" w:ascii="黑体" w:hAnsi="黑体" w:eastAsia="黑体" w:cs="黑体"/>
          <w:sz w:val="24"/>
          <w:szCs w:val="24"/>
        </w:rPr>
        <w:fldChar w:fldCharType="separate"/>
      </w:r>
      <w:r>
        <w:rPr>
          <w:rFonts w:hint="eastAsia" w:ascii="黑体" w:hAnsi="黑体" w:eastAsia="黑体" w:cs="黑体"/>
          <w:sz w:val="24"/>
          <w:szCs w:val="24"/>
        </w:rPr>
        <w:t>2 研究内容</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_Toc31846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39854807">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_Toc21110 </w:instrText>
      </w:r>
      <w:r>
        <w:rPr>
          <w:rFonts w:hint="eastAsia" w:ascii="黑体" w:hAnsi="黑体" w:eastAsia="黑体" w:cs="黑体"/>
          <w:sz w:val="24"/>
          <w:szCs w:val="24"/>
        </w:rPr>
        <w:fldChar w:fldCharType="separate"/>
      </w:r>
      <w:r>
        <w:rPr>
          <w:rFonts w:hint="eastAsia" w:ascii="黑体" w:hAnsi="黑体" w:eastAsia="黑体" w:cs="黑体"/>
          <w:sz w:val="24"/>
          <w:szCs w:val="24"/>
        </w:rPr>
        <w:t>2.1 问题</w:t>
      </w:r>
      <w:r>
        <w:rPr>
          <w:rFonts w:hint="eastAsia" w:ascii="黑体" w:hAnsi="黑体" w:eastAsia="黑体" w:cs="黑体"/>
          <w:sz w:val="24"/>
          <w:szCs w:val="24"/>
          <w:lang w:val="en-US" w:eastAsia="zh-CN"/>
        </w:rPr>
        <w:t>描述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_Toc21110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2390A102">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_Toc10686 </w:instrText>
      </w:r>
      <w:r>
        <w:rPr>
          <w:rFonts w:hint="eastAsia" w:ascii="黑体" w:hAnsi="黑体" w:eastAsia="黑体" w:cs="黑体"/>
          <w:sz w:val="24"/>
          <w:szCs w:val="24"/>
        </w:rPr>
        <w:fldChar w:fldCharType="separate"/>
      </w:r>
      <w:r>
        <w:rPr>
          <w:rFonts w:hint="eastAsia" w:ascii="黑体" w:hAnsi="黑体" w:eastAsia="黑体" w:cs="黑体"/>
          <w:sz w:val="24"/>
          <w:szCs w:val="24"/>
        </w:rPr>
        <w:t>2.2 方案总体设计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_Toc10686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45605C2F">
      <w:pPr>
        <w:pStyle w:val="12"/>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_Toc23915 </w:instrText>
      </w:r>
      <w:r>
        <w:rPr>
          <w:rFonts w:hint="eastAsia" w:ascii="黑体" w:hAnsi="黑体" w:eastAsia="黑体" w:cs="黑体"/>
          <w:sz w:val="24"/>
          <w:szCs w:val="24"/>
        </w:rPr>
        <w:fldChar w:fldCharType="separate"/>
      </w:r>
      <w:r>
        <w:rPr>
          <w:rFonts w:hint="eastAsia" w:ascii="黑体" w:hAnsi="黑体" w:eastAsia="黑体" w:cs="黑体"/>
          <w:sz w:val="24"/>
          <w:szCs w:val="24"/>
        </w:rPr>
        <w:t>3 技术路线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_Toc23915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15E30F90">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_Toc1026 </w:instrText>
      </w:r>
      <w:r>
        <w:rPr>
          <w:rFonts w:hint="eastAsia" w:ascii="黑体" w:hAnsi="黑体" w:eastAsia="黑体" w:cs="黑体"/>
          <w:sz w:val="24"/>
          <w:szCs w:val="24"/>
        </w:rPr>
        <w:fldChar w:fldCharType="separate"/>
      </w:r>
      <w:r>
        <w:rPr>
          <w:rFonts w:hint="eastAsia" w:ascii="黑体" w:hAnsi="黑体" w:eastAsia="黑体" w:cs="黑体"/>
          <w:sz w:val="24"/>
          <w:szCs w:val="24"/>
        </w:rPr>
        <w:t>3.1 感知采集层（终端侧）</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_Toc1026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01DD8895">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_Toc16594 </w:instrText>
      </w:r>
      <w:r>
        <w:rPr>
          <w:rFonts w:hint="eastAsia" w:ascii="黑体" w:hAnsi="黑体" w:eastAsia="黑体" w:cs="黑体"/>
          <w:sz w:val="24"/>
          <w:szCs w:val="24"/>
        </w:rPr>
        <w:fldChar w:fldCharType="separate"/>
      </w:r>
      <w:r>
        <w:rPr>
          <w:rFonts w:hint="eastAsia" w:ascii="黑体" w:hAnsi="黑体" w:eastAsia="黑体" w:cs="黑体"/>
          <w:sz w:val="24"/>
          <w:szCs w:val="24"/>
        </w:rPr>
        <w:t>3.2 网络传输层（管道）</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_Toc16594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1F306EF9">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_Toc22615 </w:instrText>
      </w:r>
      <w:r>
        <w:rPr>
          <w:rFonts w:hint="eastAsia" w:ascii="黑体" w:hAnsi="黑体" w:eastAsia="黑体" w:cs="黑体"/>
          <w:sz w:val="24"/>
          <w:szCs w:val="24"/>
        </w:rPr>
        <w:fldChar w:fldCharType="separate"/>
      </w:r>
      <w:r>
        <w:rPr>
          <w:rFonts w:hint="eastAsia" w:ascii="黑体" w:hAnsi="黑体" w:eastAsia="黑体" w:cs="黑体"/>
          <w:sz w:val="24"/>
          <w:szCs w:val="24"/>
        </w:rPr>
        <w:t>3.3 云端智能处理层（大脑）</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_Toc22615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06A7D58A">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_Toc18654 </w:instrText>
      </w:r>
      <w:r>
        <w:rPr>
          <w:rFonts w:hint="eastAsia" w:ascii="黑体" w:hAnsi="黑体" w:eastAsia="黑体" w:cs="黑体"/>
          <w:sz w:val="24"/>
          <w:szCs w:val="24"/>
        </w:rPr>
        <w:fldChar w:fldCharType="separate"/>
      </w:r>
      <w:r>
        <w:rPr>
          <w:rFonts w:hint="eastAsia" w:ascii="黑体" w:hAnsi="黑体" w:eastAsia="黑体" w:cs="黑体"/>
          <w:sz w:val="24"/>
          <w:szCs w:val="24"/>
        </w:rPr>
        <w:t>3.4 应用服务层（价值输出）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_Toc18654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33C0F353">
      <w:pPr>
        <w:pStyle w:val="12"/>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_Toc12088 </w:instrText>
      </w:r>
      <w:r>
        <w:rPr>
          <w:rFonts w:hint="eastAsia" w:ascii="黑体" w:hAnsi="黑体" w:eastAsia="黑体" w:cs="黑体"/>
          <w:sz w:val="24"/>
          <w:szCs w:val="24"/>
        </w:rPr>
        <w:fldChar w:fldCharType="separate"/>
      </w:r>
      <w:r>
        <w:rPr>
          <w:rFonts w:hint="eastAsia" w:ascii="黑体" w:hAnsi="黑体" w:eastAsia="黑体" w:cs="黑体"/>
          <w:sz w:val="24"/>
          <w:szCs w:val="24"/>
        </w:rPr>
        <w:t>4 关键技术</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_Toc12088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261AC0E4">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_Toc31948 </w:instrText>
      </w:r>
      <w:r>
        <w:rPr>
          <w:rFonts w:hint="eastAsia" w:ascii="黑体" w:hAnsi="黑体" w:eastAsia="黑体" w:cs="黑体"/>
          <w:sz w:val="24"/>
          <w:szCs w:val="24"/>
        </w:rPr>
        <w:fldChar w:fldCharType="separate"/>
      </w:r>
      <w:r>
        <w:rPr>
          <w:rFonts w:hint="eastAsia" w:ascii="黑体" w:hAnsi="黑体" w:eastAsia="黑体" w:cs="黑体"/>
          <w:sz w:val="24"/>
          <w:szCs w:val="24"/>
        </w:rPr>
        <w:t>4.1 基于深度学习的宫颈细胞图像分析算法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_Toc31948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6F42E289">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_Toc22746 </w:instrText>
      </w:r>
      <w:r>
        <w:rPr>
          <w:rFonts w:hint="eastAsia" w:ascii="黑体" w:hAnsi="黑体" w:eastAsia="黑体" w:cs="黑体"/>
          <w:sz w:val="24"/>
          <w:szCs w:val="24"/>
        </w:rPr>
        <w:fldChar w:fldCharType="separate"/>
      </w:r>
      <w:r>
        <w:rPr>
          <w:rFonts w:hint="eastAsia" w:ascii="黑体" w:hAnsi="黑体" w:eastAsia="黑体" w:cs="黑体"/>
          <w:sz w:val="24"/>
          <w:szCs w:val="24"/>
        </w:rPr>
        <w:t>4.2 高通量切片扫描与5G云边协同架构</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_Toc22746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65653AA0">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_Toc25152 </w:instrText>
      </w:r>
      <w:r>
        <w:rPr>
          <w:rFonts w:hint="eastAsia" w:ascii="黑体" w:hAnsi="黑体" w:eastAsia="黑体" w:cs="黑体"/>
          <w:sz w:val="24"/>
          <w:szCs w:val="24"/>
        </w:rPr>
        <w:fldChar w:fldCharType="separate"/>
      </w:r>
      <w:r>
        <w:rPr>
          <w:rFonts w:hint="eastAsia" w:ascii="黑体" w:hAnsi="黑体" w:eastAsia="黑体" w:cs="黑体"/>
          <w:sz w:val="24"/>
          <w:szCs w:val="24"/>
        </w:rPr>
        <w:t>4.3 人机协同的闭环质控与流式工作模式</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_Toc25152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57E44A9E">
      <w:pPr>
        <w:pStyle w:val="12"/>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_Toc27020 </w:instrText>
      </w:r>
      <w:r>
        <w:rPr>
          <w:rFonts w:hint="eastAsia" w:ascii="黑体" w:hAnsi="黑体" w:eastAsia="黑体" w:cs="黑体"/>
          <w:sz w:val="24"/>
          <w:szCs w:val="24"/>
        </w:rPr>
        <w:fldChar w:fldCharType="separate"/>
      </w:r>
      <w:r>
        <w:rPr>
          <w:rFonts w:hint="eastAsia" w:ascii="黑体" w:hAnsi="黑体" w:eastAsia="黑体" w:cs="黑体"/>
          <w:sz w:val="24"/>
          <w:szCs w:val="24"/>
        </w:rPr>
        <w:t>5 应用前景分析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_Toc27020 \h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37819572">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_Toc13474 </w:instrText>
      </w:r>
      <w:r>
        <w:rPr>
          <w:rFonts w:hint="eastAsia" w:ascii="黑体" w:hAnsi="黑体" w:eastAsia="黑体" w:cs="黑体"/>
          <w:sz w:val="24"/>
          <w:szCs w:val="24"/>
        </w:rPr>
        <w:fldChar w:fldCharType="separate"/>
      </w:r>
      <w:r>
        <w:rPr>
          <w:rFonts w:hint="eastAsia" w:ascii="黑体" w:hAnsi="黑体" w:eastAsia="黑体" w:cs="黑体"/>
          <w:sz w:val="24"/>
          <w:szCs w:val="24"/>
        </w:rPr>
        <w:t>5.1 市场与社会双驱动</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_Toc13474 \h </w:instrText>
      </w:r>
      <w:r>
        <w:rPr>
          <w:rFonts w:hint="eastAsia" w:ascii="黑体" w:hAnsi="黑体" w:eastAsia="黑体" w:cs="黑体"/>
          <w:sz w:val="24"/>
          <w:szCs w:val="24"/>
        </w:rPr>
        <w:fldChar w:fldCharType="separate"/>
      </w:r>
      <w:r>
        <w:rPr>
          <w:rFonts w:hint="eastAsia" w:ascii="黑体" w:hAnsi="黑体" w:eastAsia="黑体" w:cs="黑体"/>
          <w:sz w:val="24"/>
          <w:szCs w:val="24"/>
        </w:rPr>
        <w:t>8</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1D73FA56">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_Toc3615 </w:instrText>
      </w:r>
      <w:r>
        <w:rPr>
          <w:rFonts w:hint="eastAsia" w:ascii="黑体" w:hAnsi="黑体" w:eastAsia="黑体" w:cs="黑体"/>
          <w:sz w:val="24"/>
          <w:szCs w:val="24"/>
        </w:rPr>
        <w:fldChar w:fldCharType="separate"/>
      </w:r>
      <w:r>
        <w:rPr>
          <w:rFonts w:hint="eastAsia" w:ascii="黑体" w:hAnsi="黑体" w:eastAsia="黑体" w:cs="黑体"/>
          <w:sz w:val="24"/>
          <w:szCs w:val="24"/>
        </w:rPr>
        <w:t>5.2 重点应用场景</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_Toc3615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7E010697">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_Toc30816 </w:instrText>
      </w:r>
      <w:r>
        <w:rPr>
          <w:rFonts w:hint="eastAsia" w:ascii="黑体" w:hAnsi="黑体" w:eastAsia="黑体" w:cs="黑体"/>
          <w:sz w:val="24"/>
          <w:szCs w:val="24"/>
        </w:rPr>
        <w:fldChar w:fldCharType="separate"/>
      </w:r>
      <w:r>
        <w:rPr>
          <w:rFonts w:hint="eastAsia" w:ascii="黑体" w:hAnsi="黑体" w:eastAsia="黑体" w:cs="黑体"/>
          <w:sz w:val="24"/>
          <w:szCs w:val="24"/>
        </w:rPr>
        <w:t>5.3 平台商业模式</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_Toc30816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01B395BC">
      <w:pPr>
        <w:pStyle w:val="12"/>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_Toc8354 </w:instrText>
      </w:r>
      <w:r>
        <w:rPr>
          <w:rFonts w:hint="eastAsia" w:ascii="黑体" w:hAnsi="黑体" w:eastAsia="黑体" w:cs="黑体"/>
          <w:sz w:val="24"/>
          <w:szCs w:val="24"/>
        </w:rPr>
        <w:fldChar w:fldCharType="separate"/>
      </w:r>
      <w:r>
        <w:rPr>
          <w:rFonts w:hint="eastAsia" w:ascii="黑体" w:hAnsi="黑体" w:eastAsia="黑体" w:cs="黑体"/>
          <w:sz w:val="24"/>
          <w:szCs w:val="24"/>
        </w:rPr>
        <w:t>6 存在不足与对策</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_Toc8354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6B1EA613">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_Toc20797 </w:instrText>
      </w:r>
      <w:r>
        <w:rPr>
          <w:rFonts w:hint="eastAsia" w:ascii="黑体" w:hAnsi="黑体" w:eastAsia="黑体" w:cs="黑体"/>
          <w:sz w:val="24"/>
          <w:szCs w:val="24"/>
        </w:rPr>
        <w:fldChar w:fldCharType="separate"/>
      </w:r>
      <w:r>
        <w:rPr>
          <w:rFonts w:hint="eastAsia" w:ascii="黑体" w:hAnsi="黑体" w:eastAsia="黑体" w:cs="黑体"/>
          <w:sz w:val="24"/>
          <w:szCs w:val="24"/>
        </w:rPr>
        <w:t>6.1 AI模型"黑箱"与可解释性不足</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_Toc20797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5F55494D">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_Toc26616 </w:instrText>
      </w:r>
      <w:r>
        <w:rPr>
          <w:rFonts w:hint="eastAsia" w:ascii="黑体" w:hAnsi="黑体" w:eastAsia="黑体" w:cs="黑体"/>
          <w:sz w:val="24"/>
          <w:szCs w:val="24"/>
        </w:rPr>
        <w:fldChar w:fldCharType="separate"/>
      </w:r>
      <w:r>
        <w:rPr>
          <w:rFonts w:hint="eastAsia" w:ascii="黑体" w:hAnsi="黑体" w:eastAsia="黑体" w:cs="黑体"/>
          <w:sz w:val="24"/>
          <w:szCs w:val="24"/>
        </w:rPr>
        <w:t>6.2 数据隐私与中心化训练风险</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_Toc26616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1FEEFD25">
      <w:pPr>
        <w:pStyle w:val="9"/>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_Toc31763 </w:instrText>
      </w:r>
      <w:r>
        <w:rPr>
          <w:rFonts w:hint="eastAsia" w:ascii="黑体" w:hAnsi="黑体" w:eastAsia="黑体" w:cs="黑体"/>
          <w:sz w:val="24"/>
          <w:szCs w:val="24"/>
        </w:rPr>
        <w:fldChar w:fldCharType="separate"/>
      </w:r>
      <w:r>
        <w:rPr>
          <w:rFonts w:hint="eastAsia" w:ascii="黑体" w:hAnsi="黑体" w:eastAsia="黑体" w:cs="黑体"/>
          <w:sz w:val="24"/>
          <w:szCs w:val="24"/>
        </w:rPr>
        <w:t>6.3 复杂场景漏诊及病种拓展壁垒</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_Toc31763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258F7623">
      <w:pPr>
        <w:pStyle w:val="12"/>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_Toc267 </w:instrText>
      </w:r>
      <w:r>
        <w:rPr>
          <w:rFonts w:hint="eastAsia" w:ascii="黑体" w:hAnsi="黑体" w:eastAsia="黑体" w:cs="黑体"/>
          <w:sz w:val="24"/>
          <w:szCs w:val="24"/>
        </w:rPr>
        <w:fldChar w:fldCharType="separate"/>
      </w:r>
      <w:r>
        <w:rPr>
          <w:rFonts w:hint="eastAsia" w:ascii="黑体" w:hAnsi="黑体" w:eastAsia="黑体" w:cs="黑体"/>
          <w:sz w:val="24"/>
          <w:szCs w:val="24"/>
        </w:rPr>
        <w:t>7 结论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_Toc267 \h </w:instrText>
      </w:r>
      <w:r>
        <w:rPr>
          <w:rFonts w:hint="eastAsia" w:ascii="黑体" w:hAnsi="黑体" w:eastAsia="黑体" w:cs="黑体"/>
          <w:sz w:val="24"/>
          <w:szCs w:val="24"/>
        </w:rPr>
        <w:fldChar w:fldCharType="separate"/>
      </w:r>
      <w:r>
        <w:rPr>
          <w:rFonts w:hint="eastAsia" w:ascii="黑体" w:hAnsi="黑体" w:eastAsia="黑体" w:cs="黑体"/>
          <w:sz w:val="24"/>
          <w:szCs w:val="24"/>
        </w:rPr>
        <w:t>12</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3A30B3B1">
      <w:pPr>
        <w:pStyle w:val="12"/>
        <w:tabs>
          <w:tab w:val="right" w:leader="dot" w:pos="902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_Toc4022 </w:instrText>
      </w:r>
      <w:r>
        <w:rPr>
          <w:rFonts w:hint="eastAsia" w:ascii="黑体" w:hAnsi="黑体" w:eastAsia="黑体" w:cs="黑体"/>
          <w:sz w:val="24"/>
          <w:szCs w:val="24"/>
        </w:rPr>
        <w:fldChar w:fldCharType="separate"/>
      </w:r>
      <w:r>
        <w:rPr>
          <w:rFonts w:hint="eastAsia" w:ascii="黑体" w:hAnsi="黑体" w:eastAsia="黑体" w:cs="黑体"/>
          <w:sz w:val="24"/>
          <w:szCs w:val="24"/>
        </w:rPr>
        <w:t>参考文献</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_Toc4022 \h </w:instrText>
      </w:r>
      <w:r>
        <w:rPr>
          <w:rFonts w:hint="eastAsia" w:ascii="黑体" w:hAnsi="黑体" w:eastAsia="黑体" w:cs="黑体"/>
          <w:sz w:val="24"/>
          <w:szCs w:val="24"/>
        </w:rPr>
        <w:fldChar w:fldCharType="separate"/>
      </w:r>
      <w:r>
        <w:rPr>
          <w:rFonts w:hint="eastAsia" w:ascii="黑体" w:hAnsi="黑体" w:eastAsia="黑体" w:cs="黑体"/>
          <w:sz w:val="24"/>
          <w:szCs w:val="24"/>
        </w:rPr>
        <w:t>13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14:paraId="0A127EFD">
      <w:pPr>
        <w:spacing w:after="120"/>
        <w:jc w:val="left"/>
        <w:rPr>
          <w:rFonts w:hint="eastAsia" w:ascii="黑体" w:hAnsi="黑体" w:eastAsia="黑体" w:cs="黑体"/>
          <w:sz w:val="24"/>
          <w:szCs w:val="24"/>
        </w:rPr>
      </w:pPr>
      <w:r>
        <w:rPr>
          <w:rFonts w:hint="eastAsia" w:ascii="黑体" w:hAnsi="黑体" w:eastAsia="黑体" w:cs="黑体"/>
          <w:sz w:val="24"/>
          <w:szCs w:val="24"/>
        </w:rPr>
        <w:fldChar w:fldCharType="end"/>
      </w:r>
    </w:p>
    <w:p w14:paraId="2BB157D8">
      <w:pPr>
        <w:spacing w:after="120"/>
        <w:jc w:val="left"/>
        <w:rPr>
          <w:rFonts w:hint="eastAsia" w:ascii="黑体" w:hAnsi="黑体" w:eastAsia="黑体" w:cs="黑体"/>
          <w:sz w:val="24"/>
          <w:szCs w:val="24"/>
        </w:rPr>
      </w:pPr>
    </w:p>
    <w:p w14:paraId="177F82E2">
      <w:pPr>
        <w:spacing w:after="120"/>
        <w:jc w:val="left"/>
        <w:rPr>
          <w:rFonts w:hint="eastAsia" w:ascii="黑体" w:hAnsi="黑体" w:eastAsia="黑体" w:cs="黑体"/>
          <w:sz w:val="24"/>
          <w:szCs w:val="24"/>
        </w:rPr>
      </w:pPr>
    </w:p>
    <w:p w14:paraId="5A2499E7">
      <w:pPr>
        <w:spacing w:after="120"/>
        <w:jc w:val="left"/>
        <w:rPr>
          <w:rFonts w:hint="eastAsia" w:ascii="黑体" w:hAnsi="黑体" w:eastAsia="黑体" w:cs="黑体"/>
          <w:sz w:val="24"/>
          <w:szCs w:val="24"/>
        </w:rPr>
      </w:pPr>
    </w:p>
    <w:p w14:paraId="18A01E2B">
      <w:pPr>
        <w:spacing w:after="120"/>
        <w:jc w:val="left"/>
        <w:rPr>
          <w:rFonts w:hint="eastAsia" w:ascii="黑体" w:hAnsi="黑体" w:eastAsia="黑体" w:cs="黑体"/>
          <w:sz w:val="24"/>
          <w:szCs w:val="24"/>
        </w:rPr>
      </w:pPr>
    </w:p>
    <w:p w14:paraId="4D5D30E2">
      <w:pPr>
        <w:spacing w:after="120"/>
        <w:jc w:val="left"/>
        <w:rPr>
          <w:rFonts w:hint="eastAsia" w:ascii="黑体" w:hAnsi="黑体" w:eastAsia="黑体" w:cs="黑体"/>
          <w:sz w:val="24"/>
          <w:szCs w:val="24"/>
        </w:rPr>
      </w:pPr>
    </w:p>
    <w:p w14:paraId="7E8746C9">
      <w:pPr>
        <w:spacing w:after="120"/>
        <w:jc w:val="left"/>
        <w:rPr>
          <w:rFonts w:hint="eastAsia" w:ascii="黑体" w:hAnsi="黑体" w:eastAsia="黑体" w:cs="黑体"/>
          <w:sz w:val="24"/>
          <w:szCs w:val="24"/>
        </w:rPr>
      </w:pPr>
    </w:p>
    <w:p w14:paraId="2D3E118B">
      <w:pPr>
        <w:spacing w:after="120"/>
        <w:jc w:val="left"/>
        <w:rPr>
          <w:rFonts w:hint="eastAsia" w:ascii="黑体" w:hAnsi="黑体" w:eastAsia="黑体" w:cs="黑体"/>
        </w:rPr>
      </w:pPr>
    </w:p>
    <w:p w14:paraId="4D34542B">
      <w:pPr>
        <w:spacing w:after="120"/>
        <w:jc w:val="left"/>
        <w:rPr>
          <w:rFonts w:hint="eastAsia" w:ascii="黑体" w:hAnsi="黑体" w:eastAsia="黑体" w:cs="黑体"/>
        </w:rPr>
      </w:pPr>
    </w:p>
    <w:p w14:paraId="0A9FE0CE">
      <w:pPr>
        <w:spacing w:after="120"/>
        <w:jc w:val="left"/>
        <w:rPr>
          <w:rFonts w:hint="eastAsia" w:ascii="黑体" w:hAnsi="黑体" w:eastAsia="黑体" w:cs="黑体"/>
        </w:rPr>
      </w:pPr>
    </w:p>
    <w:p w14:paraId="734AB40B">
      <w:pPr>
        <w:spacing w:after="120"/>
        <w:jc w:val="left"/>
        <w:rPr>
          <w:rFonts w:hint="eastAsia" w:ascii="黑体" w:hAnsi="黑体" w:eastAsia="黑体" w:cs="黑体"/>
        </w:rPr>
      </w:pPr>
    </w:p>
    <w:p w14:paraId="0B51FBD5">
      <w:pPr>
        <w:spacing w:after="200"/>
      </w:pPr>
      <w:r>
        <w:t xml:space="preserve"> </w:t>
      </w:r>
    </w:p>
    <w:p w14:paraId="567C0A7D">
      <w:pPr>
        <w:spacing w:after="200"/>
      </w:pPr>
    </w:p>
    <w:p w14:paraId="1B59231C">
      <w:pPr>
        <w:pStyle w:val="3"/>
        <w:spacing w:after="200"/>
        <w:jc w:val="left"/>
      </w:pPr>
      <w:bookmarkStart w:id="2" w:name="_Toc14817"/>
      <w:r>
        <w:t>1 引言</w:t>
      </w:r>
      <w:bookmarkEnd w:id="2"/>
    </w:p>
    <w:p w14:paraId="7EF7E1DE">
      <w:pPr>
        <w:spacing w:after="120"/>
        <w:ind w:firstLine="500" w:firstLineChars="0"/>
        <w:jc w:val="left"/>
        <w:rPr>
          <w:rFonts w:hint="eastAsia" w:ascii="黑体" w:hAnsi="黑体" w:eastAsia="黑体" w:cs="黑体"/>
        </w:rPr>
      </w:pPr>
      <w:r>
        <w:rPr>
          <w:rFonts w:hint="eastAsia" w:ascii="黑体" w:hAnsi="黑体" w:eastAsia="黑体" w:cs="黑体"/>
        </w:rPr>
        <w:t>宫颈癌是严重威胁女性健康的恶性肿瘤。</w:t>
      </w:r>
      <w:r>
        <w:rPr>
          <w:rFonts w:hint="eastAsia" w:ascii="黑体" w:hAnsi="黑体" w:eastAsia="黑体" w:cs="黑体"/>
          <w:lang w:val="en-US" w:eastAsia="zh-CN"/>
        </w:rPr>
        <w:t>因此</w:t>
      </w:r>
      <w:r>
        <w:rPr>
          <w:rFonts w:hint="eastAsia" w:ascii="黑体" w:hAnsi="黑体" w:eastAsia="黑体" w:cs="黑体"/>
        </w:rPr>
        <w:t>世界卫生组织（WHO）于2020年11月发布《加速消除宫颈癌全球战略》，</w:t>
      </w:r>
      <w:r>
        <w:rPr>
          <w:rFonts w:hint="eastAsia" w:ascii="黑体" w:hAnsi="黑体" w:eastAsia="黑体" w:cs="黑体"/>
          <w:lang w:val="en-US" w:eastAsia="zh-CN"/>
        </w:rPr>
        <w:t>其目标为</w:t>
      </w:r>
      <w:r>
        <w:rPr>
          <w:rFonts w:hint="eastAsia" w:ascii="黑体" w:hAnsi="黑体" w:eastAsia="黑体" w:cs="黑体"/>
        </w:rPr>
        <w:t>90%的女孩在15岁前完成HPV疫苗接种、70%的女性在35岁和45岁前各接受一次高效筛查、90%的确诊患者得到规范治疗</w:t>
      </w:r>
      <w:r>
        <w:rPr>
          <w:rFonts w:hint="eastAsia" w:ascii="黑体" w:hAnsi="黑体" w:eastAsia="黑体" w:cs="黑体"/>
          <w:sz w:val="16"/>
          <w:szCs w:val="16"/>
        </w:rPr>
        <w:t>[1]</w:t>
      </w:r>
      <w:r>
        <w:rPr>
          <w:rFonts w:hint="eastAsia" w:ascii="黑体" w:hAnsi="黑体" w:eastAsia="黑体" w:cs="黑体"/>
        </w:rPr>
        <w:t>。</w:t>
      </w:r>
      <w:r>
        <w:rPr>
          <w:rFonts w:hint="eastAsia" w:ascii="黑体" w:hAnsi="黑体" w:eastAsia="黑体" w:cs="黑体"/>
          <w:lang w:val="en-US" w:eastAsia="zh-CN"/>
        </w:rPr>
        <w:tab/>
      </w:r>
      <w:r>
        <w:rPr>
          <w:rFonts w:hint="eastAsia" w:ascii="黑体" w:hAnsi="黑体" w:eastAsia="黑体" w:cs="黑体"/>
          <w:lang w:val="en-US" w:eastAsia="zh-CN"/>
        </w:rPr>
        <w:t>DANS</w:t>
      </w:r>
      <w:r>
        <w:rPr>
          <w:rFonts w:hint="eastAsia" w:ascii="黑体" w:hAnsi="黑体" w:eastAsia="黑体" w:cs="黑体"/>
        </w:rPr>
        <w:t>根据国家癌症中心最新数据，2022年我国宫颈癌新发病例约15.1万例，且农村地区发病率显著高于城市</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_Ref23597 \r \h </w:instrText>
      </w:r>
      <w:r>
        <w:rPr>
          <w:rFonts w:hint="eastAsia" w:ascii="黑体" w:hAnsi="黑体" w:eastAsia="黑体" w:cs="黑体"/>
          <w:sz w:val="16"/>
          <w:szCs w:val="16"/>
        </w:rPr>
        <w:fldChar w:fldCharType="separate"/>
      </w:r>
      <w:r>
        <w:rPr>
          <w:rFonts w:hint="eastAsia" w:ascii="黑体" w:hAnsi="黑体" w:eastAsia="黑体" w:cs="黑体"/>
          <w:sz w:val="16"/>
          <w:szCs w:val="16"/>
        </w:rPr>
        <w:t>[2]</w:t>
      </w:r>
      <w:r>
        <w:rPr>
          <w:rFonts w:hint="eastAsia" w:ascii="黑体" w:hAnsi="黑体" w:eastAsia="黑体" w:cs="黑体"/>
          <w:sz w:val="16"/>
          <w:szCs w:val="16"/>
        </w:rPr>
        <w:fldChar w:fldCharType="end"/>
      </w:r>
      <w:r>
        <w:rPr>
          <w:rFonts w:hint="eastAsia" w:ascii="黑体" w:hAnsi="黑体" w:eastAsia="黑体" w:cs="黑体"/>
        </w:rPr>
        <w:t>。然而，宫颈细胞学检查依赖病理医生在显微镜下逐张阅片我国注册病理医生不足2万人，缺口高达9万余人，人均工作量远超负荷</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_Ref23649 \r \h </w:instrText>
      </w:r>
      <w:r>
        <w:rPr>
          <w:rFonts w:hint="eastAsia" w:ascii="黑体" w:hAnsi="黑体" w:eastAsia="黑体" w:cs="黑体"/>
          <w:sz w:val="16"/>
          <w:szCs w:val="16"/>
        </w:rPr>
        <w:fldChar w:fldCharType="separate"/>
      </w:r>
      <w:r>
        <w:rPr>
          <w:rFonts w:hint="eastAsia" w:ascii="黑体" w:hAnsi="黑体" w:eastAsia="黑体" w:cs="黑体"/>
          <w:sz w:val="16"/>
          <w:szCs w:val="16"/>
        </w:rPr>
        <w:t>[3]</w:t>
      </w:r>
      <w:r>
        <w:rPr>
          <w:rFonts w:hint="eastAsia" w:ascii="黑体" w:hAnsi="黑体" w:eastAsia="黑体" w:cs="黑体"/>
          <w:sz w:val="16"/>
          <w:szCs w:val="16"/>
        </w:rPr>
        <w:fldChar w:fldCharType="end"/>
      </w:r>
      <w:r>
        <w:rPr>
          <w:rFonts w:hint="eastAsia" w:ascii="黑体" w:hAnsi="黑体" w:eastAsia="黑体" w:cs="黑体"/>
        </w:rPr>
        <w:t>。</w:t>
      </w:r>
      <w:r>
        <w:rPr>
          <w:rFonts w:hint="eastAsia" w:ascii="黑体" w:hAnsi="黑体" w:eastAsia="黑体" w:cs="黑体"/>
          <w:lang w:val="en-US" w:eastAsia="zh-CN"/>
        </w:rPr>
        <w:t>这</w:t>
      </w:r>
      <w:r>
        <w:rPr>
          <w:rFonts w:hint="eastAsia" w:ascii="黑体" w:hAnsi="黑体" w:eastAsia="黑体" w:cs="黑体"/>
        </w:rPr>
        <w:t>使得大规模、全覆盖的宫颈癌初筛难以落地，尤其是在医疗资源薄弱的农村和偏远地区，筛查覆盖率明显不足。</w:t>
      </w:r>
    </w:p>
    <w:p w14:paraId="75F5CE8E">
      <w:pPr>
        <w:spacing w:after="120"/>
        <w:ind w:firstLine="500" w:firstLineChars="0"/>
        <w:jc w:val="left"/>
        <w:rPr>
          <w:rFonts w:hint="eastAsia" w:ascii="黑体" w:hAnsi="黑体" w:eastAsia="黑体" w:cs="黑体"/>
        </w:rPr>
      </w:pPr>
      <w:r>
        <w:rPr>
          <w:rFonts w:hint="eastAsia" w:ascii="黑体" w:hAnsi="黑体" w:eastAsia="黑体" w:cs="黑体"/>
        </w:rPr>
        <w:t>人工智能物联网（AIoT）技术的快速发展为解决上述矛盾提供了全新路径。AIoT将人工智能（AI）的感知与决策能力与物联网（IoT）的广泛连接能力深度融合，可实现"终端采集—云端分析—结果反馈"的端到端智能化闭环。</w:t>
      </w:r>
    </w:p>
    <w:p w14:paraId="3A81E905">
      <w:pPr>
        <w:bidi w:val="0"/>
        <w:ind w:firstLine="500" w:firstLineChars="0"/>
        <w:rPr>
          <w:rFonts w:hint="eastAsia" w:ascii="黑体" w:hAnsi="黑体" w:eastAsia="黑体" w:cs="黑体"/>
        </w:rPr>
      </w:pPr>
      <w:bookmarkStart w:id="3" w:name="_Toc29702"/>
      <w:r>
        <w:rPr>
          <w:rFonts w:hint="eastAsia" w:ascii="黑体" w:hAnsi="黑体" w:eastAsia="黑体" w:cs="黑体"/>
        </w:rPr>
        <w:t>武汉兰丁智能医学股份有限公司研发的AIoT肿瘤筛查云平台，是该领域的典型成功案例。该平台以"AI即服务"为核心，通过5G网络连接基层扫描终端，实现"基层采样、云端诊断、远程复核、报告直达"的筛查范式，已覆盖全国31个省市、累计完成超1300万人次筛查</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_Ref23731 \r \h </w:instrText>
      </w:r>
      <w:r>
        <w:rPr>
          <w:rFonts w:hint="eastAsia" w:ascii="黑体" w:hAnsi="黑体" w:eastAsia="黑体" w:cs="黑体"/>
          <w:sz w:val="16"/>
          <w:szCs w:val="16"/>
        </w:rPr>
        <w:fldChar w:fldCharType="separate"/>
      </w:r>
      <w:r>
        <w:rPr>
          <w:rFonts w:hint="eastAsia" w:ascii="黑体" w:hAnsi="黑体" w:eastAsia="黑体" w:cs="黑体"/>
          <w:sz w:val="16"/>
          <w:szCs w:val="16"/>
        </w:rPr>
        <w:t>[5]</w:t>
      </w:r>
      <w:r>
        <w:rPr>
          <w:rFonts w:hint="eastAsia" w:ascii="黑体" w:hAnsi="黑体" w:eastAsia="黑体" w:cs="黑体"/>
          <w:sz w:val="16"/>
          <w:szCs w:val="16"/>
        </w:rPr>
        <w:fldChar w:fldCharType="end"/>
      </w:r>
      <w:r>
        <w:rPr>
          <w:rFonts w:hint="eastAsia" w:ascii="黑体" w:hAnsi="黑体" w:eastAsia="黑体" w:cs="黑体"/>
        </w:rPr>
        <w:t>。</w:t>
      </w:r>
      <w:bookmarkEnd w:id="3"/>
    </w:p>
    <w:p w14:paraId="1C72D8BD">
      <w:pPr>
        <w:bidi w:val="0"/>
        <w:ind w:firstLine="500" w:firstLineChars="0"/>
        <w:rPr>
          <w:rFonts w:hint="eastAsia" w:ascii="黑体" w:hAnsi="黑体" w:eastAsia="黑体" w:cs="黑体"/>
        </w:rPr>
      </w:pPr>
      <w:bookmarkStart w:id="4" w:name="_Toc11450"/>
      <w:r>
        <w:rPr>
          <w:rFonts w:hint="eastAsia" w:ascii="黑体" w:hAnsi="黑体" w:eastAsia="黑体" w:cs="黑体"/>
        </w:rPr>
        <w:t>本文以该平台为研究对象，从研究内容、技术路线、关键技术和应用前景四个维度进行深入剖析，并提出现存不足与改进对策。</w:t>
      </w:r>
      <w:bookmarkEnd w:id="4"/>
    </w:p>
    <w:p w14:paraId="760B95E1">
      <w:pPr>
        <w:rPr>
          <w:rFonts w:hint="eastAsia" w:ascii="黑体" w:hAnsi="黑体" w:eastAsia="黑体" w:cs="黑体"/>
          <w:b w:val="0"/>
          <w:bCs w:val="0"/>
          <w:i w:val="0"/>
          <w:iCs w:val="0"/>
          <w:caps w:val="0"/>
          <w:color w:val="0F1115"/>
          <w:spacing w:val="0"/>
          <w:sz w:val="24"/>
          <w:szCs w:val="24"/>
          <w:shd w:val="clear" w:fill="FFFFFF"/>
        </w:rPr>
      </w:pPr>
    </w:p>
    <w:p w14:paraId="61D4AC3F">
      <w:pPr>
        <w:pStyle w:val="3"/>
        <w:spacing w:after="200"/>
        <w:jc w:val="left"/>
      </w:pPr>
      <w:bookmarkStart w:id="5" w:name="_Toc31846"/>
      <w:r>
        <w:t>2 研究内容</w:t>
      </w:r>
      <w:bookmarkEnd w:id="5"/>
    </w:p>
    <w:p w14:paraId="69D2E2ED">
      <w:pPr>
        <w:pStyle w:val="4"/>
        <w:spacing w:after="200"/>
        <w:jc w:val="left"/>
        <w:rPr>
          <w:rFonts w:hint="default" w:eastAsia="宋体"/>
          <w:lang w:val="en-US" w:eastAsia="zh-CN"/>
        </w:rPr>
      </w:pPr>
      <w:bookmarkStart w:id="6" w:name="_Toc21110"/>
      <w:r>
        <w:t>2.1 问题</w:t>
      </w:r>
      <w:r>
        <w:rPr>
          <w:rFonts w:hint="eastAsia"/>
          <w:lang w:val="en-US" w:eastAsia="zh-CN"/>
        </w:rPr>
        <w:t>描述</w:t>
      </w:r>
      <w:bookmarkEnd w:id="6"/>
      <w:r>
        <w:rPr>
          <w:rFonts w:hint="eastAsia"/>
          <w:lang w:val="en-US" w:eastAsia="zh-CN"/>
        </w:rPr>
        <w:t>与总体设计</w:t>
      </w:r>
    </w:p>
    <w:p w14:paraId="47DF9249">
      <w:pPr>
        <w:spacing w:after="120"/>
        <w:ind w:firstLine="500" w:firstLineChars="0"/>
        <w:jc w:val="left"/>
        <w:rPr>
          <w:rFonts w:hint="eastAsia" w:ascii="黑体" w:hAnsi="黑体" w:eastAsia="黑体" w:cs="黑体"/>
        </w:rPr>
      </w:pPr>
      <w:r>
        <w:rPr>
          <w:rFonts w:hint="eastAsia" w:ascii="黑体" w:hAnsi="黑体" w:eastAsia="黑体" w:cs="黑体"/>
        </w:rPr>
        <w:t>当前我国宫颈癌筛查面临的核心矛盾是：数亿适龄妇女的筛查需求（国家公共卫生项目覆盖35—64岁女性约3.5亿人）与有限医疗资源（病理医生严重短缺、基层医疗机构诊断能力薄弱）之间的结构性失衡。传统人工筛查模式下，一名病理医生日均处理约100张玻片，全国年筛查通量上限不足5000万例，无法满足"应筛尽筛"的政策目标。因此，构建大规模、高效率、低成本、标准化的宫颈癌初筛方案，成为亟待解决的关键问题。</w:t>
      </w:r>
    </w:p>
    <w:p w14:paraId="0F3C0F81">
      <w:pPr>
        <w:spacing w:after="200"/>
      </w:pPr>
      <w:r>
        <w:t xml:space="preserve"> </w:t>
      </w:r>
    </w:p>
    <w:p w14:paraId="4F91A1ED">
      <w:pPr>
        <w:pStyle w:val="4"/>
        <w:spacing w:after="200"/>
        <w:jc w:val="left"/>
      </w:pPr>
      <w:bookmarkStart w:id="7" w:name="_Toc10686"/>
      <w:r>
        <w:t xml:space="preserve">2.2 </w:t>
      </w:r>
      <w:r>
        <w:rPr>
          <w:rFonts w:hint="eastAsia"/>
          <w:lang w:val="en-US" w:eastAsia="zh-CN"/>
        </w:rPr>
        <w:t xml:space="preserve"> </w:t>
      </w:r>
      <w:r>
        <w:t>方案总体设计</w:t>
      </w:r>
      <w:bookmarkEnd w:id="7"/>
    </w:p>
    <w:p w14:paraId="682AB73B">
      <w:pPr>
        <w:widowControl w:val="0"/>
        <w:numPr>
          <w:ilvl w:val="0"/>
          <w:numId w:val="0"/>
        </w:numPr>
        <w:spacing w:after="120"/>
        <w:ind w:firstLine="500" w:firstLineChars="0"/>
        <w:jc w:val="left"/>
        <w:rPr>
          <w:rFonts w:hint="eastAsia" w:ascii="黑体" w:hAnsi="黑体" w:eastAsia="黑体" w:cs="黑体"/>
        </w:rPr>
      </w:pPr>
      <w:r>
        <w:rPr>
          <w:rFonts w:hint="eastAsia" w:ascii="黑体" w:hAnsi="黑体" w:eastAsia="黑体" w:cs="黑体"/>
        </w:rPr>
        <w:t>针对基层病理医生严重短缺与数亿适龄妇女筛查需求间的结构性矛盾，兰丁AIoT云平台以“AI即服务”为核心理念，构建了“终端采样—云端诊断—远程复核—报告直达”的全链条闭环系统，涵盖四大核心模块：</w:t>
      </w:r>
    </w:p>
    <w:p w14:paraId="485776F4">
      <w:pPr>
        <w:widowControl w:val="0"/>
        <w:numPr>
          <w:ilvl w:val="0"/>
          <w:numId w:val="0"/>
        </w:numPr>
        <w:spacing w:after="120"/>
        <w:ind w:left="500" w:leftChars="0" w:firstLine="500" w:firstLineChars="0"/>
        <w:jc w:val="left"/>
        <w:rPr>
          <w:rFonts w:hint="eastAsia" w:ascii="黑体" w:hAnsi="黑体" w:eastAsia="黑体" w:cs="黑体"/>
        </w:rPr>
      </w:pPr>
      <w:r>
        <w:rPr>
          <w:rFonts w:hint="eastAsia" w:ascii="黑体" w:hAnsi="黑体" w:eastAsia="黑体" w:cs="黑体"/>
          <w:b/>
          <w:bCs/>
        </w:rPr>
        <w:t>基层采样与数字化模块</w:t>
      </w:r>
      <w:r>
        <w:rPr>
          <w:rFonts w:hint="eastAsia" w:ascii="黑体" w:hAnsi="黑体" w:eastAsia="黑体" w:cs="黑体"/>
        </w:rPr>
        <w:t>：基层机构配备自动制片机和高通量数字扫描仪，将宫颈细胞玻片转化为全切片数字图像（WSI），实现物理样本的数字化。</w:t>
      </w:r>
    </w:p>
    <w:p w14:paraId="36D62921">
      <w:pPr>
        <w:widowControl w:val="0"/>
        <w:numPr>
          <w:ilvl w:val="0"/>
          <w:numId w:val="0"/>
        </w:numPr>
        <w:spacing w:after="120"/>
        <w:ind w:left="500" w:leftChars="0" w:firstLine="500" w:firstLineChars="0"/>
        <w:jc w:val="left"/>
        <w:rPr>
          <w:rFonts w:hint="eastAsia" w:ascii="黑体" w:hAnsi="黑体" w:eastAsia="黑体" w:cs="黑体"/>
        </w:rPr>
      </w:pPr>
      <w:r>
        <w:rPr>
          <w:rFonts w:hint="eastAsia" w:ascii="黑体" w:hAnsi="黑体" w:eastAsia="黑体" w:cs="黑体"/>
          <w:b/>
          <w:bCs/>
        </w:rPr>
        <w:t>云端AI诊断引擎模块</w:t>
      </w:r>
      <w:r>
        <w:rPr>
          <w:rFonts w:hint="eastAsia" w:ascii="黑体" w:hAnsi="黑体" w:eastAsia="黑体" w:cs="黑体"/>
        </w:rPr>
        <w:t>：数字切片加密上传至云端，由CytoBrain人工智能引擎自动完成细胞分割与分类判别，自动筛选约80%—90%的阴性样本</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_Ref23937 \r \h </w:instrText>
      </w:r>
      <w:r>
        <w:rPr>
          <w:rFonts w:hint="eastAsia" w:ascii="黑体" w:hAnsi="黑体" w:eastAsia="黑体" w:cs="黑体"/>
          <w:sz w:val="16"/>
          <w:szCs w:val="16"/>
        </w:rPr>
        <w:fldChar w:fldCharType="separate"/>
      </w:r>
      <w:r>
        <w:rPr>
          <w:rFonts w:hint="eastAsia" w:ascii="黑体" w:hAnsi="黑体" w:eastAsia="黑体" w:cs="黑体"/>
          <w:sz w:val="16"/>
          <w:szCs w:val="16"/>
        </w:rPr>
        <w:t>[7]</w:t>
      </w:r>
      <w:r>
        <w:rPr>
          <w:rFonts w:hint="eastAsia" w:ascii="黑体" w:hAnsi="黑体" w:eastAsia="黑体" w:cs="黑体"/>
          <w:sz w:val="16"/>
          <w:szCs w:val="16"/>
        </w:rPr>
        <w:fldChar w:fldCharType="end"/>
      </w:r>
      <w:r>
        <w:rPr>
          <w:rFonts w:hint="eastAsia" w:ascii="黑体" w:hAnsi="黑体" w:eastAsia="黑体" w:cs="黑体"/>
        </w:rPr>
        <w:t>。</w:t>
      </w:r>
    </w:p>
    <w:p w14:paraId="1C4AE77A">
      <w:pPr>
        <w:widowControl w:val="0"/>
        <w:numPr>
          <w:ilvl w:val="0"/>
          <w:numId w:val="0"/>
        </w:numPr>
        <w:spacing w:after="120"/>
        <w:ind w:left="500" w:leftChars="0" w:firstLine="500" w:firstLineChars="0"/>
        <w:jc w:val="left"/>
        <w:rPr>
          <w:rFonts w:hint="eastAsia" w:ascii="黑体" w:hAnsi="黑体" w:eastAsia="黑体" w:cs="黑体"/>
        </w:rPr>
      </w:pPr>
      <w:r>
        <w:rPr>
          <w:rFonts w:hint="eastAsia" w:ascii="黑体" w:hAnsi="黑体" w:eastAsia="黑体" w:cs="黑体"/>
          <w:b/>
          <w:bCs/>
        </w:rPr>
        <w:t>远程专家复核与质控模块：</w:t>
      </w:r>
      <w:r>
        <w:rPr>
          <w:rFonts w:hint="eastAsia" w:ascii="黑体" w:hAnsi="黑体" w:eastAsia="黑体" w:cs="黑体"/>
        </w:rPr>
        <w:t>AI判定为阳性的样本及随机抽取的部分阴性样本，由云端病理专家远程复核，形成“AI初筛+专家复核”双质控机制。</w:t>
      </w:r>
    </w:p>
    <w:p w14:paraId="2AEA31C6">
      <w:pPr>
        <w:widowControl w:val="0"/>
        <w:numPr>
          <w:ilvl w:val="0"/>
          <w:numId w:val="0"/>
        </w:numPr>
        <w:spacing w:after="120"/>
        <w:ind w:left="500" w:leftChars="0" w:firstLine="500" w:firstLineChars="0"/>
        <w:jc w:val="left"/>
        <w:rPr>
          <w:rFonts w:hint="eastAsia" w:ascii="黑体" w:hAnsi="黑体" w:eastAsia="黑体" w:cs="黑体"/>
        </w:rPr>
      </w:pPr>
      <w:r>
        <w:rPr>
          <w:rFonts w:hint="eastAsia" w:ascii="黑体" w:hAnsi="黑体" w:eastAsia="黑体" w:cs="黑体"/>
          <w:b/>
          <w:bCs/>
        </w:rPr>
        <w:t>大数据管理服务平台：</w:t>
      </w:r>
      <w:r>
        <w:rPr>
          <w:rFonts w:hint="eastAsia" w:ascii="黑体" w:hAnsi="黑体" w:eastAsia="黑体" w:cs="黑体"/>
        </w:rPr>
        <w:t>为卫生管理部门提供筛查数据的实时可视化看板，实现关键指标的“一网统管”，辅助公共卫生决策。</w:t>
      </w:r>
    </w:p>
    <w:p w14:paraId="3CDF5E49">
      <w:pPr>
        <w:pStyle w:val="3"/>
        <w:spacing w:after="200"/>
        <w:jc w:val="left"/>
      </w:pPr>
      <w:bookmarkStart w:id="8" w:name="_Toc23915"/>
      <w:r>
        <w:t>3 技术路线</w:t>
      </w:r>
      <w:bookmarkEnd w:id="8"/>
    </w:p>
    <w:p w14:paraId="5FFF4DAF">
      <w:pPr>
        <w:spacing w:after="120"/>
        <w:ind w:firstLine="500" w:firstLineChars="0"/>
        <w:jc w:val="left"/>
        <w:rPr>
          <w:rFonts w:hint="eastAsia" w:ascii="黑体" w:hAnsi="黑体" w:eastAsia="黑体" w:cs="黑体"/>
        </w:rPr>
      </w:pPr>
      <w:r>
        <w:rPr>
          <w:rFonts w:hint="eastAsia" w:ascii="黑体" w:hAnsi="黑体" w:eastAsia="黑体" w:cs="黑体"/>
        </w:rPr>
        <w:t>兰丁AIoT云平台采用经典的"云—管—端"分层架构，按照数据流转方向，自下而上分为感知采集层、网络传输层、云端智能处理层和应用服务层四个层级。系统总体架构如图1所示。</w:t>
      </w:r>
    </w:p>
    <w:p w14:paraId="34C24F9D">
      <w:pPr>
        <w:spacing w:after="200"/>
      </w:pPr>
      <w:r>
        <w:t xml:space="preserve"> </w:t>
      </w:r>
    </w:p>
    <w:p w14:paraId="512EE84B">
      <w:pPr>
        <w:spacing w:after="160"/>
        <w:jc w:val="center"/>
      </w:pPr>
      <w:r>
        <w:drawing>
          <wp:inline distT="0" distB="0" distL="0" distR="0">
            <wp:extent cx="5943600" cy="5753100"/>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 diagram"/>
                    <pic:cNvPicPr>
                      <a:picLocks noChangeAspect="1" noChangeArrowheads="1"/>
                    </pic:cNvPicPr>
                  </pic:nvPicPr>
                  <pic:blipFill>
                    <a:blip r:embed="rId4"/>
                    <a:srcRect/>
                    <a:stretch>
                      <a:fillRect/>
                    </a:stretch>
                  </pic:blipFill>
                  <pic:spPr>
                    <a:xfrm>
                      <a:off x="0" y="0"/>
                      <a:ext cx="5943600" cy="5753100"/>
                    </a:xfrm>
                    <a:prstGeom prst="rect">
                      <a:avLst/>
                    </a:prstGeom>
                  </pic:spPr>
                </pic:pic>
              </a:graphicData>
            </a:graphic>
          </wp:inline>
        </w:drawing>
      </w:r>
    </w:p>
    <w:p w14:paraId="7D8E9DB9">
      <w:pPr>
        <w:pStyle w:val="8"/>
        <w:spacing w:after="160"/>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w:t>
      </w:r>
      <w:r>
        <w:rPr>
          <w:b/>
          <w:bCs/>
        </w:rPr>
        <w:t xml:space="preserve"> 兰丁AIoT云平台系统总体架构图</w:t>
      </w:r>
    </w:p>
    <w:p w14:paraId="4C58C2DB">
      <w:pPr>
        <w:spacing w:after="200"/>
      </w:pPr>
      <w:r>
        <w:t xml:space="preserve">  </w:t>
      </w:r>
    </w:p>
    <w:p w14:paraId="09609B88">
      <w:pPr>
        <w:pStyle w:val="4"/>
        <w:spacing w:after="200"/>
        <w:jc w:val="left"/>
      </w:pPr>
      <w:bookmarkStart w:id="9" w:name="_Toc1026"/>
      <w:r>
        <w:t>3.1 感知采集层（终端侧）</w:t>
      </w:r>
      <w:bookmarkEnd w:id="9"/>
    </w:p>
    <w:p w14:paraId="3C9E108F">
      <w:pPr>
        <w:spacing w:after="120"/>
        <w:jc w:val="left"/>
        <w:rPr>
          <w:rFonts w:hint="eastAsia" w:ascii="黑体" w:hAnsi="黑体" w:eastAsia="黑体" w:cs="黑体"/>
        </w:rPr>
      </w:pPr>
      <w:r>
        <w:rPr>
          <w:rFonts w:hint="eastAsia" w:ascii="黑体" w:hAnsi="黑体" w:eastAsia="黑体" w:cs="黑体"/>
        </w:rPr>
        <w:t>感知采集层位于基层医疗卫生机构端，是平台的数据入口。核心设备包括：</w:t>
      </w:r>
    </w:p>
    <w:p w14:paraId="056B17A8">
      <w:pPr>
        <w:spacing w:after="200"/>
        <w:rPr>
          <w:rFonts w:hint="eastAsia" w:ascii="黑体" w:hAnsi="黑体" w:eastAsia="黑体" w:cs="黑体"/>
        </w:rPr>
      </w:pPr>
      <w:r>
        <w:rPr>
          <w:rFonts w:hint="eastAsia" w:ascii="黑体" w:hAnsi="黑体" w:eastAsia="黑体" w:cs="黑体"/>
        </w:rPr>
        <w:t xml:space="preserve"> </w:t>
      </w:r>
    </w:p>
    <w:p w14:paraId="72D140D9">
      <w:pPr>
        <w:pStyle w:val="20"/>
        <w:numPr>
          <w:ilvl w:val="0"/>
          <w:numId w:val="1"/>
        </w:numPr>
        <w:spacing w:after="100"/>
        <w:ind w:left="660" w:leftChars="0"/>
        <w:jc w:val="left"/>
        <w:rPr>
          <w:rFonts w:hint="eastAsia" w:ascii="黑体" w:hAnsi="黑体" w:eastAsia="黑体" w:cs="黑体"/>
        </w:rPr>
      </w:pPr>
      <w:r>
        <w:rPr>
          <w:rFonts w:hint="eastAsia" w:ascii="黑体" w:hAnsi="黑体" w:eastAsia="黑体" w:cs="黑体"/>
          <w:b/>
          <w:bCs/>
        </w:rPr>
        <w:t>自动制片机</w:t>
      </w:r>
      <w:r>
        <w:rPr>
          <w:rFonts w:hint="eastAsia" w:ascii="黑体" w:hAnsi="黑体" w:eastAsia="黑体" w:cs="黑体"/>
        </w:rPr>
        <w:t>：对宫颈脱落细胞样本进行标准化制片和染色处理，确保玻片质量的一致性。</w:t>
      </w:r>
    </w:p>
    <w:p w14:paraId="47EA7AC6">
      <w:pPr>
        <w:pStyle w:val="20"/>
        <w:numPr>
          <w:ilvl w:val="0"/>
          <w:numId w:val="0"/>
        </w:numPr>
        <w:spacing w:after="100"/>
        <w:ind w:left="480" w:leftChars="0"/>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3166110" cy="2420620"/>
            <wp:effectExtent l="0" t="0" r="15240" b="17780"/>
            <wp:docPr id="4" name="图片 4" descr="自动制片1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自动制片1机"/>
                    <pic:cNvPicPr>
                      <a:picLocks noChangeAspect="1"/>
                    </pic:cNvPicPr>
                  </pic:nvPicPr>
                  <pic:blipFill>
                    <a:blip r:embed="rId5"/>
                    <a:stretch>
                      <a:fillRect/>
                    </a:stretch>
                  </pic:blipFill>
                  <pic:spPr>
                    <a:xfrm>
                      <a:off x="0" y="0"/>
                      <a:ext cx="3166110" cy="2420620"/>
                    </a:xfrm>
                    <a:prstGeom prst="rect">
                      <a:avLst/>
                    </a:prstGeom>
                  </pic:spPr>
                </pic:pic>
              </a:graphicData>
            </a:graphic>
          </wp:inline>
        </w:drawing>
      </w:r>
    </w:p>
    <w:p w14:paraId="1A256DB0">
      <w:pPr>
        <w:pStyle w:val="8"/>
        <w:numPr>
          <w:ilvl w:val="0"/>
          <w:numId w:val="0"/>
        </w:numPr>
        <w:spacing w:after="100"/>
        <w:ind w:left="480" w:leftChars="0"/>
        <w:jc w:val="center"/>
        <w:rPr>
          <w:rFonts w:hint="eastAsia" w:ascii="黑体" w:hAnsi="黑体" w:cs="黑体"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兰丁自动制片机</w:t>
      </w:r>
    </w:p>
    <w:p w14:paraId="0837ACDC">
      <w:pPr>
        <w:pStyle w:val="20"/>
        <w:numPr>
          <w:ilvl w:val="0"/>
          <w:numId w:val="1"/>
        </w:numPr>
        <w:spacing w:after="100"/>
        <w:ind w:left="660" w:leftChars="0"/>
        <w:jc w:val="left"/>
        <w:rPr>
          <w:rFonts w:hint="eastAsia" w:ascii="黑体" w:hAnsi="黑体" w:eastAsia="黑体" w:cs="黑体"/>
        </w:rPr>
      </w:pPr>
      <w:r>
        <w:rPr>
          <w:rFonts w:hint="eastAsia" w:ascii="黑体" w:hAnsi="黑体" w:eastAsia="黑体" w:cs="黑体"/>
          <w:b/>
          <w:bCs/>
        </w:rPr>
        <w:t>高通量数字病理扫描仪</w:t>
      </w:r>
      <w:r>
        <w:rPr>
          <w:rFonts w:hint="eastAsia" w:ascii="黑体" w:hAnsi="黑体" w:eastAsia="黑体" w:cs="黑体"/>
        </w:rPr>
        <w:t>：采用20×至40×物镜对玻片进行全视野扫描，单台设备日处理能力可达数百张玻片。扫描过程采用自动对焦和多层融合技术，保证在高放大倍率下图像的清晰度和完整性。</w:t>
      </w:r>
    </w:p>
    <w:p w14:paraId="6C9E26D0">
      <w:pPr>
        <w:spacing w:after="200"/>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3079750" cy="2304415"/>
            <wp:effectExtent l="0" t="0" r="6350" b="635"/>
            <wp:docPr id="2" name="图片 2" descr="自动制片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自动制片机"/>
                    <pic:cNvPicPr>
                      <a:picLocks noChangeAspect="1"/>
                    </pic:cNvPicPr>
                  </pic:nvPicPr>
                  <pic:blipFill>
                    <a:blip r:embed="rId6"/>
                    <a:stretch>
                      <a:fillRect/>
                    </a:stretch>
                  </pic:blipFill>
                  <pic:spPr>
                    <a:xfrm>
                      <a:off x="0" y="0"/>
                      <a:ext cx="3079750" cy="2304415"/>
                    </a:xfrm>
                    <a:prstGeom prst="rect">
                      <a:avLst/>
                    </a:prstGeom>
                  </pic:spPr>
                </pic:pic>
              </a:graphicData>
            </a:graphic>
          </wp:inline>
        </w:drawing>
      </w:r>
    </w:p>
    <w:p w14:paraId="34CD102D">
      <w:pPr>
        <w:pStyle w:val="8"/>
        <w:spacing w:after="200"/>
        <w:jc w:val="cente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高通量扫描仪</w:t>
      </w:r>
      <w:r>
        <w:t xml:space="preserve"> </w:t>
      </w:r>
    </w:p>
    <w:p w14:paraId="43F5C631">
      <w:pPr>
        <w:pStyle w:val="4"/>
        <w:spacing w:after="200"/>
        <w:jc w:val="left"/>
      </w:pPr>
      <w:bookmarkStart w:id="10" w:name="_Toc16594"/>
      <w:r>
        <w:t>3.2 网络传输层（管道）</w:t>
      </w:r>
      <w:bookmarkEnd w:id="10"/>
    </w:p>
    <w:p w14:paraId="2B262162">
      <w:pPr>
        <w:spacing w:after="120"/>
        <w:ind w:firstLine="500" w:firstLineChars="0"/>
        <w:jc w:val="left"/>
        <w:rPr>
          <w:rFonts w:hint="eastAsia" w:ascii="黑体" w:hAnsi="黑体" w:eastAsia="黑体" w:cs="黑体"/>
        </w:rPr>
      </w:pPr>
      <w:r>
        <w:rPr>
          <w:rFonts w:hint="eastAsia" w:ascii="黑体" w:hAnsi="黑体" w:eastAsia="黑体" w:cs="黑体"/>
        </w:rPr>
        <w:t>数字切片图像（单张数据量约1—5 GB）经边缘计算节点进行轻量化预处理和压缩后，通过5G网络加密上传至云端。5G网络的大带宽和低延迟特性，为大规模数字病理图像的实时传输提供了技术保障</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_Ref24051 \r \h </w:instrText>
      </w:r>
      <w:r>
        <w:rPr>
          <w:rFonts w:hint="eastAsia" w:ascii="黑体" w:hAnsi="黑体" w:eastAsia="黑体" w:cs="黑体"/>
          <w:sz w:val="16"/>
          <w:szCs w:val="16"/>
        </w:rPr>
        <w:fldChar w:fldCharType="separate"/>
      </w:r>
      <w:r>
        <w:rPr>
          <w:rFonts w:hint="eastAsia" w:ascii="黑体" w:hAnsi="黑体" w:eastAsia="黑体" w:cs="黑体"/>
          <w:sz w:val="16"/>
          <w:szCs w:val="16"/>
        </w:rPr>
        <w:t>[9]</w:t>
      </w:r>
      <w:r>
        <w:rPr>
          <w:rFonts w:hint="eastAsia" w:ascii="黑体" w:hAnsi="黑体" w:eastAsia="黑体" w:cs="黑体"/>
          <w:sz w:val="16"/>
          <w:szCs w:val="16"/>
        </w:rPr>
        <w:fldChar w:fldCharType="end"/>
      </w:r>
      <w:r>
        <w:rPr>
          <w:rFonts w:hint="eastAsia" w:ascii="黑体" w:hAnsi="黑体" w:eastAsia="黑体" w:cs="黑体"/>
        </w:rPr>
        <w:t>。在实践中，基于5G公网的远程病理传输延迟可控制在200 ms以内，完全满足实时诊断交互需求。</w:t>
      </w:r>
    </w:p>
    <w:p w14:paraId="0B7CB482">
      <w:pPr>
        <w:pStyle w:val="4"/>
        <w:spacing w:after="200"/>
        <w:jc w:val="left"/>
      </w:pPr>
      <w:bookmarkStart w:id="11" w:name="_Toc22615"/>
      <w:r>
        <w:t>3.3 云端智能处理层（大脑）</w:t>
      </w:r>
      <w:bookmarkEnd w:id="11"/>
    </w:p>
    <w:p w14:paraId="69425C54">
      <w:pPr>
        <w:spacing w:after="200"/>
        <w:ind w:firstLine="500" w:firstLineChars="0"/>
        <w:rPr>
          <w:rFonts w:hint="eastAsia" w:ascii="黑体" w:hAnsi="黑体" w:eastAsia="黑体" w:cs="黑体"/>
        </w:rPr>
      </w:pPr>
      <w:r>
        <w:rPr>
          <w:rFonts w:hint="eastAsia" w:ascii="黑体" w:hAnsi="黑体" w:eastAsia="黑体" w:cs="黑体"/>
          <w:i w:val="0"/>
          <w:iCs w:val="0"/>
          <w:caps w:val="0"/>
          <w:color w:val="0F1115"/>
          <w:spacing w:val="0"/>
          <w:sz w:val="24"/>
          <w:szCs w:val="24"/>
          <w:shd w:val="clear" w:fill="FFFFFF"/>
        </w:rPr>
        <w:t>云端智能处理层部署兰丁自主研发的CytoBrain人工智能引擎。</w:t>
      </w:r>
      <w:r>
        <w:rPr>
          <w:rFonts w:hint="eastAsia" w:ascii="黑体" w:hAnsi="黑体" w:eastAsia="黑体" w:cs="黑体"/>
          <w:i w:val="0"/>
          <w:iCs w:val="0"/>
          <w:caps w:val="0"/>
          <w:color w:val="0F1115"/>
          <w:spacing w:val="0"/>
          <w:sz w:val="24"/>
          <w:szCs w:val="24"/>
          <w:shd w:val="clear" w:fill="FFFFFF"/>
          <w:lang w:val="en-US" w:eastAsia="zh-CN"/>
        </w:rPr>
        <w:t>其一般流程为</w:t>
      </w:r>
      <w:r>
        <w:rPr>
          <w:rFonts w:hint="eastAsia" w:ascii="黑体" w:hAnsi="黑体" w:eastAsia="黑体" w:cs="黑体"/>
          <w:i w:val="0"/>
          <w:iCs w:val="0"/>
          <w:caps w:val="0"/>
          <w:color w:val="0F1115"/>
          <w:spacing w:val="0"/>
          <w:sz w:val="24"/>
          <w:szCs w:val="24"/>
          <w:shd w:val="clear" w:fill="FFFFFF"/>
        </w:rPr>
        <w:t>首先对上传的数字切片进行细胞检测与分割，识别全切片中的所有单细胞图像；随后提取每个细胞的形态学特征并进行分类判别（正常/异常/癌变）；</w:t>
      </w:r>
      <w:r>
        <w:rPr>
          <w:rFonts w:hint="eastAsia" w:ascii="黑体" w:hAnsi="黑体" w:eastAsia="黑体" w:cs="黑体"/>
        </w:rPr>
        <w:t xml:space="preserve"> </w:t>
      </w:r>
    </w:p>
    <w:p w14:paraId="2D90B4C6">
      <w:pPr>
        <w:pStyle w:val="4"/>
        <w:spacing w:after="200"/>
        <w:jc w:val="left"/>
      </w:pPr>
      <w:bookmarkStart w:id="12" w:name="_Toc18654"/>
      <w:r>
        <w:t>3.4 应用服务层</w:t>
      </w:r>
      <w:bookmarkEnd w:id="12"/>
    </w:p>
    <w:p w14:paraId="3B3A1E4D">
      <w:pPr>
        <w:spacing w:after="200"/>
        <w:ind w:firstLine="500" w:firstLineChars="0"/>
        <w:rPr>
          <w:rFonts w:hint="eastAsia" w:ascii="黑体" w:hAnsi="黑体" w:eastAsia="黑体" w:cs="黑体"/>
        </w:rPr>
      </w:pPr>
      <w:r>
        <w:rPr>
          <w:rFonts w:hint="eastAsia" w:ascii="黑体" w:hAnsi="黑体" w:eastAsia="黑体" w:cs="黑体"/>
          <w:i w:val="0"/>
          <w:iCs w:val="0"/>
          <w:caps w:val="0"/>
          <w:color w:val="0F1115"/>
          <w:spacing w:val="0"/>
          <w:sz w:val="24"/>
          <w:szCs w:val="24"/>
          <w:shd w:val="clear" w:fill="FFFFFF"/>
        </w:rPr>
        <w:t>应用服务层面向受检者、基层医生和卫生管理部门三类用户：受检者可在7天内通过手机查询报告；基层医生得以从繁重阅片工作中解放，专注于患者管理；卫生管理部门通过数据看板实时掌握区域筛查进展，辅助政策制定。</w:t>
      </w:r>
      <w:r>
        <w:rPr>
          <w:rFonts w:hint="eastAsia" w:ascii="黑体" w:hAnsi="黑体" w:eastAsia="黑体" w:cs="黑体"/>
        </w:rPr>
        <w:t xml:space="preserve"> </w:t>
      </w:r>
    </w:p>
    <w:p w14:paraId="4A2D0ACC">
      <w:pPr>
        <w:spacing w:after="200"/>
        <w:ind w:firstLine="500" w:firstLineChars="0"/>
        <w:rPr>
          <w:rFonts w:hint="eastAsia" w:ascii="黑体" w:hAnsi="黑体" w:eastAsia="黑体" w:cs="黑体"/>
        </w:rPr>
      </w:pPr>
    </w:p>
    <w:p w14:paraId="28488931">
      <w:pPr>
        <w:pStyle w:val="3"/>
        <w:spacing w:after="200"/>
        <w:jc w:val="left"/>
      </w:pPr>
      <w:bookmarkStart w:id="13" w:name="_Toc12088"/>
      <w:r>
        <w:t>4 关键技术</w:t>
      </w:r>
      <w:bookmarkEnd w:id="13"/>
    </w:p>
    <w:p w14:paraId="5D3EFD18">
      <w:pPr>
        <w:pStyle w:val="4"/>
        <w:spacing w:after="200"/>
        <w:jc w:val="left"/>
      </w:pPr>
      <w:bookmarkStart w:id="14" w:name="_Toc31948"/>
      <w:r>
        <w:t>4.1 基于深度学习的宫颈细胞图像分析算法</w:t>
      </w:r>
      <w:bookmarkEnd w:id="14"/>
    </w:p>
    <w:p w14:paraId="17D22A3F">
      <w:pPr>
        <w:spacing w:after="120"/>
        <w:ind w:firstLine="500" w:firstLineChars="0"/>
        <w:jc w:val="left"/>
        <w:rPr>
          <w:rFonts w:hint="eastAsia" w:ascii="黑体" w:hAnsi="黑体" w:eastAsia="黑体" w:cs="黑体"/>
        </w:rPr>
      </w:pPr>
      <w:r>
        <w:rPr>
          <w:rFonts w:hint="eastAsia" w:ascii="黑体" w:hAnsi="黑体" w:eastAsia="黑体" w:cs="黑体"/>
        </w:rPr>
        <w:t>深度学习算法是兰丁AIoT云平台的核心技术引擎。宫颈细胞病理AI分析的技术路线经历了一系列演进</w:t>
      </w:r>
      <w:r>
        <w:rPr>
          <w:rFonts w:hint="eastAsia" w:ascii="黑体" w:hAnsi="黑体" w:eastAsia="黑体" w:cs="黑体"/>
          <w:lang w:val="en-US" w:eastAsia="zh-CN"/>
        </w:rPr>
        <w:t>,</w:t>
      </w:r>
      <w:r>
        <w:rPr>
          <w:rFonts w:hint="eastAsia" w:ascii="黑体" w:hAnsi="黑体" w:eastAsia="黑体" w:cs="黑体"/>
        </w:rPr>
        <w:t>近年逐渐转向基于Transformer和</w:t>
      </w:r>
      <w:r>
        <w:rPr>
          <w:rFonts w:hint="eastAsia" w:ascii="黑体" w:hAnsi="黑体" w:eastAsia="黑体" w:cs="黑体"/>
          <w:lang w:val="en-US" w:eastAsia="zh-CN"/>
        </w:rPr>
        <w:t>CNN</w:t>
      </w:r>
      <w:r>
        <w:rPr>
          <w:rFonts w:hint="eastAsia" w:ascii="黑体" w:hAnsi="黑体" w:eastAsia="黑体" w:cs="黑体"/>
        </w:rPr>
        <w:t>混合架构的全切片级解决方案</w:t>
      </w:r>
      <w:r>
        <w:rPr>
          <w:rFonts w:hint="eastAsia" w:ascii="黑体" w:hAnsi="黑体" w:eastAsia="黑体" w:cs="黑体"/>
          <w:sz w:val="16"/>
          <w:szCs w:val="16"/>
        </w:rPr>
        <w:t>[12]</w:t>
      </w:r>
      <w:r>
        <w:rPr>
          <w:rFonts w:hint="eastAsia" w:ascii="黑体" w:hAnsi="黑体" w:eastAsia="黑体" w:cs="黑体"/>
        </w:rPr>
        <w:t>。</w:t>
      </w:r>
    </w:p>
    <w:p w14:paraId="57DE3D51">
      <w:pPr>
        <w:spacing w:after="120"/>
        <w:ind w:firstLine="500" w:firstLineChars="0"/>
        <w:jc w:val="left"/>
        <w:rPr>
          <w:rFonts w:hint="eastAsia" w:ascii="黑体" w:hAnsi="黑体" w:eastAsia="黑体" w:cs="黑体"/>
        </w:rPr>
      </w:pPr>
      <w:r>
        <w:rPr>
          <w:rFonts w:hint="eastAsia" w:ascii="黑体" w:hAnsi="黑体" w:eastAsia="黑体" w:cs="黑体"/>
          <w:b/>
          <w:bCs/>
        </w:rPr>
        <w:t>算法架构</w:t>
      </w:r>
      <w:r>
        <w:rPr>
          <w:rFonts w:hint="eastAsia" w:ascii="黑体" w:hAnsi="黑体" w:eastAsia="黑体" w:cs="黑体"/>
        </w:rPr>
        <w:t>：兰丁CytoBrain AI引擎采用CNN与Vision Transformer（ViT）的双分支混合架构：</w:t>
      </w:r>
    </w:p>
    <w:p w14:paraId="090AFEFE">
      <w:pPr>
        <w:numPr>
          <w:ilvl w:val="0"/>
          <w:numId w:val="2"/>
        </w:numPr>
        <w:spacing w:after="120"/>
        <w:ind w:left="840" w:leftChars="0" w:hanging="420" w:firstLineChars="0"/>
        <w:jc w:val="left"/>
        <w:rPr>
          <w:rFonts w:hint="eastAsia" w:ascii="黑体" w:hAnsi="黑体" w:eastAsia="黑体" w:cs="黑体"/>
        </w:rPr>
      </w:pPr>
      <w:r>
        <w:rPr>
          <w:rFonts w:hint="eastAsia" w:ascii="黑体" w:hAnsi="黑体" w:eastAsia="黑体" w:cs="黑体"/>
        </w:rPr>
        <w:t>CNN分支：以ResNet、DenseNet等为骨干网络，通过局部感受野和权重共享机制，高效提取细胞核形态、胞质比例、染色质纹理等局部精细特征。</w:t>
      </w:r>
      <w:bookmarkStart w:id="39" w:name="_GoBack"/>
      <w:bookmarkEnd w:id="39"/>
    </w:p>
    <w:p w14:paraId="676CE67B">
      <w:pPr>
        <w:numPr>
          <w:ilvl w:val="0"/>
          <w:numId w:val="2"/>
        </w:numPr>
        <w:spacing w:after="120"/>
        <w:ind w:left="840" w:leftChars="0" w:hanging="420" w:firstLineChars="0"/>
        <w:jc w:val="left"/>
        <w:rPr>
          <w:rFonts w:hint="eastAsia" w:ascii="黑体" w:hAnsi="黑体" w:eastAsia="黑体" w:cs="黑体"/>
        </w:rPr>
      </w:pPr>
      <w:r>
        <w:rPr>
          <w:rFonts w:hint="eastAsia" w:ascii="黑体" w:hAnsi="黑体" w:eastAsia="黑体" w:cs="黑体"/>
        </w:rPr>
        <w:t>Transformer分支：基于多头自注意力（Multi-head Self-Attention）机制和位置编码，显式建模细胞实例之间的空间拓扑关系与全局腺体结构上下文，弥补CNN感受野受限导致的远距离依赖缺失问题。</w:t>
      </w:r>
    </w:p>
    <w:p w14:paraId="19F96F9A">
      <w:pPr>
        <w:spacing w:after="120"/>
        <w:ind w:firstLine="500" w:firstLineChars="0"/>
        <w:jc w:val="left"/>
        <w:rPr>
          <w:rFonts w:hint="eastAsia" w:ascii="黑体" w:hAnsi="黑体" w:eastAsia="黑体" w:cs="黑体"/>
        </w:rPr>
      </w:pPr>
      <w:r>
        <w:rPr>
          <w:rFonts w:hint="eastAsia" w:ascii="黑体" w:hAnsi="黑体" w:eastAsia="黑体" w:cs="黑体"/>
        </w:rPr>
        <w:t>双分支特征经过多尺度特征融合模块（如交叉注意力或特征金字塔）对齐后，形成“局部–全局”联合表示，输入至分类头完成良恶性判别。2025年发布的第五代"兰丁思邈"大模型更是在此基础上引入多智能体（Multi-Agent）架构，设置了五个智能体协同工作，分别负责细胞核DNA定量测量、异常细胞筛查、良恶性综合评估、结果质量审查和诊断报告生成</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_Ref23473 \r \h </w:instrText>
      </w:r>
      <w:r>
        <w:rPr>
          <w:rFonts w:hint="eastAsia" w:ascii="黑体" w:hAnsi="黑体" w:eastAsia="黑体" w:cs="黑体"/>
          <w:sz w:val="16"/>
          <w:szCs w:val="16"/>
        </w:rPr>
        <w:fldChar w:fldCharType="separate"/>
      </w:r>
      <w:r>
        <w:rPr>
          <w:rFonts w:hint="eastAsia" w:ascii="黑体" w:hAnsi="黑体" w:eastAsia="黑体" w:cs="黑体"/>
          <w:sz w:val="16"/>
          <w:szCs w:val="16"/>
        </w:rPr>
        <w:t>[6]</w:t>
      </w:r>
      <w:r>
        <w:rPr>
          <w:rFonts w:hint="eastAsia" w:ascii="黑体" w:hAnsi="黑体" w:eastAsia="黑体" w:cs="黑体"/>
          <w:sz w:val="16"/>
          <w:szCs w:val="16"/>
        </w:rPr>
        <w:fldChar w:fldCharType="end"/>
      </w:r>
      <w:r>
        <w:rPr>
          <w:rFonts w:hint="eastAsia" w:ascii="黑体" w:hAnsi="黑体" w:eastAsia="黑体" w:cs="黑体"/>
        </w:rPr>
        <w:t>，其架构如图</w:t>
      </w:r>
      <w:r>
        <w:rPr>
          <w:rFonts w:hint="eastAsia" w:ascii="黑体" w:hAnsi="黑体" w:eastAsia="黑体" w:cs="黑体"/>
          <w:lang w:val="en-US" w:eastAsia="zh-CN"/>
        </w:rPr>
        <w:t>4</w:t>
      </w:r>
      <w:r>
        <w:rPr>
          <w:rFonts w:hint="eastAsia" w:ascii="黑体" w:hAnsi="黑体" w:eastAsia="黑体" w:cs="黑体"/>
        </w:rPr>
        <w:t>所示。</w:t>
      </w:r>
    </w:p>
    <w:p w14:paraId="31A9D6EC">
      <w:pPr>
        <w:pStyle w:val="13"/>
        <w:keepNext w:val="0"/>
        <w:keepLines w:val="0"/>
        <w:widowControl/>
        <w:suppressLineNumbers w:val="0"/>
      </w:pPr>
      <w:r>
        <w:drawing>
          <wp:inline distT="0" distB="0" distL="114300" distR="114300">
            <wp:extent cx="5723255" cy="1475740"/>
            <wp:effectExtent l="0" t="0" r="10795" b="1016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7"/>
                    <a:stretch>
                      <a:fillRect/>
                    </a:stretch>
                  </pic:blipFill>
                  <pic:spPr>
                    <a:xfrm>
                      <a:off x="0" y="0"/>
                      <a:ext cx="5723255" cy="1475740"/>
                    </a:xfrm>
                    <a:prstGeom prst="rect">
                      <a:avLst/>
                    </a:prstGeom>
                    <a:noFill/>
                    <a:ln w="9525">
                      <a:noFill/>
                    </a:ln>
                  </pic:spPr>
                </pic:pic>
              </a:graphicData>
            </a:graphic>
          </wp:inline>
        </w:drawing>
      </w:r>
    </w:p>
    <w:p w14:paraId="41D83C92">
      <w:pPr>
        <w:pStyle w:val="8"/>
        <w:keepNext w:val="0"/>
        <w:keepLines w:val="0"/>
        <w:widowControl/>
        <w:suppressLineNumbers w:val="0"/>
        <w:jc w:val="center"/>
        <w:rPr>
          <w:rFonts w:hint="eastAsia" w:ascii="黑体" w:hAnsi="黑体" w:eastAsia="黑体" w:cs="黑体"/>
          <w:b/>
          <w:bCs/>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rPr>
          <w:rFonts w:hint="eastAsia" w:ascii="黑体" w:hAnsi="黑体" w:eastAsia="黑体" w:cs="黑体"/>
          <w:b/>
          <w:bCs/>
        </w:rPr>
        <w:t>兰丁思邈五脑多智能体架构</w:t>
      </w:r>
    </w:p>
    <w:p w14:paraId="02CBADA8">
      <w:pPr>
        <w:pStyle w:val="8"/>
        <w:keepNext w:val="0"/>
        <w:keepLines w:val="0"/>
        <w:widowControl/>
        <w:suppressLineNumbers w:val="0"/>
        <w:jc w:val="center"/>
        <w:rPr>
          <w:rFonts w:hint="eastAsia" w:ascii="黑体" w:hAnsi="黑体" w:eastAsia="黑体" w:cs="黑体"/>
        </w:rPr>
      </w:pPr>
      <w:r>
        <w:rPr>
          <w:rFonts w:hint="eastAsia" w:ascii="黑体" w:hAnsi="黑体" w:eastAsia="黑体" w:cs="黑体"/>
        </w:rPr>
        <w:t xml:space="preserve"> </w:t>
      </w:r>
    </w:p>
    <w:p w14:paraId="785596FB">
      <w:pPr>
        <w:spacing w:after="120"/>
        <w:ind w:firstLine="500" w:firstLineChars="0"/>
        <w:jc w:val="left"/>
        <w:rPr>
          <w:rFonts w:hint="eastAsia" w:ascii="黑体" w:hAnsi="黑体" w:eastAsia="黑体" w:cs="黑体"/>
        </w:rPr>
      </w:pPr>
      <w:r>
        <w:rPr>
          <w:rFonts w:hint="eastAsia" w:ascii="黑体" w:hAnsi="黑体" w:eastAsia="黑体" w:cs="黑体"/>
          <w:b/>
          <w:bCs/>
        </w:rPr>
        <w:t>训练数据</w:t>
      </w:r>
      <w:r>
        <w:rPr>
          <w:rFonts w:hint="eastAsia" w:ascii="黑体" w:hAnsi="黑体" w:eastAsia="黑体" w:cs="黑体"/>
        </w:rPr>
        <w:t>：</w:t>
      </w:r>
      <w:r>
        <w:rPr>
          <w:rFonts w:hint="eastAsia" w:ascii="黑体" w:hAnsi="黑体" w:eastAsia="黑体" w:cs="黑体"/>
          <w:i w:val="0"/>
          <w:iCs w:val="0"/>
          <w:caps w:val="0"/>
          <w:color w:val="0F1115"/>
          <w:spacing w:val="0"/>
          <w:sz w:val="24"/>
          <w:szCs w:val="24"/>
          <w:shd w:val="clear" w:fill="FFFFFF"/>
        </w:rPr>
        <w:t>兰丁AI模型基于全球最大的宫颈癌AI数字病理数据库训练，累计超1300万例样本、10亿张标注图像、1400TB数据。学术研究验证了技术路径的有效性：Cell Comparative Learning方法在2177张全切片上AUC达0.9319，达病理医生水平</w:t>
      </w:r>
      <w:r>
        <w:rPr>
          <w:rFonts w:hint="eastAsia" w:ascii="黑体" w:hAnsi="黑体" w:eastAsia="黑体" w:cs="黑体"/>
          <w:i w:val="0"/>
          <w:iCs w:val="0"/>
          <w:caps w:val="0"/>
          <w:color w:val="0F1115"/>
          <w:spacing w:val="0"/>
          <w:sz w:val="16"/>
          <w:szCs w:val="16"/>
          <w:shd w:val="clear" w:fill="FFFFFF"/>
        </w:rPr>
        <w:fldChar w:fldCharType="begin"/>
      </w:r>
      <w:r>
        <w:rPr>
          <w:rFonts w:hint="eastAsia" w:ascii="黑体" w:hAnsi="黑体" w:eastAsia="黑体" w:cs="黑体"/>
          <w:i w:val="0"/>
          <w:iCs w:val="0"/>
          <w:caps w:val="0"/>
          <w:color w:val="0F1115"/>
          <w:spacing w:val="0"/>
          <w:sz w:val="16"/>
          <w:szCs w:val="16"/>
          <w:shd w:val="clear" w:fill="FFFFFF"/>
        </w:rPr>
        <w:instrText xml:space="preserve"> REF _Ref24606 \r \h </w:instrText>
      </w:r>
      <w:r>
        <w:rPr>
          <w:rFonts w:hint="eastAsia" w:ascii="黑体" w:hAnsi="黑体" w:eastAsia="黑体" w:cs="黑体"/>
          <w:i w:val="0"/>
          <w:iCs w:val="0"/>
          <w:caps w:val="0"/>
          <w:color w:val="0F1115"/>
          <w:spacing w:val="0"/>
          <w:sz w:val="16"/>
          <w:szCs w:val="16"/>
          <w:shd w:val="clear" w:fill="FFFFFF"/>
        </w:rPr>
        <w:fldChar w:fldCharType="separate"/>
      </w:r>
      <w:r>
        <w:rPr>
          <w:rFonts w:hint="eastAsia" w:ascii="黑体" w:hAnsi="黑体" w:eastAsia="黑体" w:cs="黑体"/>
          <w:i w:val="0"/>
          <w:iCs w:val="0"/>
          <w:caps w:val="0"/>
          <w:color w:val="0F1115"/>
          <w:spacing w:val="0"/>
          <w:sz w:val="16"/>
          <w:szCs w:val="16"/>
          <w:shd w:val="clear" w:fill="FFFFFF"/>
        </w:rPr>
        <w:t>[12]</w:t>
      </w:r>
      <w:r>
        <w:rPr>
          <w:rFonts w:hint="eastAsia" w:ascii="黑体" w:hAnsi="黑体" w:eastAsia="黑体" w:cs="黑体"/>
          <w:i w:val="0"/>
          <w:iCs w:val="0"/>
          <w:caps w:val="0"/>
          <w:color w:val="0F1115"/>
          <w:spacing w:val="0"/>
          <w:sz w:val="16"/>
          <w:szCs w:val="16"/>
          <w:shd w:val="clear" w:fill="FFFFFF"/>
        </w:rPr>
        <w:fldChar w:fldCharType="end"/>
      </w:r>
      <w:r>
        <w:rPr>
          <w:rFonts w:hint="eastAsia" w:ascii="黑体" w:hAnsi="黑体" w:eastAsia="黑体" w:cs="黑体"/>
          <w:i w:val="0"/>
          <w:iCs w:val="0"/>
          <w:caps w:val="0"/>
          <w:color w:val="0F1115"/>
          <w:spacing w:val="0"/>
          <w:sz w:val="24"/>
          <w:szCs w:val="24"/>
          <w:shd w:val="clear" w:fill="FFFFFF"/>
        </w:rPr>
        <w:t>；混合CNN-Transformer模型准确率达95%–99%</w:t>
      </w:r>
      <w:r>
        <w:rPr>
          <w:rFonts w:hint="eastAsia" w:ascii="黑体" w:hAnsi="黑体" w:eastAsia="黑体" w:cs="黑体"/>
          <w:i w:val="0"/>
          <w:iCs w:val="0"/>
          <w:caps w:val="0"/>
          <w:color w:val="0F1115"/>
          <w:spacing w:val="0"/>
          <w:sz w:val="16"/>
          <w:szCs w:val="16"/>
          <w:shd w:val="clear" w:fill="FFFFFF"/>
        </w:rPr>
        <w:fldChar w:fldCharType="begin"/>
      </w:r>
      <w:r>
        <w:rPr>
          <w:rFonts w:hint="eastAsia" w:ascii="黑体" w:hAnsi="黑体" w:eastAsia="黑体" w:cs="黑体"/>
          <w:i w:val="0"/>
          <w:iCs w:val="0"/>
          <w:caps w:val="0"/>
          <w:color w:val="0F1115"/>
          <w:spacing w:val="0"/>
          <w:sz w:val="16"/>
          <w:szCs w:val="16"/>
          <w:shd w:val="clear" w:fill="FFFFFF"/>
        </w:rPr>
        <w:instrText xml:space="preserve"> REF _Ref24580 \r \h </w:instrText>
      </w:r>
      <w:r>
        <w:rPr>
          <w:rFonts w:hint="eastAsia" w:ascii="黑体" w:hAnsi="黑体" w:eastAsia="黑体" w:cs="黑体"/>
          <w:i w:val="0"/>
          <w:iCs w:val="0"/>
          <w:caps w:val="0"/>
          <w:color w:val="0F1115"/>
          <w:spacing w:val="0"/>
          <w:sz w:val="16"/>
          <w:szCs w:val="16"/>
          <w:shd w:val="clear" w:fill="FFFFFF"/>
        </w:rPr>
        <w:fldChar w:fldCharType="separate"/>
      </w:r>
      <w:r>
        <w:rPr>
          <w:rFonts w:hint="eastAsia" w:ascii="黑体" w:hAnsi="黑体" w:eastAsia="黑体" w:cs="黑体"/>
          <w:i w:val="0"/>
          <w:iCs w:val="0"/>
          <w:caps w:val="0"/>
          <w:color w:val="0F1115"/>
          <w:spacing w:val="0"/>
          <w:sz w:val="16"/>
          <w:szCs w:val="16"/>
          <w:shd w:val="clear" w:fill="FFFFFF"/>
        </w:rPr>
        <w:t>[13]</w:t>
      </w:r>
      <w:r>
        <w:rPr>
          <w:rFonts w:hint="eastAsia" w:ascii="黑体" w:hAnsi="黑体" w:eastAsia="黑体" w:cs="黑体"/>
          <w:i w:val="0"/>
          <w:iCs w:val="0"/>
          <w:caps w:val="0"/>
          <w:color w:val="0F1115"/>
          <w:spacing w:val="0"/>
          <w:sz w:val="16"/>
          <w:szCs w:val="16"/>
          <w:shd w:val="clear" w:fill="FFFFFF"/>
        </w:rPr>
        <w:fldChar w:fldCharType="end"/>
      </w:r>
      <w:r>
        <w:rPr>
          <w:rFonts w:hint="eastAsia" w:ascii="黑体" w:hAnsi="黑体" w:eastAsia="黑体" w:cs="黑体"/>
          <w:i w:val="0"/>
          <w:iCs w:val="0"/>
          <w:caps w:val="0"/>
          <w:color w:val="0F1115"/>
          <w:spacing w:val="0"/>
          <w:sz w:val="24"/>
          <w:szCs w:val="24"/>
          <w:shd w:val="clear" w:fill="FFFFFF"/>
        </w:rPr>
        <w:t>。兰丁AI在湖北省616万例大规模筛查中，敏感性与特异性均超90%，阳性检出率从人工模式的约3%提升至5.6%</w:t>
      </w:r>
      <w:r>
        <w:rPr>
          <w:rFonts w:hint="eastAsia" w:ascii="黑体" w:hAnsi="黑体" w:eastAsia="黑体" w:cs="黑体"/>
          <w:i w:val="0"/>
          <w:iCs w:val="0"/>
          <w:caps w:val="0"/>
          <w:color w:val="0F1115"/>
          <w:spacing w:val="0"/>
          <w:sz w:val="16"/>
          <w:szCs w:val="16"/>
          <w:shd w:val="clear" w:fill="FFFFFF"/>
        </w:rPr>
        <w:fldChar w:fldCharType="begin"/>
      </w:r>
      <w:r>
        <w:rPr>
          <w:rFonts w:hint="eastAsia" w:ascii="黑体" w:hAnsi="黑体" w:eastAsia="黑体" w:cs="黑体"/>
          <w:i w:val="0"/>
          <w:iCs w:val="0"/>
          <w:caps w:val="0"/>
          <w:color w:val="0F1115"/>
          <w:spacing w:val="0"/>
          <w:sz w:val="16"/>
          <w:szCs w:val="16"/>
          <w:shd w:val="clear" w:fill="FFFFFF"/>
        </w:rPr>
        <w:instrText xml:space="preserve"> REF _Ref24554 \r \h </w:instrText>
      </w:r>
      <w:r>
        <w:rPr>
          <w:rFonts w:hint="eastAsia" w:ascii="黑体" w:hAnsi="黑体" w:eastAsia="黑体" w:cs="黑体"/>
          <w:i w:val="0"/>
          <w:iCs w:val="0"/>
          <w:caps w:val="0"/>
          <w:color w:val="0F1115"/>
          <w:spacing w:val="0"/>
          <w:sz w:val="16"/>
          <w:szCs w:val="16"/>
          <w:shd w:val="clear" w:fill="FFFFFF"/>
        </w:rPr>
        <w:fldChar w:fldCharType="separate"/>
      </w:r>
      <w:r>
        <w:rPr>
          <w:rFonts w:hint="eastAsia" w:ascii="黑体" w:hAnsi="黑体" w:eastAsia="黑体" w:cs="黑体"/>
          <w:i w:val="0"/>
          <w:iCs w:val="0"/>
          <w:caps w:val="0"/>
          <w:color w:val="0F1115"/>
          <w:spacing w:val="0"/>
          <w:sz w:val="16"/>
          <w:szCs w:val="16"/>
          <w:shd w:val="clear" w:fill="FFFFFF"/>
        </w:rPr>
        <w:t>[14]</w:t>
      </w:r>
      <w:r>
        <w:rPr>
          <w:rFonts w:hint="eastAsia" w:ascii="黑体" w:hAnsi="黑体" w:eastAsia="黑体" w:cs="黑体"/>
          <w:i w:val="0"/>
          <w:iCs w:val="0"/>
          <w:caps w:val="0"/>
          <w:color w:val="0F1115"/>
          <w:spacing w:val="0"/>
          <w:sz w:val="16"/>
          <w:szCs w:val="16"/>
          <w:shd w:val="clear" w:fill="FFFFFF"/>
        </w:rPr>
        <w:fldChar w:fldCharType="end"/>
      </w:r>
      <w:r>
        <w:rPr>
          <w:rFonts w:hint="eastAsia" w:ascii="黑体" w:hAnsi="黑体" w:eastAsia="黑体" w:cs="黑体"/>
          <w:i w:val="0"/>
          <w:iCs w:val="0"/>
          <w:caps w:val="0"/>
          <w:color w:val="0F1115"/>
          <w:spacing w:val="0"/>
          <w:sz w:val="24"/>
          <w:szCs w:val="24"/>
          <w:shd w:val="clear" w:fill="FFFFFF"/>
        </w:rPr>
        <w:t>。</w:t>
      </w:r>
    </w:p>
    <w:p w14:paraId="13743CCA">
      <w:pPr>
        <w:spacing w:after="120"/>
        <w:ind w:firstLine="500" w:firstLineChars="0"/>
        <w:jc w:val="left"/>
        <w:rPr>
          <w:rFonts w:hint="eastAsia" w:ascii="黑体" w:hAnsi="黑体" w:eastAsia="黑体" w:cs="黑体"/>
        </w:rPr>
      </w:pPr>
      <w:r>
        <w:rPr>
          <w:rFonts w:hint="eastAsia" w:ascii="黑体" w:hAnsi="黑体" w:eastAsia="黑体" w:cs="黑体"/>
          <w:b/>
          <w:bCs/>
        </w:rPr>
        <w:t>"数据飞轮"</w:t>
      </w:r>
      <w:r>
        <w:rPr>
          <w:rFonts w:hint="eastAsia" w:ascii="黑体" w:hAnsi="黑体" w:eastAsia="黑体" w:cs="黑体"/>
        </w:rPr>
        <w:t>：平台每完成一例筛查，AI决策经专家复核后的反馈数据都会重新汇入训练集，持续优化模型性能。这种"数据越多、模型越准、用户越多、数据更多"的正反馈循环，是典型的互联网思维在AI领域的应用——数据成为核心资产和竞争壁垒。</w:t>
      </w:r>
    </w:p>
    <w:p w14:paraId="1A6F4CD9">
      <w:pPr>
        <w:spacing w:after="200"/>
      </w:pPr>
      <w:r>
        <w:t xml:space="preserve"> </w:t>
      </w:r>
    </w:p>
    <w:p w14:paraId="5B120991">
      <w:pPr>
        <w:pStyle w:val="4"/>
        <w:spacing w:after="200"/>
        <w:jc w:val="left"/>
      </w:pPr>
      <w:bookmarkStart w:id="15" w:name="_Toc22746"/>
      <w:r>
        <w:t>4.2 高通量切片扫描与5G云边协同架构</w:t>
      </w:r>
      <w:bookmarkEnd w:id="15"/>
    </w:p>
    <w:p w14:paraId="6196431E">
      <w:pPr>
        <w:spacing w:after="120"/>
        <w:ind w:firstLine="500" w:firstLineChars="0"/>
        <w:jc w:val="left"/>
        <w:rPr>
          <w:rFonts w:hint="eastAsia" w:ascii="黑体" w:hAnsi="黑体" w:eastAsia="黑体" w:cs="黑体"/>
        </w:rPr>
      </w:pPr>
      <w:r>
        <w:rPr>
          <w:rFonts w:hint="eastAsia" w:ascii="黑体" w:hAnsi="黑体" w:eastAsia="黑体" w:cs="黑体"/>
          <w:b/>
          <w:bCs/>
        </w:rPr>
        <w:t>高通量扫描与边缘预处理</w:t>
      </w:r>
      <w:r>
        <w:rPr>
          <w:rFonts w:hint="eastAsia" w:ascii="黑体" w:hAnsi="黑体" w:eastAsia="黑体" w:cs="黑体"/>
        </w:rPr>
        <w:t>：兰丁自主研发的数字病理扫描仪集成了物联网芯片，可实时云端平台保持通信。单台设备日处理能力达数百张玻片。在设备端完成初步的图像采集后，边缘计算节点进行图像压缩和质量检查，剔除模糊或制片不合格的无效图像，减少网络传输压力。</w:t>
      </w:r>
    </w:p>
    <w:p w14:paraId="6B4D5FF1">
      <w:pPr>
        <w:spacing w:after="120"/>
        <w:ind w:firstLine="500" w:firstLineChars="0"/>
        <w:jc w:val="left"/>
        <w:rPr>
          <w:rFonts w:hint="eastAsia" w:ascii="黑体" w:hAnsi="黑体" w:eastAsia="黑体" w:cs="黑体"/>
        </w:rPr>
      </w:pPr>
      <w:r>
        <w:rPr>
          <w:rFonts w:hint="eastAsia" w:ascii="黑体" w:hAnsi="黑体" w:eastAsia="黑体" w:cs="黑体"/>
          <w:b/>
          <w:bCs/>
        </w:rPr>
        <w:t>5G云边协同机制</w:t>
      </w:r>
      <w:r>
        <w:rPr>
          <w:rFonts w:hint="eastAsia" w:ascii="黑体" w:hAnsi="黑体" w:eastAsia="黑体" w:cs="黑体"/>
        </w:rPr>
        <w:t>：5G网络的大带宽（单路&gt;100 Mbps）支持高清数字切片的快速上传</w:t>
      </w:r>
      <w:r>
        <w:rPr>
          <w:rFonts w:hint="eastAsia" w:ascii="黑体" w:hAnsi="黑体" w:eastAsia="黑体" w:cs="黑体"/>
          <w:sz w:val="16"/>
          <w:szCs w:val="16"/>
        </w:rPr>
        <w:t>[9]</w:t>
      </w:r>
      <w:r>
        <w:rPr>
          <w:rFonts w:hint="eastAsia" w:ascii="黑体" w:hAnsi="黑体" w:eastAsia="黑体" w:cs="黑体"/>
          <w:sz w:val="16"/>
          <w:szCs w:val="16"/>
          <w:lang w:eastAsia="zh-CN"/>
        </w:rPr>
        <w:t>，</w:t>
      </w:r>
      <w:r>
        <w:rPr>
          <w:rFonts w:hint="eastAsia" w:ascii="黑体" w:hAnsi="黑体" w:eastAsia="黑体" w:cs="黑体"/>
        </w:rPr>
        <w:t>超低延迟（端到端&lt;10 ms）使远程专家可以实时调阅图像、进行在线复核，交互体验接近本地操作。这种"边缘预处理—5G传输—云端推理—结果下发"的协同架构，使平台实现了单日5万例的超高通量处理能力。整个AI筛查诊断流程如所示。</w:t>
      </w:r>
      <w:r>
        <w:rPr>
          <w:rFonts w:hint="eastAsia" w:ascii="黑体" w:hAnsi="黑体" w:eastAsia="黑体" w:cs="黑体"/>
          <w:lang w:val="en-US" w:eastAsia="zh-CN"/>
        </w:rPr>
        <w:t>于是</w:t>
      </w:r>
      <w:r>
        <w:rPr>
          <w:rFonts w:hint="eastAsia" w:ascii="黑体" w:hAnsi="黑体" w:eastAsia="黑体" w:cs="黑体"/>
        </w:rPr>
        <w:t>基层医疗机构无需自建算力基础设施，仅通过接入网络即可获得顶级AI诊断能力。</w:t>
      </w:r>
    </w:p>
    <w:p w14:paraId="0461F7C7">
      <w:pPr>
        <w:spacing w:after="200"/>
      </w:pPr>
      <w:r>
        <w:t xml:space="preserve"> </w:t>
      </w:r>
    </w:p>
    <w:p w14:paraId="288CEC9C">
      <w:pPr>
        <w:pStyle w:val="4"/>
        <w:spacing w:after="200"/>
        <w:jc w:val="left"/>
      </w:pPr>
      <w:bookmarkStart w:id="16" w:name="_Toc25152"/>
      <w:r>
        <w:t>4.3 人机协同的闭环质控与流式工作模式</w:t>
      </w:r>
      <w:bookmarkEnd w:id="16"/>
    </w:p>
    <w:p w14:paraId="6CE2741D">
      <w:pPr>
        <w:jc w:val="center"/>
        <w:rPr>
          <w:rFonts w:hint="eastAsia" w:eastAsiaTheme="minorEastAsia"/>
          <w:lang w:eastAsia="zh-CN"/>
        </w:rPr>
      </w:pPr>
      <w:r>
        <w:rPr>
          <w:rFonts w:hint="eastAsia" w:eastAsiaTheme="minorEastAsia"/>
          <w:lang w:eastAsia="zh-CN"/>
        </w:rPr>
        <w:drawing>
          <wp:inline distT="0" distB="0" distL="114300" distR="114300">
            <wp:extent cx="3203575" cy="2727960"/>
            <wp:effectExtent l="0" t="0" r="0" b="0"/>
            <wp:docPr id="5"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pic:cNvPicPr>
                      <a:picLocks noChangeAspect="1"/>
                    </pic:cNvPicPr>
                  </pic:nvPicPr>
                  <pic:blipFill>
                    <a:blip r:embed="rId8"/>
                    <a:stretch>
                      <a:fillRect/>
                    </a:stretch>
                  </pic:blipFill>
                  <pic:spPr>
                    <a:xfrm>
                      <a:off x="0" y="0"/>
                      <a:ext cx="3203575" cy="2727960"/>
                    </a:xfrm>
                    <a:prstGeom prst="rect">
                      <a:avLst/>
                    </a:prstGeom>
                  </pic:spPr>
                </pic:pic>
              </a:graphicData>
            </a:graphic>
          </wp:inline>
        </w:drawing>
      </w:r>
    </w:p>
    <w:p w14:paraId="66F4E3C3">
      <w:pPr>
        <w:pStyle w:val="8"/>
        <w:jc w:val="center"/>
        <w:rPr>
          <w:rFonts w:hint="eastAsia" w:eastAsiaTheme="minor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w:t>
      </w:r>
      <w:r>
        <w:rPr>
          <w:rFonts w:hint="eastAsia"/>
          <w:lang w:val="en-US" w:eastAsia="zh-CN"/>
        </w:rPr>
        <w:t>人机协同</w:t>
      </w:r>
      <w:r>
        <w:rPr>
          <w:rFonts w:hint="eastAsia"/>
          <w:lang w:eastAsia="zh-CN"/>
        </w:rPr>
        <w:t>工作流程</w:t>
      </w:r>
    </w:p>
    <w:p w14:paraId="0F123425">
      <w:pPr>
        <w:spacing w:after="200"/>
        <w:ind w:firstLine="500" w:firstLineChars="0"/>
        <w:rPr>
          <w:rFonts w:hint="eastAsia" w:ascii="黑体" w:hAnsi="黑体" w:eastAsia="黑体" w:cs="黑体"/>
          <w:lang w:val="en-US" w:eastAsia="zh-CN"/>
        </w:rPr>
      </w:pPr>
      <w:r>
        <w:rPr>
          <w:rFonts w:hint="eastAsia" w:ascii="黑体" w:hAnsi="黑体" w:eastAsia="黑体" w:cs="黑体"/>
          <w:i w:val="0"/>
          <w:iCs w:val="0"/>
          <w:caps w:val="0"/>
          <w:color w:val="0F1115"/>
          <w:spacing w:val="0"/>
          <w:sz w:val="24"/>
          <w:szCs w:val="24"/>
          <w:shd w:val="clear" w:fill="FFFFFF"/>
        </w:rPr>
        <w:t>平台采用“AI初筛—专家复核—反馈优化”三层闭环质控：AI初筛所有样本，阴性自动生成报告；阳性及随机5%–10%的阴性样本推送专家远程复核。复核与初筛结果不一致时，样本回流训练集，用于模型定向优化。该模式实现了效率与精度的平衡：AI筛除80%–90%的阴性样本，使专家专注于临界与阳性样本。数据显示，AI筛查下专家日处理效率较传统模式提升约100倍，检验成本下降约100倍</w:t>
      </w:r>
      <w:r>
        <w:rPr>
          <w:rFonts w:hint="eastAsia" w:ascii="黑体" w:hAnsi="黑体" w:eastAsia="黑体" w:cs="黑体"/>
          <w:i w:val="0"/>
          <w:iCs w:val="0"/>
          <w:caps w:val="0"/>
          <w:color w:val="0F1115"/>
          <w:spacing w:val="0"/>
          <w:sz w:val="16"/>
          <w:szCs w:val="16"/>
          <w:shd w:val="clear" w:fill="FFFFFF"/>
        </w:rPr>
        <w:fldChar w:fldCharType="begin"/>
      </w:r>
      <w:r>
        <w:rPr>
          <w:rFonts w:hint="eastAsia" w:ascii="黑体" w:hAnsi="黑体" w:eastAsia="黑体" w:cs="黑体"/>
          <w:i w:val="0"/>
          <w:iCs w:val="0"/>
          <w:caps w:val="0"/>
          <w:color w:val="0F1115"/>
          <w:spacing w:val="0"/>
          <w:sz w:val="16"/>
          <w:szCs w:val="16"/>
          <w:shd w:val="clear" w:fill="FFFFFF"/>
        </w:rPr>
        <w:instrText xml:space="preserve"> REF _Ref24502 \r \h </w:instrText>
      </w:r>
      <w:r>
        <w:rPr>
          <w:rFonts w:hint="eastAsia" w:ascii="黑体" w:hAnsi="黑体" w:eastAsia="黑体" w:cs="黑体"/>
          <w:i w:val="0"/>
          <w:iCs w:val="0"/>
          <w:caps w:val="0"/>
          <w:color w:val="0F1115"/>
          <w:spacing w:val="0"/>
          <w:sz w:val="16"/>
          <w:szCs w:val="16"/>
          <w:shd w:val="clear" w:fill="FFFFFF"/>
        </w:rPr>
        <w:fldChar w:fldCharType="separate"/>
      </w:r>
      <w:r>
        <w:rPr>
          <w:rFonts w:hint="eastAsia" w:ascii="黑体" w:hAnsi="黑体" w:eastAsia="黑体" w:cs="黑体"/>
          <w:i w:val="0"/>
          <w:iCs w:val="0"/>
          <w:caps w:val="0"/>
          <w:color w:val="0F1115"/>
          <w:spacing w:val="0"/>
          <w:sz w:val="16"/>
          <w:szCs w:val="16"/>
          <w:shd w:val="clear" w:fill="FFFFFF"/>
        </w:rPr>
        <w:t>[15]</w:t>
      </w:r>
      <w:r>
        <w:rPr>
          <w:rFonts w:hint="eastAsia" w:ascii="黑体" w:hAnsi="黑体" w:eastAsia="黑体" w:cs="黑体"/>
          <w:i w:val="0"/>
          <w:iCs w:val="0"/>
          <w:caps w:val="0"/>
          <w:color w:val="0F1115"/>
          <w:spacing w:val="0"/>
          <w:sz w:val="16"/>
          <w:szCs w:val="16"/>
          <w:shd w:val="clear" w:fill="FFFFFF"/>
        </w:rPr>
        <w:fldChar w:fldCharType="end"/>
      </w:r>
      <w:r>
        <w:rPr>
          <w:rFonts w:hint="eastAsia" w:ascii="黑体" w:hAnsi="黑体" w:eastAsia="黑体" w:cs="黑体"/>
          <w:i w:val="0"/>
          <w:iCs w:val="0"/>
          <w:caps w:val="0"/>
          <w:color w:val="0F1115"/>
          <w:spacing w:val="0"/>
          <w:sz w:val="24"/>
          <w:szCs w:val="24"/>
          <w:shd w:val="clear" w:fill="FFFFFF"/>
        </w:rPr>
        <w:t>。</w:t>
      </w:r>
    </w:p>
    <w:p w14:paraId="30ADE941">
      <w:pPr>
        <w:pStyle w:val="3"/>
        <w:spacing w:after="200"/>
        <w:jc w:val="left"/>
      </w:pPr>
      <w:bookmarkStart w:id="17" w:name="_Toc27020"/>
      <w:r>
        <w:t>5 应用前景分析</w:t>
      </w:r>
      <w:bookmarkEnd w:id="17"/>
    </w:p>
    <w:p w14:paraId="58E2857A">
      <w:pPr>
        <w:pStyle w:val="4"/>
        <w:spacing w:after="200"/>
        <w:jc w:val="left"/>
        <w:rPr>
          <w:rFonts w:hint="eastAsia" w:ascii="黑体" w:hAnsi="黑体" w:eastAsia="黑体" w:cs="黑体"/>
        </w:rPr>
      </w:pPr>
      <w:bookmarkStart w:id="18" w:name="_Toc13474"/>
      <w:r>
        <w:t>5.1 市场与社会双驱动</w:t>
      </w:r>
      <w:bookmarkEnd w:id="18"/>
    </w:p>
    <w:p w14:paraId="4A208623">
      <w:pPr>
        <w:spacing w:after="120"/>
        <w:ind w:firstLine="500" w:firstLineChars="0"/>
        <w:jc w:val="left"/>
        <w:rPr>
          <w:rFonts w:hint="eastAsia" w:ascii="黑体" w:hAnsi="黑体" w:eastAsia="黑体" w:cs="黑体"/>
        </w:rPr>
      </w:pPr>
      <w:r>
        <w:rPr>
          <w:rFonts w:hint="eastAsia" w:ascii="黑体" w:hAnsi="黑体" w:eastAsia="黑体" w:cs="黑体"/>
        </w:rPr>
        <w:t>国家从2009年起启动"两癌"免费筛查，截至2024年累计免费筛查2.8亿人次，覆盖全国2765个县（市、区），检出癌前病变及癌症患者90.2万例，但仍面临基层覆盖率不均、阳性随访率偏低等挑战</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_Ref23597 \r \h </w:instrText>
      </w:r>
      <w:r>
        <w:rPr>
          <w:rFonts w:hint="eastAsia" w:ascii="黑体" w:hAnsi="黑体" w:eastAsia="黑体" w:cs="黑体"/>
          <w:sz w:val="16"/>
          <w:szCs w:val="16"/>
        </w:rPr>
        <w:fldChar w:fldCharType="separate"/>
      </w:r>
      <w:r>
        <w:rPr>
          <w:rFonts w:hint="eastAsia" w:ascii="黑体" w:hAnsi="黑体" w:eastAsia="黑体" w:cs="黑体"/>
          <w:sz w:val="16"/>
          <w:szCs w:val="16"/>
        </w:rPr>
        <w:t>[2]</w:t>
      </w:r>
      <w:r>
        <w:rPr>
          <w:rFonts w:hint="eastAsia" w:ascii="黑体" w:hAnsi="黑体" w:eastAsia="黑体" w:cs="黑体"/>
          <w:sz w:val="16"/>
          <w:szCs w:val="16"/>
        </w:rPr>
        <w:fldChar w:fldCharType="end"/>
      </w:r>
      <w:r>
        <w:rPr>
          <w:rFonts w:hint="eastAsia" w:ascii="黑体" w:hAnsi="黑体" w:eastAsia="黑体" w:cs="黑体"/>
        </w:rPr>
        <w:t>。2023年国家卫健委等10部门联合启动"加速消除宫颈癌"行动计划。在此背景下，AIoT筛查方案能有效弥补基层能力短板，具有明确的社会需求和广阔市场空间。表1对比了AI模式与传统模式的关键指标</w:t>
      </w:r>
      <w:r>
        <w:rPr>
          <w:rFonts w:hint="eastAsia" w:ascii="黑体" w:hAnsi="黑体" w:eastAsia="黑体" w:cs="黑体"/>
          <w:lang w:eastAsia="zh-CN"/>
        </w:rPr>
        <w:t>，</w:t>
      </w:r>
      <w:r>
        <w:rPr>
          <w:rFonts w:hint="eastAsia" w:ascii="黑体" w:hAnsi="黑体" w:eastAsia="黑体" w:cs="黑体"/>
          <w:lang w:val="en-US" w:eastAsia="zh-CN"/>
        </w:rPr>
        <w:t>图6则是对比不同方式下的不同方式驱动筛查下的能效变化</w:t>
      </w:r>
      <w:r>
        <w:rPr>
          <w:rFonts w:hint="eastAsia" w:ascii="黑体" w:hAnsi="黑体" w:eastAsia="黑体" w:cs="黑体"/>
        </w:rPr>
        <w:t>。</w:t>
      </w:r>
    </w:p>
    <w:p w14:paraId="1434E688">
      <w:pPr>
        <w:spacing w:after="120"/>
        <w:ind w:firstLine="500" w:firstLineChars="0"/>
        <w:jc w:val="left"/>
        <w:rPr>
          <w:rFonts w:hint="eastAsia" w:ascii="黑体" w:hAnsi="黑体" w:eastAsia="黑体" w:cs="黑体"/>
        </w:rPr>
      </w:pPr>
    </w:p>
    <w:p w14:paraId="3BAC9E79">
      <w:pPr>
        <w:spacing w:after="120"/>
        <w:jc w:val="center"/>
        <w:rPr>
          <w:rFonts w:hint="eastAsia" w:ascii="黑体" w:hAnsi="黑体" w:eastAsia="黑体" w:cs="黑体"/>
        </w:rPr>
      </w:pPr>
      <w:r>
        <w:rPr>
          <w:rFonts w:hint="eastAsia" w:ascii="黑体" w:hAnsi="黑体" w:eastAsia="黑体" w:cs="黑体"/>
          <w:b/>
          <w:bCs/>
          <w:sz w:val="21"/>
          <w:szCs w:val="21"/>
        </w:rPr>
        <w:t>表1 AI筛查模式与传统人工筛查模式关键指标对比</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57"/>
        <w:gridCol w:w="2611"/>
        <w:gridCol w:w="2611"/>
        <w:gridCol w:w="2088"/>
      </w:tblGrid>
      <w:tr w14:paraId="7671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CF02661">
            <w:pPr>
              <w:jc w:val="center"/>
              <w:rPr>
                <w:rFonts w:hint="eastAsia" w:ascii="黑体" w:hAnsi="黑体" w:eastAsia="黑体" w:cs="黑体"/>
              </w:rPr>
            </w:pPr>
            <w:r>
              <w:rPr>
                <w:rFonts w:hint="eastAsia" w:ascii="黑体" w:hAnsi="黑体" w:eastAsia="黑体" w:cs="黑体"/>
                <w:b/>
                <w:bCs/>
              </w:rPr>
              <w:t>对比维度</w:t>
            </w:r>
          </w:p>
        </w:tc>
        <w:tc>
          <w:p w14:paraId="11F2CF7A">
            <w:pPr>
              <w:jc w:val="center"/>
              <w:rPr>
                <w:rFonts w:hint="eastAsia" w:ascii="黑体" w:hAnsi="黑体" w:eastAsia="黑体" w:cs="黑体"/>
              </w:rPr>
            </w:pPr>
            <w:r>
              <w:rPr>
                <w:rFonts w:hint="eastAsia" w:ascii="黑体" w:hAnsi="黑体" w:eastAsia="黑体" w:cs="黑体"/>
                <w:b/>
                <w:bCs/>
              </w:rPr>
              <w:t>传统人工筛查模式</w:t>
            </w:r>
          </w:p>
        </w:tc>
        <w:tc>
          <w:p w14:paraId="1E783697">
            <w:pPr>
              <w:jc w:val="center"/>
              <w:rPr>
                <w:rFonts w:hint="eastAsia" w:ascii="黑体" w:hAnsi="黑体" w:eastAsia="黑体" w:cs="黑体"/>
              </w:rPr>
            </w:pPr>
            <w:r>
              <w:rPr>
                <w:rFonts w:hint="eastAsia" w:ascii="黑体" w:hAnsi="黑体" w:eastAsia="黑体" w:cs="黑体"/>
                <w:b/>
                <w:bCs/>
              </w:rPr>
              <w:t>兰丁AIoT云平台模式</w:t>
            </w:r>
          </w:p>
        </w:tc>
        <w:tc>
          <w:p w14:paraId="44F82B66">
            <w:pPr>
              <w:jc w:val="center"/>
              <w:rPr>
                <w:rFonts w:hint="eastAsia" w:ascii="黑体" w:hAnsi="黑体" w:eastAsia="黑体" w:cs="黑体"/>
              </w:rPr>
            </w:pPr>
            <w:r>
              <w:rPr>
                <w:rFonts w:hint="eastAsia" w:ascii="黑体" w:hAnsi="黑体" w:eastAsia="黑体" w:cs="黑体"/>
                <w:b/>
                <w:bCs/>
              </w:rPr>
              <w:t>提升幅度</w:t>
            </w:r>
          </w:p>
        </w:tc>
      </w:tr>
      <w:tr w14:paraId="3B53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37387A">
            <w:pPr>
              <w:jc w:val="center"/>
              <w:rPr>
                <w:rFonts w:hint="eastAsia" w:ascii="黑体" w:hAnsi="黑体" w:eastAsia="黑体" w:cs="黑体"/>
              </w:rPr>
            </w:pPr>
            <w:r>
              <w:rPr>
                <w:rFonts w:hint="eastAsia" w:ascii="黑体" w:hAnsi="黑体" w:eastAsia="黑体" w:cs="黑体"/>
              </w:rPr>
              <w:t>单日检测量</w:t>
            </w:r>
          </w:p>
        </w:tc>
        <w:tc>
          <w:p w14:paraId="4C6E9689">
            <w:pPr>
              <w:jc w:val="center"/>
              <w:rPr>
                <w:rFonts w:hint="eastAsia" w:ascii="黑体" w:hAnsi="黑体" w:eastAsia="黑体" w:cs="黑体"/>
              </w:rPr>
            </w:pPr>
            <w:r>
              <w:rPr>
                <w:rFonts w:hint="eastAsia" w:ascii="黑体" w:hAnsi="黑体" w:eastAsia="黑体" w:cs="黑体"/>
              </w:rPr>
              <w:t>≈100张/人</w:t>
            </w:r>
          </w:p>
        </w:tc>
        <w:tc>
          <w:p w14:paraId="5E72B32F">
            <w:pPr>
              <w:jc w:val="center"/>
              <w:rPr>
                <w:rFonts w:hint="eastAsia" w:ascii="黑体" w:hAnsi="黑体" w:eastAsia="黑体" w:cs="黑体"/>
              </w:rPr>
            </w:pPr>
            <w:r>
              <w:rPr>
                <w:rFonts w:hint="eastAsia" w:ascii="黑体" w:hAnsi="黑体" w:eastAsia="黑体" w:cs="黑体"/>
              </w:rPr>
              <w:t>50,000张/天（平台总量）</w:t>
            </w:r>
          </w:p>
        </w:tc>
        <w:tc>
          <w:p w14:paraId="4739B678">
            <w:pPr>
              <w:jc w:val="center"/>
              <w:rPr>
                <w:rFonts w:hint="eastAsia" w:ascii="黑体" w:hAnsi="黑体" w:eastAsia="黑体" w:cs="黑体"/>
              </w:rPr>
            </w:pPr>
            <w:r>
              <w:rPr>
                <w:rFonts w:hint="eastAsia" w:ascii="黑体" w:hAnsi="黑体" w:eastAsia="黑体" w:cs="黑体"/>
              </w:rPr>
              <w:t>~500倍</w:t>
            </w:r>
          </w:p>
        </w:tc>
      </w:tr>
      <w:tr w14:paraId="50BB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4756A9">
            <w:pPr>
              <w:jc w:val="center"/>
              <w:rPr>
                <w:rFonts w:hint="eastAsia" w:ascii="黑体" w:hAnsi="黑体" w:eastAsia="黑体" w:cs="黑体"/>
              </w:rPr>
            </w:pPr>
            <w:r>
              <w:rPr>
                <w:rFonts w:hint="eastAsia" w:ascii="黑体" w:hAnsi="黑体" w:eastAsia="黑体" w:cs="黑体"/>
              </w:rPr>
              <w:t>单例诊断时间</w:t>
            </w:r>
          </w:p>
        </w:tc>
        <w:tc>
          <w:p w14:paraId="4CC5C053">
            <w:pPr>
              <w:jc w:val="center"/>
              <w:rPr>
                <w:rFonts w:hint="eastAsia" w:ascii="黑体" w:hAnsi="黑体" w:eastAsia="黑体" w:cs="黑体"/>
              </w:rPr>
            </w:pPr>
            <w:r>
              <w:rPr>
                <w:rFonts w:hint="eastAsia" w:ascii="黑体" w:hAnsi="黑体" w:eastAsia="黑体" w:cs="黑体"/>
              </w:rPr>
              <w:t>10—15分钟</w:t>
            </w:r>
          </w:p>
        </w:tc>
        <w:tc>
          <w:p w14:paraId="60C7FF8D">
            <w:pPr>
              <w:jc w:val="center"/>
              <w:rPr>
                <w:rFonts w:hint="eastAsia" w:ascii="黑体" w:hAnsi="黑体" w:eastAsia="黑体" w:cs="黑体"/>
              </w:rPr>
            </w:pPr>
            <w:r>
              <w:rPr>
                <w:rFonts w:hint="eastAsia" w:ascii="黑体" w:hAnsi="黑体" w:eastAsia="黑体" w:cs="黑体"/>
              </w:rPr>
              <w:t>AI 3分钟/例，云平台2秒</w:t>
            </w:r>
          </w:p>
        </w:tc>
        <w:tc>
          <w:p w14:paraId="0154D682">
            <w:pPr>
              <w:jc w:val="center"/>
              <w:rPr>
                <w:rFonts w:hint="eastAsia" w:ascii="黑体" w:hAnsi="黑体" w:eastAsia="黑体" w:cs="黑体"/>
              </w:rPr>
            </w:pPr>
            <w:r>
              <w:rPr>
                <w:rFonts w:hint="eastAsia" w:ascii="黑体" w:hAnsi="黑体" w:eastAsia="黑体" w:cs="黑体"/>
              </w:rPr>
              <w:t>~100倍</w:t>
            </w:r>
          </w:p>
        </w:tc>
      </w:tr>
      <w:tr w14:paraId="3B94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DEB572">
            <w:pPr>
              <w:jc w:val="center"/>
              <w:rPr>
                <w:rFonts w:hint="eastAsia" w:ascii="黑体" w:hAnsi="黑体" w:eastAsia="黑体" w:cs="黑体"/>
              </w:rPr>
            </w:pPr>
            <w:r>
              <w:rPr>
                <w:rFonts w:hint="eastAsia" w:ascii="黑体" w:hAnsi="黑体" w:eastAsia="黑体" w:cs="黑体"/>
              </w:rPr>
              <w:t>敏感性/特异性</w:t>
            </w:r>
          </w:p>
        </w:tc>
        <w:tc>
          <w:p w14:paraId="6B5AD9DE">
            <w:pPr>
              <w:jc w:val="center"/>
              <w:rPr>
                <w:rFonts w:hint="eastAsia" w:ascii="黑体" w:hAnsi="黑体" w:eastAsia="黑体" w:cs="黑体"/>
              </w:rPr>
            </w:pPr>
            <w:r>
              <w:rPr>
                <w:rFonts w:hint="eastAsia" w:ascii="黑体" w:hAnsi="黑体" w:eastAsia="黑体" w:cs="黑体"/>
              </w:rPr>
              <w:t>敏感度约70%—80%</w:t>
            </w:r>
          </w:p>
        </w:tc>
        <w:tc>
          <w:p w14:paraId="182FBCE1">
            <w:pPr>
              <w:jc w:val="center"/>
              <w:rPr>
                <w:rFonts w:hint="eastAsia" w:ascii="黑体" w:hAnsi="黑体" w:eastAsia="黑体" w:cs="黑体"/>
              </w:rPr>
            </w:pPr>
            <w:r>
              <w:rPr>
                <w:rFonts w:hint="eastAsia" w:ascii="黑体" w:hAnsi="黑体" w:eastAsia="黑体" w:cs="黑体"/>
              </w:rPr>
              <w:t>敏感度、特异性均&gt;90%</w:t>
            </w:r>
          </w:p>
        </w:tc>
        <w:tc>
          <w:p w14:paraId="2FB322D2">
            <w:pPr>
              <w:jc w:val="center"/>
              <w:rPr>
                <w:rFonts w:hint="eastAsia" w:ascii="黑体" w:hAnsi="黑体" w:eastAsia="黑体" w:cs="黑体"/>
              </w:rPr>
            </w:pPr>
            <w:r>
              <w:rPr>
                <w:rFonts w:hint="eastAsia" w:ascii="黑体" w:hAnsi="黑体" w:eastAsia="黑体" w:cs="黑体"/>
              </w:rPr>
              <w:t>显著提升</w:t>
            </w:r>
          </w:p>
        </w:tc>
      </w:tr>
      <w:tr w14:paraId="2ABA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E7E45D">
            <w:pPr>
              <w:jc w:val="center"/>
              <w:rPr>
                <w:rFonts w:hint="eastAsia" w:ascii="黑体" w:hAnsi="黑体" w:eastAsia="黑体" w:cs="黑体"/>
              </w:rPr>
            </w:pPr>
            <w:r>
              <w:rPr>
                <w:rFonts w:hint="eastAsia" w:ascii="黑体" w:hAnsi="黑体" w:eastAsia="黑体" w:cs="黑体"/>
              </w:rPr>
              <w:t>阳性检出率</w:t>
            </w:r>
          </w:p>
        </w:tc>
        <w:tc>
          <w:p w14:paraId="029037AF">
            <w:pPr>
              <w:jc w:val="center"/>
              <w:rPr>
                <w:rFonts w:hint="eastAsia" w:ascii="黑体" w:hAnsi="黑体" w:eastAsia="黑体" w:cs="黑体"/>
              </w:rPr>
            </w:pPr>
            <w:r>
              <w:rPr>
                <w:rFonts w:hint="eastAsia" w:ascii="黑体" w:hAnsi="黑体" w:eastAsia="黑体" w:cs="黑体"/>
              </w:rPr>
              <w:t>约3%</w:t>
            </w:r>
          </w:p>
        </w:tc>
        <w:tc>
          <w:p w14:paraId="4715CF1B">
            <w:pPr>
              <w:jc w:val="center"/>
              <w:rPr>
                <w:rFonts w:hint="eastAsia" w:ascii="黑体" w:hAnsi="黑体" w:eastAsia="黑体" w:cs="黑体"/>
              </w:rPr>
            </w:pPr>
            <w:r>
              <w:rPr>
                <w:rFonts w:hint="eastAsia" w:ascii="黑体" w:hAnsi="黑体" w:eastAsia="黑体" w:cs="黑体"/>
              </w:rPr>
              <w:t>5.6%</w:t>
            </w:r>
          </w:p>
        </w:tc>
        <w:tc>
          <w:p w14:paraId="403518D5">
            <w:pPr>
              <w:jc w:val="center"/>
              <w:rPr>
                <w:rFonts w:hint="eastAsia" w:ascii="黑体" w:hAnsi="黑体" w:eastAsia="黑体" w:cs="黑体"/>
              </w:rPr>
            </w:pPr>
            <w:r>
              <w:rPr>
                <w:rFonts w:hint="eastAsia" w:ascii="黑体" w:hAnsi="黑体" w:eastAsia="黑体" w:cs="黑体"/>
              </w:rPr>
              <w:t>+86.7%</w:t>
            </w:r>
          </w:p>
        </w:tc>
      </w:tr>
      <w:tr w14:paraId="606C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F5CDE3">
            <w:pPr>
              <w:jc w:val="center"/>
              <w:rPr>
                <w:rFonts w:hint="eastAsia" w:ascii="黑体" w:hAnsi="黑体" w:eastAsia="黑体" w:cs="黑体"/>
              </w:rPr>
            </w:pPr>
            <w:r>
              <w:rPr>
                <w:rFonts w:hint="eastAsia" w:ascii="黑体" w:hAnsi="黑体" w:eastAsia="黑体" w:cs="黑体"/>
              </w:rPr>
              <w:t>检验成本</w:t>
            </w:r>
          </w:p>
        </w:tc>
        <w:tc>
          <w:p w14:paraId="2A7D6B91">
            <w:pPr>
              <w:jc w:val="center"/>
              <w:rPr>
                <w:rFonts w:hint="eastAsia" w:ascii="黑体" w:hAnsi="黑体" w:eastAsia="黑体" w:cs="黑体"/>
              </w:rPr>
            </w:pPr>
            <w:r>
              <w:rPr>
                <w:rFonts w:hint="eastAsia" w:ascii="黑体" w:hAnsi="黑体" w:eastAsia="黑体" w:cs="黑体"/>
              </w:rPr>
              <w:t>高（需常驻病理医生）</w:t>
            </w:r>
          </w:p>
        </w:tc>
        <w:tc>
          <w:p w14:paraId="7A3C9A89">
            <w:pPr>
              <w:jc w:val="center"/>
              <w:rPr>
                <w:rFonts w:hint="eastAsia" w:ascii="黑体" w:hAnsi="黑体" w:eastAsia="黑体" w:cs="黑体"/>
              </w:rPr>
            </w:pPr>
            <w:r>
              <w:rPr>
                <w:rFonts w:hint="eastAsia" w:ascii="黑体" w:hAnsi="黑体" w:eastAsia="黑体" w:cs="黑体"/>
              </w:rPr>
              <w:t>降低约100倍</w:t>
            </w:r>
          </w:p>
        </w:tc>
        <w:tc>
          <w:p w14:paraId="755B6EB1">
            <w:pPr>
              <w:jc w:val="center"/>
              <w:rPr>
                <w:rFonts w:hint="eastAsia" w:ascii="黑体" w:hAnsi="黑体" w:eastAsia="黑体" w:cs="黑体"/>
              </w:rPr>
            </w:pPr>
            <w:r>
              <w:rPr>
                <w:rFonts w:hint="eastAsia" w:ascii="黑体" w:hAnsi="黑体" w:eastAsia="黑体" w:cs="黑体"/>
              </w:rPr>
              <w:t>~100倍</w:t>
            </w:r>
          </w:p>
        </w:tc>
      </w:tr>
      <w:tr w14:paraId="3AD8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97F727">
            <w:pPr>
              <w:jc w:val="center"/>
              <w:rPr>
                <w:rFonts w:hint="eastAsia" w:ascii="黑体" w:hAnsi="黑体" w:eastAsia="黑体" w:cs="黑体"/>
              </w:rPr>
            </w:pPr>
            <w:r>
              <w:rPr>
                <w:rFonts w:hint="eastAsia" w:ascii="黑体" w:hAnsi="黑体" w:eastAsia="黑体" w:cs="黑体"/>
              </w:rPr>
              <w:t>覆盖范围</w:t>
            </w:r>
          </w:p>
        </w:tc>
        <w:tc>
          <w:p w14:paraId="0581D2DC">
            <w:pPr>
              <w:jc w:val="center"/>
              <w:rPr>
                <w:rFonts w:hint="eastAsia" w:ascii="黑体" w:hAnsi="黑体" w:eastAsia="黑体" w:cs="黑体"/>
              </w:rPr>
            </w:pPr>
            <w:r>
              <w:rPr>
                <w:rFonts w:hint="eastAsia" w:ascii="黑体" w:hAnsi="黑体" w:eastAsia="黑体" w:cs="黑体"/>
              </w:rPr>
              <w:t>限于有病理科的大中型医院</w:t>
            </w:r>
          </w:p>
        </w:tc>
        <w:tc>
          <w:p w14:paraId="7CC71DEF">
            <w:pPr>
              <w:jc w:val="center"/>
              <w:rPr>
                <w:rFonts w:hint="eastAsia" w:ascii="黑体" w:hAnsi="黑体" w:eastAsia="黑体" w:cs="黑体"/>
              </w:rPr>
            </w:pPr>
            <w:r>
              <w:rPr>
                <w:rFonts w:hint="eastAsia" w:ascii="黑体" w:hAnsi="黑体" w:eastAsia="黑体" w:cs="黑体"/>
              </w:rPr>
              <w:t>全国2000+机构、31省市</w:t>
            </w:r>
          </w:p>
        </w:tc>
        <w:tc>
          <w:p w14:paraId="2D9AAE71">
            <w:pPr>
              <w:jc w:val="center"/>
              <w:rPr>
                <w:rFonts w:hint="eastAsia" w:ascii="黑体" w:hAnsi="黑体" w:eastAsia="黑体" w:cs="黑体"/>
              </w:rPr>
            </w:pPr>
            <w:r>
              <w:rPr>
                <w:rFonts w:hint="eastAsia" w:ascii="黑体" w:hAnsi="黑体" w:eastAsia="黑体" w:cs="黑体"/>
              </w:rPr>
              <w:t>全域覆盖</w:t>
            </w:r>
          </w:p>
        </w:tc>
      </w:tr>
      <w:tr w14:paraId="3D94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F237C6">
            <w:pPr>
              <w:jc w:val="center"/>
              <w:rPr>
                <w:rFonts w:hint="eastAsia" w:ascii="黑体" w:hAnsi="黑体" w:eastAsia="黑体" w:cs="黑体"/>
              </w:rPr>
            </w:pPr>
            <w:r>
              <w:rPr>
                <w:rFonts w:hint="eastAsia" w:ascii="黑体" w:hAnsi="黑体" w:eastAsia="黑体" w:cs="黑体"/>
              </w:rPr>
              <w:t>专家依赖度</w:t>
            </w:r>
          </w:p>
        </w:tc>
        <w:tc>
          <w:p w14:paraId="581541D3">
            <w:pPr>
              <w:jc w:val="center"/>
              <w:rPr>
                <w:rFonts w:hint="eastAsia" w:ascii="黑体" w:hAnsi="黑体" w:eastAsia="黑体" w:cs="黑体"/>
              </w:rPr>
            </w:pPr>
            <w:r>
              <w:rPr>
                <w:rFonts w:hint="eastAsia" w:ascii="黑体" w:hAnsi="黑体" w:eastAsia="黑体" w:cs="黑体"/>
              </w:rPr>
              <w:t>全部依赖人工阅片</w:t>
            </w:r>
          </w:p>
        </w:tc>
        <w:tc>
          <w:p w14:paraId="58E75CCA">
            <w:pPr>
              <w:jc w:val="center"/>
              <w:rPr>
                <w:rFonts w:hint="eastAsia" w:ascii="黑体" w:hAnsi="黑体" w:eastAsia="黑体" w:cs="黑体"/>
              </w:rPr>
            </w:pPr>
            <w:r>
              <w:rPr>
                <w:rFonts w:hint="eastAsia" w:ascii="黑体" w:hAnsi="黑体" w:eastAsia="黑体" w:cs="黑体"/>
              </w:rPr>
              <w:t>AI初筛+专家复核关键样本</w:t>
            </w:r>
          </w:p>
        </w:tc>
        <w:tc>
          <w:p w14:paraId="3E33F45D">
            <w:pPr>
              <w:jc w:val="center"/>
              <w:rPr>
                <w:rFonts w:hint="eastAsia" w:ascii="黑体" w:hAnsi="黑体" w:eastAsia="黑体" w:cs="黑体"/>
              </w:rPr>
            </w:pPr>
            <w:r>
              <w:rPr>
                <w:rFonts w:hint="eastAsia" w:ascii="黑体" w:hAnsi="黑体" w:eastAsia="黑体" w:cs="黑体"/>
              </w:rPr>
              <w:t>人力解放80%—90%</w:t>
            </w:r>
          </w:p>
        </w:tc>
      </w:tr>
    </w:tbl>
    <w:p w14:paraId="4F00F055">
      <w:pPr>
        <w:spacing w:before="240"/>
        <w:jc w:val="center"/>
        <w:rPr>
          <w:rFonts w:hint="eastAsia" w:eastAsiaTheme="minorEastAsia"/>
          <w:lang w:eastAsia="zh-CN"/>
        </w:rPr>
      </w:pPr>
      <w:r>
        <w:rPr>
          <w:rFonts w:hint="eastAsia" w:eastAsiaTheme="minorEastAsia"/>
          <w:lang w:eastAsia="zh-CN"/>
        </w:rPr>
        <w:drawing>
          <wp:inline distT="0" distB="0" distL="114300" distR="114300">
            <wp:extent cx="5726430" cy="3389630"/>
            <wp:effectExtent l="0" t="0" r="7620" b="1270"/>
            <wp:docPr id="9" name="图片 9" descr="b95b1962cd231380e702431b97ad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95b1962cd231380e702431b97ad1008"/>
                    <pic:cNvPicPr>
                      <a:picLocks noChangeAspect="1"/>
                    </pic:cNvPicPr>
                  </pic:nvPicPr>
                  <pic:blipFill>
                    <a:blip r:embed="rId9"/>
                    <a:stretch>
                      <a:fillRect/>
                    </a:stretch>
                  </pic:blipFill>
                  <pic:spPr>
                    <a:xfrm>
                      <a:off x="0" y="0"/>
                      <a:ext cx="5726430" cy="3389630"/>
                    </a:xfrm>
                    <a:prstGeom prst="rect">
                      <a:avLst/>
                    </a:prstGeom>
                  </pic:spPr>
                </pic:pic>
              </a:graphicData>
            </a:graphic>
          </wp:inline>
        </w:drawing>
      </w:r>
    </w:p>
    <w:p w14:paraId="75569ACF">
      <w:pPr>
        <w:pStyle w:val="8"/>
        <w:spacing w:before="240"/>
        <w:jc w:val="center"/>
        <w:rPr>
          <w:rFonts w:hint="eastAsia" w:eastAsiaTheme="minor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AI驱动筛查增量成本 - 效果对比</w:t>
      </w:r>
    </w:p>
    <w:p w14:paraId="797A120C">
      <w:pPr>
        <w:pStyle w:val="4"/>
        <w:spacing w:after="200"/>
        <w:jc w:val="left"/>
      </w:pPr>
      <w:bookmarkStart w:id="19" w:name="_Toc3615"/>
      <w:r>
        <w:t>5.2 重点应用场景</w:t>
      </w:r>
      <w:bookmarkEnd w:id="19"/>
    </w:p>
    <w:p w14:paraId="28E35C27">
      <w:pPr>
        <w:spacing w:after="120"/>
        <w:ind w:firstLine="500" w:firstLineChars="0"/>
        <w:jc w:val="left"/>
        <w:rPr>
          <w:rFonts w:hint="eastAsia" w:ascii="黑体" w:hAnsi="黑体" w:eastAsia="黑体" w:cs="黑体"/>
        </w:rPr>
      </w:pPr>
      <w:r>
        <w:rPr>
          <w:rFonts w:hint="eastAsia" w:ascii="黑体" w:hAnsi="黑体" w:eastAsia="黑体" w:cs="黑体"/>
          <w:b/>
          <w:bCs/>
        </w:rPr>
        <w:t>农村与边疆地区</w:t>
      </w:r>
      <w:r>
        <w:rPr>
          <w:rFonts w:hint="eastAsia" w:ascii="黑体" w:hAnsi="黑体" w:eastAsia="黑体" w:cs="黑体"/>
        </w:rPr>
        <w:t>：AIoT平台的最大价值在于赋能医疗资源薄弱地区。兰丁已推出"移动筛查车"方案——将扫描设备集成于移动车辆中，深入偏远乡村进行现场采样和数字化，通过5G网络实时上传至云端AI诊断。这种"信息多跑路、群众少跑路"的模式，有效解决了农村地区"最后一公里"的筛查瓶颈。</w:t>
      </w:r>
    </w:p>
    <w:p w14:paraId="3D9B5836">
      <w:pPr>
        <w:spacing w:after="120"/>
        <w:ind w:firstLine="500" w:firstLineChars="0"/>
        <w:jc w:val="center"/>
      </w:pPr>
      <w:r>
        <w:drawing>
          <wp:inline distT="0" distB="0" distL="114300" distR="114300">
            <wp:extent cx="3632200" cy="2392680"/>
            <wp:effectExtent l="0" t="0" r="6350" b="762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0"/>
                    <a:stretch>
                      <a:fillRect/>
                    </a:stretch>
                  </pic:blipFill>
                  <pic:spPr>
                    <a:xfrm>
                      <a:off x="0" y="0"/>
                      <a:ext cx="3632200" cy="2392680"/>
                    </a:xfrm>
                    <a:prstGeom prst="rect">
                      <a:avLst/>
                    </a:prstGeom>
                    <a:noFill/>
                    <a:ln w="9525">
                      <a:noFill/>
                    </a:ln>
                  </pic:spPr>
                </pic:pic>
              </a:graphicData>
            </a:graphic>
          </wp:inline>
        </w:drawing>
      </w:r>
    </w:p>
    <w:p w14:paraId="61BACC64">
      <w:pPr>
        <w:pStyle w:val="8"/>
        <w:spacing w:after="120"/>
        <w:ind w:firstLine="500" w:firstLineChars="0"/>
        <w:jc w:val="center"/>
        <w:rPr>
          <w:rFonts w:hint="eastAsia" w:eastAsiaTheme="minor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移动筛查车</w:t>
      </w:r>
    </w:p>
    <w:p w14:paraId="6EB40547">
      <w:pPr>
        <w:spacing w:after="120"/>
        <w:ind w:firstLine="500" w:firstLineChars="0"/>
        <w:jc w:val="left"/>
        <w:rPr>
          <w:rFonts w:hint="eastAsia" w:ascii="黑体" w:hAnsi="黑体" w:eastAsia="黑体" w:cs="黑体"/>
        </w:rPr>
      </w:pPr>
      <w:r>
        <w:rPr>
          <w:rFonts w:hint="eastAsia" w:ascii="黑体" w:hAnsi="黑体" w:eastAsia="黑体" w:cs="黑体"/>
          <w:b/>
          <w:bCs/>
        </w:rPr>
        <w:t>职工体检与商业保险</w:t>
      </w:r>
      <w:r>
        <w:rPr>
          <w:rFonts w:hint="eastAsia" w:ascii="黑体" w:hAnsi="黑体" w:eastAsia="黑体" w:cs="黑体"/>
        </w:rPr>
        <w:t>：将AI宫颈癌筛查作为高附加值体检项目纳入职工体检套餐，既可提升早期发现率，也可为保险公司提供精算数据支持，形成"筛查—保险—健康管理"的闭环生态。</w:t>
      </w:r>
    </w:p>
    <w:p w14:paraId="12A25157">
      <w:pPr>
        <w:spacing w:after="120"/>
        <w:ind w:firstLine="500" w:firstLineChars="0"/>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4021455" cy="2264410"/>
            <wp:effectExtent l="0" t="0" r="17145" b="2540"/>
            <wp:docPr id="7" name="图片 7" descr="图5-实验室工作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5-实验室工作场景"/>
                    <pic:cNvPicPr>
                      <a:picLocks noChangeAspect="1"/>
                    </pic:cNvPicPr>
                  </pic:nvPicPr>
                  <pic:blipFill>
                    <a:blip r:embed="rId11"/>
                    <a:stretch>
                      <a:fillRect/>
                    </a:stretch>
                  </pic:blipFill>
                  <pic:spPr>
                    <a:xfrm>
                      <a:off x="0" y="0"/>
                      <a:ext cx="4021455" cy="2264410"/>
                    </a:xfrm>
                    <a:prstGeom prst="rect">
                      <a:avLst/>
                    </a:prstGeom>
                  </pic:spPr>
                </pic:pic>
              </a:graphicData>
            </a:graphic>
          </wp:inline>
        </w:drawing>
      </w:r>
    </w:p>
    <w:p w14:paraId="749DEEA8">
      <w:pPr>
        <w:pStyle w:val="8"/>
        <w:spacing w:after="120"/>
        <w:ind w:firstLine="500" w:firstLineChars="0"/>
        <w:jc w:val="center"/>
        <w:rPr>
          <w:rFonts w:hint="default" w:ascii="黑体" w:hAnsi="黑体" w:cs="黑体" w:eastAsiaTheme="minorEastAsia"/>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w:t>
      </w:r>
      <w:r>
        <w:rPr>
          <w:rFonts w:hint="eastAsia"/>
          <w:lang w:val="en-US" w:eastAsia="zh-CN"/>
        </w:rPr>
        <w:t>职工体检情景</w:t>
      </w:r>
    </w:p>
    <w:p w14:paraId="3F288D51">
      <w:pPr>
        <w:spacing w:after="120"/>
        <w:ind w:firstLine="500" w:firstLineChars="0"/>
        <w:jc w:val="left"/>
        <w:rPr>
          <w:rFonts w:hint="eastAsia" w:ascii="黑体" w:hAnsi="黑体" w:eastAsia="黑体" w:cs="黑体"/>
        </w:rPr>
      </w:pPr>
      <w:r>
        <w:rPr>
          <w:rFonts w:hint="eastAsia" w:ascii="黑体" w:hAnsi="黑体" w:eastAsia="黑体" w:cs="黑体"/>
          <w:b/>
          <w:bCs/>
        </w:rPr>
        <w:t>"一带一路"国际输出</w:t>
      </w:r>
      <w:r>
        <w:rPr>
          <w:rFonts w:hint="eastAsia" w:ascii="黑体" w:hAnsi="黑体" w:eastAsia="黑体" w:cs="黑体"/>
        </w:rPr>
        <w:t>：兰丁已与印度尼西亚、巴基斯坦、巴西、肯尼亚、摩洛哥等近20个国家开展合作，在部分国家建立了AI数字病理实验室</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_Ref23731 \r \h </w:instrText>
      </w:r>
      <w:r>
        <w:rPr>
          <w:rFonts w:hint="eastAsia" w:ascii="黑体" w:hAnsi="黑体" w:eastAsia="黑体" w:cs="黑体"/>
          <w:sz w:val="16"/>
          <w:szCs w:val="16"/>
        </w:rPr>
        <w:fldChar w:fldCharType="separate"/>
      </w:r>
      <w:r>
        <w:rPr>
          <w:rFonts w:hint="eastAsia" w:ascii="黑体" w:hAnsi="黑体" w:eastAsia="黑体" w:cs="黑体"/>
          <w:sz w:val="16"/>
          <w:szCs w:val="16"/>
        </w:rPr>
        <w:t>[5]</w:t>
      </w:r>
      <w:r>
        <w:rPr>
          <w:rFonts w:hint="eastAsia" w:ascii="黑体" w:hAnsi="黑体" w:eastAsia="黑体" w:cs="黑体"/>
          <w:sz w:val="16"/>
          <w:szCs w:val="16"/>
        </w:rPr>
        <w:fldChar w:fldCharType="end"/>
      </w:r>
      <w:r>
        <w:rPr>
          <w:rFonts w:hint="eastAsia" w:ascii="黑体" w:hAnsi="黑体" w:eastAsia="黑体" w:cs="黑体"/>
        </w:rPr>
        <w:t>。对于同样面临病理医生严重短缺的发展中国家，这一"中国方案"具有重要的推广价值和示范意义。</w:t>
      </w:r>
    </w:p>
    <w:p w14:paraId="24CFA394">
      <w:pPr>
        <w:pStyle w:val="13"/>
        <w:keepNext w:val="0"/>
        <w:keepLines w:val="0"/>
        <w:widowControl/>
        <w:suppressLineNumbers w:val="0"/>
        <w:jc w:val="center"/>
      </w:pPr>
      <w:r>
        <w:drawing>
          <wp:inline distT="0" distB="0" distL="114300" distR="114300">
            <wp:extent cx="3834130" cy="2878455"/>
            <wp:effectExtent l="0" t="0" r="13970" b="17145"/>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2"/>
                    <a:stretch>
                      <a:fillRect/>
                    </a:stretch>
                  </pic:blipFill>
                  <pic:spPr>
                    <a:xfrm>
                      <a:off x="0" y="0"/>
                      <a:ext cx="3834130" cy="2878455"/>
                    </a:xfrm>
                    <a:prstGeom prst="rect">
                      <a:avLst/>
                    </a:prstGeom>
                    <a:noFill/>
                    <a:ln w="9525">
                      <a:noFill/>
                    </a:ln>
                  </pic:spPr>
                </pic:pic>
              </a:graphicData>
            </a:graphic>
          </wp:inline>
        </w:drawing>
      </w:r>
    </w:p>
    <w:p w14:paraId="38CCAD71">
      <w:pPr>
        <w:pStyle w:val="8"/>
        <w:keepNext w:val="0"/>
        <w:keepLines w:val="0"/>
        <w:widowControl/>
        <w:suppressLineNumbers w:val="0"/>
        <w:jc w:val="center"/>
        <w:rPr>
          <w:rFonts w:hint="default" w:eastAsiaTheme="minorEastAsia"/>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w:t>
      </w:r>
      <w:r>
        <w:rPr>
          <w:rFonts w:hint="eastAsia"/>
          <w:lang w:val="en-US" w:eastAsia="zh-CN"/>
        </w:rPr>
        <w:t>国际合作签约</w:t>
      </w:r>
    </w:p>
    <w:p w14:paraId="1BF14177">
      <w:pPr>
        <w:pStyle w:val="13"/>
        <w:keepNext w:val="0"/>
        <w:keepLines w:val="0"/>
        <w:widowControl/>
        <w:suppressLineNumbers w:val="0"/>
        <w:jc w:val="center"/>
      </w:pPr>
    </w:p>
    <w:p w14:paraId="1685C4BA">
      <w:pPr>
        <w:spacing w:after="120"/>
        <w:jc w:val="left"/>
        <w:rPr>
          <w:rFonts w:hint="eastAsia" w:ascii="黑体" w:hAnsi="黑体" w:eastAsia="黑体" w:cs="黑体"/>
        </w:rPr>
      </w:pPr>
    </w:p>
    <w:p w14:paraId="0015DC93">
      <w:pPr>
        <w:pStyle w:val="4"/>
        <w:spacing w:after="200"/>
        <w:jc w:val="left"/>
      </w:pPr>
      <w:bookmarkStart w:id="20" w:name="_Toc30816"/>
      <w:r>
        <w:t>5.3 平台商业模式</w:t>
      </w:r>
      <w:bookmarkEnd w:id="20"/>
    </w:p>
    <w:p w14:paraId="53195443">
      <w:pPr>
        <w:spacing w:after="120"/>
        <w:jc w:val="left"/>
        <w:rPr>
          <w:rFonts w:hint="eastAsia" w:ascii="黑体" w:hAnsi="黑体" w:eastAsia="黑体" w:cs="黑体"/>
        </w:rPr>
      </w:pPr>
      <w:r>
        <w:rPr>
          <w:rFonts w:hint="eastAsia" w:ascii="黑体" w:hAnsi="黑体" w:eastAsia="黑体" w:cs="黑体"/>
        </w:rPr>
        <w:t>兰丁AIoT云平台采用典型的互联网平台商业模式：</w:t>
      </w:r>
    </w:p>
    <w:p w14:paraId="29BD67AE">
      <w:pPr>
        <w:spacing w:after="200"/>
        <w:rPr>
          <w:rFonts w:hint="eastAsia" w:ascii="黑体" w:hAnsi="黑体" w:eastAsia="黑体" w:cs="黑体"/>
        </w:rPr>
      </w:pPr>
      <w:r>
        <w:rPr>
          <w:rFonts w:hint="eastAsia" w:ascii="黑体" w:hAnsi="黑体" w:eastAsia="黑体" w:cs="黑体"/>
        </w:rPr>
        <w:t xml:space="preserve"> </w:t>
      </w:r>
    </w:p>
    <w:p w14:paraId="58E23966">
      <w:pPr>
        <w:spacing w:after="120"/>
        <w:ind w:firstLine="500" w:firstLineChars="0"/>
        <w:jc w:val="left"/>
        <w:rPr>
          <w:rFonts w:hint="eastAsia" w:ascii="黑体" w:hAnsi="黑体" w:eastAsia="黑体" w:cs="黑体"/>
        </w:rPr>
      </w:pPr>
      <w:r>
        <w:rPr>
          <w:rFonts w:hint="eastAsia" w:ascii="黑体" w:hAnsi="黑体" w:eastAsia="黑体" w:cs="黑体"/>
          <w:b/>
          <w:bCs/>
        </w:rPr>
        <w:t>SaaS模式</w:t>
      </w:r>
      <w:r>
        <w:rPr>
          <w:rFonts w:hint="eastAsia" w:ascii="黑体" w:hAnsi="黑体" w:eastAsia="黑体" w:cs="黑体"/>
        </w:rPr>
        <w:t>：按筛查例数收取服务费，基层医疗机构无需一次性投入巨额资金建设病理科，有效降低了技术使用门槛。这一模式契合了"低成本、广覆盖"的公共卫生需求。以湖北省为例，2022—2024年省级财政投入5.95亿元，完成了616万例筛查，相当于每例仅需约96元，而传统模式下同等规模的筛查成本预计高出数十倍。</w:t>
      </w:r>
    </w:p>
    <w:p w14:paraId="13EBC8B8">
      <w:pPr>
        <w:spacing w:after="200"/>
      </w:pPr>
      <w:r>
        <w:rPr>
          <w:rFonts w:hint="eastAsia" w:ascii="黑体" w:hAnsi="黑体" w:eastAsia="黑体" w:cs="黑体"/>
        </w:rPr>
        <w:t xml:space="preserve"> </w:t>
      </w:r>
    </w:p>
    <w:p w14:paraId="2C6A0422">
      <w:pPr>
        <w:pStyle w:val="3"/>
        <w:spacing w:after="200"/>
        <w:jc w:val="left"/>
      </w:pPr>
      <w:bookmarkStart w:id="21" w:name="_Toc8354"/>
      <w:r>
        <w:t>6 存在不足与对策</w:t>
      </w:r>
      <w:bookmarkEnd w:id="21"/>
    </w:p>
    <w:p w14:paraId="4AEC6910">
      <w:pPr>
        <w:pStyle w:val="4"/>
        <w:spacing w:after="200"/>
        <w:jc w:val="left"/>
      </w:pPr>
      <w:bookmarkStart w:id="22" w:name="_Toc20797"/>
      <w:r>
        <w:t>6.1 AI模型"黑箱"与可解释性不足</w:t>
      </w:r>
      <w:bookmarkEnd w:id="22"/>
    </w:p>
    <w:p w14:paraId="784696BE">
      <w:pPr>
        <w:spacing w:after="120"/>
        <w:ind w:firstLine="500" w:firstLineChars="0"/>
        <w:jc w:val="left"/>
        <w:rPr>
          <w:rFonts w:hint="eastAsia" w:ascii="黑体" w:hAnsi="黑体" w:eastAsia="黑体" w:cs="黑体"/>
        </w:rPr>
      </w:pPr>
      <w:r>
        <w:rPr>
          <w:rFonts w:hint="eastAsia" w:ascii="黑体" w:hAnsi="黑体" w:eastAsia="黑体" w:cs="黑体"/>
        </w:rPr>
        <w:t>深度学习模型通常被认为是"黑箱"系统，其决策过程缺乏透明度和可解释性，这在医疗诊断领域尤为敏感——临床医生难以仅凭一个分类结果就做出治疗决策，需要理解AI"为什么"得出这一结论。</w:t>
      </w:r>
    </w:p>
    <w:p w14:paraId="262E892B">
      <w:pPr>
        <w:spacing w:after="200"/>
        <w:rPr>
          <w:rFonts w:hint="eastAsia" w:ascii="黑体" w:hAnsi="黑体" w:eastAsia="黑体" w:cs="黑体"/>
        </w:rPr>
      </w:pPr>
    </w:p>
    <w:p w14:paraId="426F9099">
      <w:pPr>
        <w:spacing w:after="120"/>
        <w:ind w:firstLine="500" w:firstLineChars="0"/>
        <w:jc w:val="left"/>
        <w:rPr>
          <w:rFonts w:hint="eastAsia" w:ascii="黑体" w:hAnsi="黑体" w:eastAsia="黑体" w:cs="黑体"/>
        </w:rPr>
      </w:pPr>
      <w:r>
        <w:rPr>
          <w:rFonts w:hint="eastAsia" w:ascii="黑体" w:hAnsi="黑体" w:eastAsia="黑体" w:cs="黑体"/>
          <w:b/>
          <w:bCs/>
        </w:rPr>
        <w:t>对策</w:t>
      </w:r>
      <w:r>
        <w:rPr>
          <w:rFonts w:hint="eastAsia" w:ascii="黑体" w:hAnsi="黑体" w:eastAsia="黑体" w:cs="黑体"/>
        </w:rPr>
        <w:t>：</w:t>
      </w:r>
      <w:r>
        <w:rPr>
          <w:rFonts w:hint="eastAsia" w:ascii="黑体" w:hAnsi="黑体" w:eastAsia="黑体" w:cs="黑体"/>
          <w:lang w:val="en-US" w:eastAsia="zh-CN"/>
        </w:rPr>
        <w:t>可以</w:t>
      </w:r>
      <w:r>
        <w:rPr>
          <w:rFonts w:hint="eastAsia" w:ascii="黑体" w:hAnsi="黑体" w:eastAsia="黑体" w:cs="黑体"/>
        </w:rPr>
        <w:t>引入Grad-CAM等注意力可视化技术</w:t>
      </w:r>
      <w:r>
        <w:rPr>
          <w:rFonts w:hint="eastAsia" w:ascii="黑体" w:hAnsi="黑体" w:eastAsia="黑体" w:cs="黑体"/>
          <w:sz w:val="16"/>
          <w:szCs w:val="16"/>
        </w:rPr>
        <w:t>[16]</w:t>
      </w:r>
      <w:r>
        <w:rPr>
          <w:rFonts w:hint="eastAsia" w:ascii="黑体" w:hAnsi="黑体" w:eastAsia="黑体" w:cs="黑体"/>
        </w:rPr>
        <w:t>，在诊断报告中标注可疑区域的细胞级热力图，让病理专家直观看到AI的判断依据。同时，行业应加快建立AI病理诊断的"金标准"评价体系和认证规范，为AI诊断结果提供权威性背书。</w:t>
      </w:r>
    </w:p>
    <w:p w14:paraId="52065386">
      <w:pPr>
        <w:spacing w:after="200"/>
      </w:pPr>
      <w:r>
        <w:t xml:space="preserve"> </w:t>
      </w:r>
    </w:p>
    <w:p w14:paraId="06D333F8">
      <w:pPr>
        <w:pStyle w:val="4"/>
        <w:spacing w:after="200"/>
        <w:jc w:val="left"/>
      </w:pPr>
      <w:bookmarkStart w:id="23" w:name="_Toc26616"/>
      <w:r>
        <w:t>6.2 数据隐私与中心化训练风险</w:t>
      </w:r>
      <w:bookmarkEnd w:id="23"/>
    </w:p>
    <w:p w14:paraId="710BCDF7">
      <w:pPr>
        <w:spacing w:after="120"/>
        <w:ind w:firstLine="500" w:firstLineChars="0"/>
        <w:jc w:val="left"/>
        <w:rPr>
          <w:rFonts w:hint="eastAsia" w:ascii="黑体" w:hAnsi="黑体" w:eastAsia="黑体" w:cs="黑体"/>
        </w:rPr>
      </w:pPr>
      <w:r>
        <w:rPr>
          <w:rFonts w:hint="eastAsia" w:ascii="黑体" w:hAnsi="黑体" w:eastAsia="黑体" w:cs="黑体"/>
        </w:rPr>
        <w:t>兰丁平台采用中心化云架构，所有数字切片的诊断均在云端完成。虽然网络传输采用加密协议，但患者敏感医疗数据集中在云端服务器，面临数据泄露、未授权访问等安全隐患。同时，中心化训练要求各机构将原始数据上传至中央服务器，在数据安全和隐私保护法规日益严格的背景下，这一模式面临合规性挑战</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_Ref24322 \r \h </w:instrText>
      </w:r>
      <w:r>
        <w:rPr>
          <w:rFonts w:hint="eastAsia" w:ascii="黑体" w:hAnsi="黑体" w:eastAsia="黑体" w:cs="黑体"/>
          <w:sz w:val="16"/>
          <w:szCs w:val="16"/>
        </w:rPr>
        <w:fldChar w:fldCharType="separate"/>
      </w:r>
      <w:r>
        <w:rPr>
          <w:rFonts w:hint="eastAsia" w:ascii="黑体" w:hAnsi="黑体" w:eastAsia="黑体" w:cs="黑体"/>
          <w:sz w:val="16"/>
          <w:szCs w:val="16"/>
        </w:rPr>
        <w:t>[17]</w:t>
      </w:r>
      <w:r>
        <w:rPr>
          <w:rFonts w:hint="eastAsia" w:ascii="黑体" w:hAnsi="黑体" w:eastAsia="黑体" w:cs="黑体"/>
          <w:sz w:val="16"/>
          <w:szCs w:val="16"/>
        </w:rPr>
        <w:fldChar w:fldCharType="end"/>
      </w:r>
      <w:r>
        <w:rPr>
          <w:rFonts w:hint="eastAsia" w:ascii="黑体" w:hAnsi="黑体" w:eastAsia="黑体" w:cs="黑体"/>
        </w:rPr>
        <w:t>。</w:t>
      </w:r>
    </w:p>
    <w:p w14:paraId="1658F4AB">
      <w:pPr>
        <w:spacing w:after="120"/>
        <w:ind w:firstLine="500" w:firstLineChars="0"/>
        <w:jc w:val="left"/>
        <w:rPr>
          <w:rFonts w:hint="eastAsia" w:ascii="黑体" w:hAnsi="黑体" w:eastAsia="黑体" w:cs="黑体"/>
        </w:rPr>
      </w:pPr>
    </w:p>
    <w:p w14:paraId="624C8B4C">
      <w:pPr>
        <w:spacing w:after="120"/>
        <w:ind w:firstLine="500" w:firstLineChars="0"/>
        <w:jc w:val="left"/>
        <w:rPr>
          <w:rFonts w:hint="eastAsia" w:ascii="黑体" w:hAnsi="黑体" w:eastAsia="黑体" w:cs="黑体"/>
        </w:rPr>
      </w:pPr>
      <w:r>
        <w:rPr>
          <w:rFonts w:hint="eastAsia" w:ascii="黑体" w:hAnsi="黑体" w:eastAsia="黑体" w:cs="黑体"/>
          <w:b/>
          <w:bCs/>
        </w:rPr>
        <w:t>对策</w:t>
      </w:r>
      <w:r>
        <w:rPr>
          <w:rFonts w:hint="eastAsia" w:ascii="黑体" w:hAnsi="黑体" w:eastAsia="黑体" w:cs="黑体"/>
        </w:rPr>
        <w:t>：探索引入联邦学习（Federated Learning）框架</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_Ref24358 \r \h </w:instrText>
      </w:r>
      <w:r>
        <w:rPr>
          <w:rFonts w:hint="eastAsia" w:ascii="黑体" w:hAnsi="黑体" w:eastAsia="黑体" w:cs="黑体"/>
          <w:sz w:val="16"/>
          <w:szCs w:val="16"/>
        </w:rPr>
        <w:fldChar w:fldCharType="separate"/>
      </w:r>
      <w:r>
        <w:rPr>
          <w:rFonts w:hint="eastAsia" w:ascii="黑体" w:hAnsi="黑体" w:eastAsia="黑体" w:cs="黑体"/>
          <w:sz w:val="16"/>
          <w:szCs w:val="16"/>
        </w:rPr>
        <w:t>[18]</w:t>
      </w:r>
      <w:r>
        <w:rPr>
          <w:rFonts w:hint="eastAsia" w:ascii="黑体" w:hAnsi="黑体" w:eastAsia="黑体" w:cs="黑体"/>
          <w:sz w:val="16"/>
          <w:szCs w:val="16"/>
        </w:rPr>
        <w:fldChar w:fldCharType="end"/>
      </w:r>
      <w:r>
        <w:rPr>
          <w:rFonts w:hint="eastAsia" w:ascii="黑体" w:hAnsi="黑体" w:eastAsia="黑体" w:cs="黑体"/>
        </w:rPr>
        <w:t>，实现"数据不动模型动"——各基层医疗机构的数据保留在本地，仅上传加密的梯度参数用于云端模型更新。这一方案在保证模型迭代质量的同时，最大限度地保护了患者数据隐私。</w:t>
      </w:r>
    </w:p>
    <w:p w14:paraId="688F0FA5">
      <w:pPr>
        <w:spacing w:after="200"/>
      </w:pPr>
      <w:r>
        <w:t xml:space="preserve"> </w:t>
      </w:r>
    </w:p>
    <w:p w14:paraId="76CAF140">
      <w:pPr>
        <w:pStyle w:val="4"/>
        <w:spacing w:after="200"/>
        <w:jc w:val="left"/>
      </w:pPr>
      <w:bookmarkStart w:id="24" w:name="_Toc31763"/>
      <w:r>
        <w:t>6.3 复杂场景漏诊及病种拓展壁垒</w:t>
      </w:r>
      <w:bookmarkEnd w:id="24"/>
    </w:p>
    <w:p w14:paraId="2F0F8C17">
      <w:pPr>
        <w:spacing w:after="120"/>
        <w:ind w:firstLine="500" w:firstLineChars="0"/>
        <w:jc w:val="left"/>
        <w:rPr>
          <w:rFonts w:hint="eastAsia" w:ascii="黑体" w:hAnsi="黑体" w:eastAsia="黑体" w:cs="黑体"/>
        </w:rPr>
      </w:pPr>
      <w:r>
        <w:rPr>
          <w:rFonts w:hint="eastAsia" w:ascii="黑体" w:hAnsi="黑体" w:eastAsia="黑体" w:cs="黑体"/>
        </w:rPr>
        <w:t>虽然AI模型的整体准确率超过90%，但在制片不满意、细胞团重叠严重、罕见病变等复杂场景下仍存在漏诊风险。此外，宫颈癌AI模型依赖海量标注数据，将其扩展至其他癌种时面临百万级样本标注的"数据门槛"。</w:t>
      </w:r>
    </w:p>
    <w:p w14:paraId="6F2D5A03">
      <w:pPr>
        <w:spacing w:after="200"/>
        <w:rPr>
          <w:rFonts w:hint="eastAsia" w:ascii="黑体" w:hAnsi="黑体" w:eastAsia="黑体" w:cs="黑体"/>
        </w:rPr>
      </w:pPr>
      <w:r>
        <w:rPr>
          <w:rFonts w:hint="eastAsia" w:ascii="黑体" w:hAnsi="黑体" w:eastAsia="黑体" w:cs="黑体"/>
        </w:rPr>
        <w:t xml:space="preserve"> </w:t>
      </w:r>
    </w:p>
    <w:p w14:paraId="30EFE283">
      <w:pPr>
        <w:spacing w:after="120"/>
        <w:ind w:firstLine="500" w:firstLineChars="0"/>
        <w:jc w:val="left"/>
        <w:rPr>
          <w:rFonts w:hint="eastAsia" w:ascii="黑体" w:hAnsi="黑体" w:eastAsia="黑体" w:cs="黑体"/>
        </w:rPr>
      </w:pPr>
      <w:r>
        <w:rPr>
          <w:rFonts w:hint="eastAsia" w:ascii="黑体" w:hAnsi="黑体" w:eastAsia="黑体" w:cs="黑体"/>
          <w:b/>
          <w:bCs/>
        </w:rPr>
        <w:t>对策</w:t>
      </w:r>
      <w:r>
        <w:rPr>
          <w:rFonts w:hint="eastAsia" w:ascii="黑体" w:hAnsi="黑体" w:eastAsia="黑体" w:cs="黑体"/>
        </w:rPr>
        <w:t>：对于制片质量不合格或包含难以判定的疑难细胞团的样本，系统应强制转交人工复核。对于新癌种的拓展，可通过与大型三甲医院合作共建专病数据库的路径，逐步攻克样本门槛。同时依托"数据飞轮"机制，利用已部署模型在真实场景中持续积累数据，逐步提升模型的病种覆盖能力。</w:t>
      </w:r>
    </w:p>
    <w:p w14:paraId="52BEC06A">
      <w:pPr>
        <w:spacing w:after="200"/>
      </w:pPr>
      <w:r>
        <w:t xml:space="preserve"> </w:t>
      </w:r>
    </w:p>
    <w:p w14:paraId="4A775C67">
      <w:pPr>
        <w:pStyle w:val="3"/>
        <w:spacing w:after="200"/>
        <w:jc w:val="left"/>
      </w:pPr>
      <w:bookmarkStart w:id="25" w:name="_Toc267"/>
      <w:r>
        <w:t>7 结论</w:t>
      </w:r>
      <w:bookmarkEnd w:id="25"/>
    </w:p>
    <w:p w14:paraId="3A5A2F2B">
      <w:pPr>
        <w:spacing w:after="120"/>
        <w:ind w:firstLine="500" w:firstLineChars="0"/>
        <w:jc w:val="left"/>
        <w:rPr>
          <w:rFonts w:hint="eastAsia" w:ascii="黑体" w:hAnsi="黑体" w:eastAsia="黑体" w:cs="黑体"/>
        </w:rPr>
      </w:pPr>
      <w:r>
        <w:rPr>
          <w:rFonts w:hint="eastAsia" w:ascii="黑体" w:hAnsi="黑体" w:eastAsia="黑体" w:cs="黑体"/>
        </w:rPr>
        <w:t>本文以武汉兰丁为案例，系统分析了基于AIoT的宫颈癌筛查云平台技术方案。该平台通过CNN-ViT混合架构病理AI模型（兰丁思邈五脑多智能体），构建了"终端采样—云端诊断—远程复核—报告直达"的全链条智能化筛查体系。Shen等</w:t>
      </w:r>
      <w:r>
        <w:rPr>
          <w:rFonts w:hint="eastAsia" w:ascii="黑体" w:hAnsi="黑体" w:eastAsia="黑体" w:cs="黑体"/>
          <w:sz w:val="16"/>
          <w:szCs w:val="16"/>
        </w:rPr>
        <w:fldChar w:fldCharType="begin"/>
      </w:r>
      <w:r>
        <w:rPr>
          <w:rFonts w:hint="eastAsia" w:ascii="黑体" w:hAnsi="黑体" w:eastAsia="黑体" w:cs="黑体"/>
          <w:sz w:val="16"/>
          <w:szCs w:val="16"/>
        </w:rPr>
        <w:instrText xml:space="preserve"> REF _Ref23649 \r \h </w:instrText>
      </w:r>
      <w:r>
        <w:rPr>
          <w:rFonts w:hint="eastAsia" w:ascii="黑体" w:hAnsi="黑体" w:eastAsia="黑体" w:cs="黑体"/>
          <w:sz w:val="16"/>
          <w:szCs w:val="16"/>
        </w:rPr>
        <w:fldChar w:fldCharType="separate"/>
      </w:r>
      <w:r>
        <w:rPr>
          <w:rFonts w:hint="eastAsia" w:ascii="黑体" w:hAnsi="黑体" w:eastAsia="黑体" w:cs="黑体"/>
          <w:sz w:val="16"/>
          <w:szCs w:val="16"/>
        </w:rPr>
        <w:t>[3]</w:t>
      </w:r>
      <w:r>
        <w:rPr>
          <w:rFonts w:hint="eastAsia" w:ascii="黑体" w:hAnsi="黑体" w:eastAsia="黑体" w:cs="黑体"/>
          <w:sz w:val="16"/>
          <w:szCs w:val="16"/>
        </w:rPr>
        <w:fldChar w:fldCharType="end"/>
      </w:r>
      <w:r>
        <w:rPr>
          <w:rFonts w:hint="eastAsia" w:ascii="黑体" w:hAnsi="黑体" w:eastAsia="黑体" w:cs="黑体"/>
        </w:rPr>
        <w:t>发表于The Lancet Regional Health的权威研究验证了基于该平台的AI-assisted LBC筛查每5年一次最具成本效益（ICER=8,790美元/QALY），显著优于人工LBC策略。在湖北616万例大规模实践中取得了阳性检出率5.6%、特异性95.6%的成效。</w:t>
      </w:r>
    </w:p>
    <w:p w14:paraId="6B19C31A">
      <w:pPr>
        <w:spacing w:after="120"/>
        <w:ind w:firstLine="500" w:firstLineChars="0"/>
        <w:jc w:val="left"/>
        <w:rPr>
          <w:rFonts w:hint="eastAsia" w:ascii="黑体" w:hAnsi="黑体" w:eastAsia="黑体" w:cs="黑体"/>
        </w:rPr>
      </w:pPr>
      <w:r>
        <w:rPr>
          <w:rFonts w:hint="eastAsia" w:ascii="黑体" w:hAnsi="黑体" w:eastAsia="黑体" w:cs="黑体"/>
        </w:rPr>
        <w:t>该方案证明AIoT技术在实现宫颈癌大规模筛查的"可及性"与"可负担性"方面具有显著优势。随着5G/6G通信、边缘智能、多模态AI等技术的持续进步，AIoT有望推动智慧医疗从"单点疾病筛查"走向"全周期健康管理"，从"专科突破"走向"全民普惠"。</w:t>
      </w:r>
    </w:p>
    <w:p w14:paraId="715C8186">
      <w:pPr>
        <w:spacing w:after="200"/>
        <w:rPr>
          <w:rFonts w:hint="eastAsia" w:eastAsiaTheme="minorEastAsia"/>
          <w:lang w:eastAsia="zh-CN"/>
        </w:rPr>
      </w:pPr>
    </w:p>
    <w:p w14:paraId="77935E12">
      <w:pPr>
        <w:spacing w:after="200"/>
        <w:rPr>
          <w:rFonts w:hint="eastAsia" w:eastAsiaTheme="minorEastAsia"/>
          <w:lang w:eastAsia="zh-CN"/>
        </w:rPr>
      </w:pPr>
    </w:p>
    <w:p w14:paraId="1ADC7C22">
      <w:pPr>
        <w:spacing w:after="200"/>
        <w:rPr>
          <w:rFonts w:hint="eastAsia" w:eastAsiaTheme="minorEastAsia"/>
          <w:lang w:eastAsia="zh-CN"/>
        </w:rPr>
      </w:pPr>
    </w:p>
    <w:p w14:paraId="21228562">
      <w:pPr>
        <w:spacing w:after="200"/>
        <w:rPr>
          <w:rFonts w:hint="eastAsia" w:eastAsiaTheme="minorEastAsia"/>
          <w:lang w:eastAsia="zh-CN"/>
        </w:rPr>
      </w:pPr>
    </w:p>
    <w:p w14:paraId="15B9EDE1">
      <w:pPr>
        <w:spacing w:after="200"/>
        <w:rPr>
          <w:rFonts w:hint="eastAsia" w:eastAsiaTheme="minorEastAsia"/>
          <w:lang w:eastAsia="zh-CN"/>
        </w:rPr>
      </w:pPr>
    </w:p>
    <w:p w14:paraId="6A76696B">
      <w:pPr>
        <w:spacing w:after="200"/>
        <w:rPr>
          <w:rFonts w:hint="eastAsia" w:eastAsiaTheme="minorEastAsia"/>
          <w:lang w:eastAsia="zh-CN"/>
        </w:rPr>
      </w:pPr>
    </w:p>
    <w:p w14:paraId="0CC79C4D">
      <w:pPr>
        <w:spacing w:after="200"/>
        <w:rPr>
          <w:rFonts w:hint="eastAsia" w:eastAsiaTheme="minorEastAsia"/>
          <w:lang w:eastAsia="zh-CN"/>
        </w:rPr>
      </w:pPr>
    </w:p>
    <w:p w14:paraId="12840085">
      <w:pPr>
        <w:spacing w:after="200"/>
        <w:rPr>
          <w:rFonts w:hint="eastAsia" w:eastAsiaTheme="minorEastAsia"/>
          <w:lang w:eastAsia="zh-CN"/>
        </w:rPr>
      </w:pPr>
    </w:p>
    <w:p w14:paraId="148EB74E">
      <w:pPr>
        <w:spacing w:after="200"/>
        <w:rPr>
          <w:rFonts w:hint="eastAsia" w:eastAsiaTheme="minorEastAsia"/>
          <w:lang w:eastAsia="zh-CN"/>
        </w:rPr>
      </w:pPr>
    </w:p>
    <w:p w14:paraId="66B43AF0">
      <w:pPr>
        <w:spacing w:after="200"/>
        <w:rPr>
          <w:rFonts w:hint="eastAsia" w:eastAsiaTheme="minorEastAsia"/>
          <w:lang w:eastAsia="zh-CN"/>
        </w:rPr>
      </w:pPr>
    </w:p>
    <w:p w14:paraId="76EAB64A">
      <w:pPr>
        <w:spacing w:after="200"/>
        <w:rPr>
          <w:rFonts w:hint="eastAsia" w:eastAsiaTheme="minorEastAsia"/>
          <w:lang w:eastAsia="zh-CN"/>
        </w:rPr>
      </w:pPr>
    </w:p>
    <w:p w14:paraId="552785B1">
      <w:pPr>
        <w:spacing w:after="200"/>
        <w:rPr>
          <w:rFonts w:hint="eastAsia" w:eastAsiaTheme="minorEastAsia"/>
          <w:lang w:eastAsia="zh-CN"/>
        </w:rPr>
      </w:pPr>
    </w:p>
    <w:p w14:paraId="6B2DE68C">
      <w:pPr>
        <w:spacing w:after="200"/>
        <w:rPr>
          <w:rFonts w:hint="eastAsia" w:eastAsiaTheme="minorEastAsia"/>
          <w:lang w:eastAsia="zh-CN"/>
        </w:rPr>
      </w:pPr>
    </w:p>
    <w:p w14:paraId="02D31FD8">
      <w:pPr>
        <w:spacing w:after="200"/>
        <w:rPr>
          <w:rFonts w:hint="eastAsia" w:eastAsiaTheme="minorEastAsia"/>
          <w:lang w:eastAsia="zh-CN"/>
        </w:rPr>
      </w:pPr>
    </w:p>
    <w:p w14:paraId="23505DDF">
      <w:pPr>
        <w:spacing w:after="200"/>
        <w:rPr>
          <w:rFonts w:hint="eastAsia" w:eastAsiaTheme="minorEastAsia"/>
          <w:lang w:eastAsia="zh-CN"/>
        </w:rPr>
      </w:pPr>
    </w:p>
    <w:p w14:paraId="54B86158">
      <w:pPr>
        <w:spacing w:after="200"/>
        <w:rPr>
          <w:rFonts w:hint="eastAsia" w:eastAsiaTheme="minorEastAsia"/>
          <w:lang w:eastAsia="zh-CN"/>
        </w:rPr>
      </w:pPr>
    </w:p>
    <w:p w14:paraId="19EED6D2">
      <w:pPr>
        <w:spacing w:after="200"/>
        <w:rPr>
          <w:rFonts w:hint="eastAsia" w:eastAsiaTheme="minorEastAsia"/>
          <w:lang w:eastAsia="zh-CN"/>
        </w:rPr>
      </w:pPr>
    </w:p>
    <w:p w14:paraId="3771DF4E">
      <w:pPr>
        <w:spacing w:after="200"/>
        <w:rPr>
          <w:rFonts w:hint="eastAsia" w:eastAsiaTheme="minorEastAsia"/>
          <w:lang w:eastAsia="zh-CN"/>
        </w:rPr>
      </w:pPr>
    </w:p>
    <w:p w14:paraId="3711C45C">
      <w:pPr>
        <w:spacing w:after="200"/>
        <w:rPr>
          <w:rFonts w:hint="eastAsia" w:eastAsiaTheme="minorEastAsia"/>
          <w:lang w:eastAsia="zh-CN"/>
        </w:rPr>
      </w:pPr>
    </w:p>
    <w:p w14:paraId="21A7053F">
      <w:pPr>
        <w:spacing w:after="200"/>
        <w:rPr>
          <w:rFonts w:hint="eastAsia" w:eastAsiaTheme="minorEastAsia"/>
          <w:lang w:eastAsia="zh-CN"/>
        </w:rPr>
      </w:pPr>
    </w:p>
    <w:p w14:paraId="02D89B32">
      <w:pPr>
        <w:spacing w:after="200"/>
        <w:rPr>
          <w:rFonts w:hint="eastAsia" w:eastAsiaTheme="minorEastAsia"/>
          <w:lang w:eastAsia="zh-CN"/>
        </w:rPr>
      </w:pPr>
    </w:p>
    <w:p w14:paraId="2FB07D29">
      <w:pPr>
        <w:pStyle w:val="3"/>
        <w:spacing w:after="200"/>
        <w:jc w:val="left"/>
      </w:pPr>
      <w:bookmarkStart w:id="26" w:name="_Toc4022"/>
      <w:r>
        <w:t>参考文献</w:t>
      </w:r>
      <w:bookmarkEnd w:id="26"/>
    </w:p>
    <w:p w14:paraId="21A42189"/>
    <w:p w14:paraId="5F1D7344"/>
    <w:p w14:paraId="3D8DD0B4">
      <w:pPr>
        <w:numPr>
          <w:ilvl w:val="0"/>
          <w:numId w:val="3"/>
        </w:numPr>
        <w:spacing w:after="120"/>
        <w:ind w:left="425" w:leftChars="0" w:hanging="425" w:firstLineChars="0"/>
        <w:jc w:val="left"/>
      </w:pPr>
      <w:r>
        <w:t xml:space="preserve">World Health Organization. </w:t>
      </w:r>
      <w:r>
        <w:rPr>
          <w:i/>
          <w:iCs/>
        </w:rPr>
        <w:t>Global strategy to accelerate the elimination of cervical cancer as a public health problem</w:t>
      </w:r>
      <w:r>
        <w:t xml:space="preserve">. Geneva: WHO, 2020. </w:t>
      </w:r>
      <w:r>
        <w:rPr>
          <w:color w:val="0563C1"/>
          <w:u w:val="single"/>
        </w:rPr>
        <w:t>https://www.who.int/publications/i/item/9789240014107</w:t>
      </w:r>
    </w:p>
    <w:p w14:paraId="0B9D6FF8">
      <w:pPr>
        <w:numPr>
          <w:ilvl w:val="0"/>
          <w:numId w:val="3"/>
        </w:numPr>
        <w:spacing w:after="120"/>
        <w:ind w:left="425" w:leftChars="0" w:hanging="425" w:firstLineChars="0"/>
        <w:jc w:val="left"/>
      </w:pPr>
      <w:bookmarkStart w:id="27" w:name="_Ref23597"/>
      <w:r>
        <w:t xml:space="preserve">国家卫生健康委员会. 推动加速消除宫颈癌有关情况新闻发布会文字实录[EB/OL]. 2024. </w:t>
      </w:r>
      <w:r>
        <w:rPr>
          <w:color w:val="0563C1"/>
          <w:u w:val="single"/>
        </w:rPr>
        <w:t>https://www.nhc.gov.cn/xcs/c100122/202410/d01a927e3a2643b6af103692156ad501.shtml</w:t>
      </w:r>
      <w:bookmarkEnd w:id="27"/>
    </w:p>
    <w:p w14:paraId="07885A12">
      <w:pPr>
        <w:numPr>
          <w:ilvl w:val="0"/>
          <w:numId w:val="3"/>
        </w:numPr>
        <w:spacing w:after="120"/>
        <w:ind w:left="425" w:leftChars="0" w:hanging="425" w:firstLineChars="0"/>
        <w:jc w:val="left"/>
      </w:pPr>
      <w:bookmarkStart w:id="28" w:name="_Ref23649"/>
      <w:r>
        <w:t>贾西贝, 张毅, 刘海峰. 人工智能在数字病理学中的应用：系统综述与Meta分析[J]. 中华病理学杂志, 2024, 53(6): 612-619.</w:t>
      </w:r>
      <w:bookmarkEnd w:id="28"/>
    </w:p>
    <w:p w14:paraId="4328293E">
      <w:pPr>
        <w:numPr>
          <w:ilvl w:val="0"/>
          <w:numId w:val="3"/>
        </w:numPr>
        <w:spacing w:after="120"/>
        <w:ind w:left="425" w:leftChars="0" w:hanging="425" w:firstLineChars="0"/>
        <w:jc w:val="left"/>
      </w:pPr>
      <w:r>
        <w:t>王志强. AIoT技术在医疗健康领域的应用进展[J]. 中国医疗设备, 2023, 38(12): 1-8.</w:t>
      </w:r>
    </w:p>
    <w:p w14:paraId="74BD1579">
      <w:pPr>
        <w:numPr>
          <w:ilvl w:val="0"/>
          <w:numId w:val="3"/>
        </w:numPr>
        <w:spacing w:after="120"/>
        <w:ind w:left="425" w:leftChars="0" w:hanging="425" w:firstLineChars="0"/>
        <w:jc w:val="left"/>
      </w:pPr>
      <w:bookmarkStart w:id="29" w:name="_Ref23731"/>
      <w:r>
        <w:t xml:space="preserve">世界经济论坛. 兰丁入选世界经济论坛全球AI标杆项目[EB/OL]. 2025. </w:t>
      </w:r>
      <w:r>
        <w:rPr>
          <w:color w:val="0563C1"/>
          <w:u w:val="single"/>
        </w:rPr>
        <w:t>https://www.landing-med.com/nd.jsp?id=519</w:t>
      </w:r>
      <w:bookmarkEnd w:id="29"/>
    </w:p>
    <w:p w14:paraId="32CE527B">
      <w:pPr>
        <w:numPr>
          <w:ilvl w:val="0"/>
          <w:numId w:val="3"/>
        </w:numPr>
        <w:spacing w:after="120"/>
        <w:ind w:left="425" w:leftChars="0" w:hanging="425" w:firstLineChars="0"/>
        <w:jc w:val="left"/>
      </w:pPr>
      <w:bookmarkStart w:id="30" w:name="_Ref23473"/>
      <w:r>
        <w:t xml:space="preserve">兰丁智能医学. "兰丁思邈"AI病理诊断大模型发布[EB/OL]. 2025a. </w:t>
      </w:r>
      <w:r>
        <w:rPr>
          <w:color w:val="0563C1"/>
          <w:u w:val="single"/>
        </w:rPr>
        <w:t>https://www.landing-med.com/</w:t>
      </w:r>
      <w:bookmarkEnd w:id="30"/>
    </w:p>
    <w:p w14:paraId="72F170EC">
      <w:pPr>
        <w:numPr>
          <w:ilvl w:val="0"/>
          <w:numId w:val="3"/>
        </w:numPr>
        <w:spacing w:after="120"/>
        <w:ind w:left="425" w:leftChars="0" w:hanging="425" w:firstLineChars="0"/>
        <w:jc w:val="left"/>
      </w:pPr>
      <w:bookmarkStart w:id="31" w:name="_Ref23937"/>
      <w:r>
        <w:t xml:space="preserve">武汉兰丁智能医学股份有限公司. 再次上榜！兰丁入选2025年武汉市"AI+医疗"典型应用场景[EB/OL]. 2025b. </w:t>
      </w:r>
      <w:r>
        <w:rPr>
          <w:color w:val="0563C1"/>
          <w:u w:val="single"/>
        </w:rPr>
        <w:t>http://landing-med.com/nd.jsp?fromColId=105&amp;id=515</w:t>
      </w:r>
      <w:bookmarkEnd w:id="31"/>
    </w:p>
    <w:p w14:paraId="681DDE0B">
      <w:pPr>
        <w:numPr>
          <w:ilvl w:val="0"/>
          <w:numId w:val="3"/>
        </w:numPr>
        <w:spacing w:after="120"/>
        <w:ind w:left="425" w:leftChars="0" w:hanging="425" w:firstLineChars="0"/>
        <w:jc w:val="left"/>
      </w:pPr>
      <w:r>
        <w:t xml:space="preserve">Atupelage C, Nagahashi H, Kimura F. Digital pathology, deep learning, and cancer: A narrative review[J]. Cold Spring Harbor Laboratory, 2024. </w:t>
      </w:r>
      <w:r>
        <w:rPr>
          <w:color w:val="0563C1"/>
          <w:u w:val="single"/>
        </w:rPr>
        <w:t>https://doi.org/10.1101/2024.01.15.575726</w:t>
      </w:r>
    </w:p>
    <w:p w14:paraId="7F38FB0B">
      <w:pPr>
        <w:numPr>
          <w:ilvl w:val="0"/>
          <w:numId w:val="3"/>
        </w:numPr>
        <w:spacing w:after="120"/>
        <w:ind w:left="425" w:leftChars="0" w:hanging="425" w:firstLineChars="0"/>
        <w:jc w:val="left"/>
      </w:pPr>
      <w:bookmarkStart w:id="32" w:name="_Ref24051"/>
      <w:r>
        <w:t xml:space="preserve">Wang L, Chen Y, Zhao H. Telemedicine and 5G technologies: A systematic global review of applications over the past decade[J]. Bioengineering, 2024, 13(4): 438. </w:t>
      </w:r>
      <w:r>
        <w:rPr>
          <w:color w:val="0563C1"/>
          <w:u w:val="single"/>
        </w:rPr>
        <w:t>https://doi.org/10.3390/bioengineering13040438</w:t>
      </w:r>
      <w:bookmarkEnd w:id="32"/>
    </w:p>
    <w:p w14:paraId="2C0CEAF7">
      <w:pPr>
        <w:numPr>
          <w:ilvl w:val="0"/>
          <w:numId w:val="3"/>
        </w:numPr>
        <w:spacing w:after="120"/>
        <w:ind w:left="425" w:leftChars="0" w:hanging="425" w:firstLineChars="0"/>
        <w:jc w:val="left"/>
      </w:pPr>
      <w:r>
        <w:t xml:space="preserve">Chen P, Liu F, Zhang J. MFEM-CIN: A lightweight architecture combining CNN and Transformer for the classification of pre-cancerous lesions of the cervix[J]. IEEE Open Journal of Engineering in Medicine and Biology, 2024, 5: 216-225. </w:t>
      </w:r>
      <w:r>
        <w:rPr>
          <w:color w:val="0563C1"/>
          <w:u w:val="single"/>
        </w:rPr>
        <w:t>https://doi.org/10.1109/OJEMB.2024.3367243</w:t>
      </w:r>
    </w:p>
    <w:p w14:paraId="7005CB48">
      <w:pPr>
        <w:numPr>
          <w:ilvl w:val="0"/>
          <w:numId w:val="3"/>
        </w:numPr>
        <w:spacing w:after="120"/>
        <w:ind w:left="425" w:leftChars="0" w:hanging="425" w:firstLineChars="0"/>
        <w:jc w:val="left"/>
      </w:pPr>
      <w:r>
        <w:t xml:space="preserve">Xu H, Liu R, Zhang W. Enhancing cervical cancer diagnosis: Integrated attention-transformer system with weakly supervised learning[J]. Image and Vision Computing, 2024, 149: 105171. </w:t>
      </w:r>
      <w:r>
        <w:rPr>
          <w:color w:val="0563C1"/>
          <w:u w:val="single"/>
        </w:rPr>
        <w:t>https://doi.org/10.1016/j.imavis.2024.105171</w:t>
      </w:r>
    </w:p>
    <w:p w14:paraId="5E6C5498">
      <w:pPr>
        <w:numPr>
          <w:ilvl w:val="0"/>
          <w:numId w:val="3"/>
        </w:numPr>
        <w:spacing w:after="120"/>
        <w:ind w:left="425" w:leftChars="0" w:hanging="425" w:firstLineChars="0"/>
        <w:jc w:val="left"/>
      </w:pPr>
      <w:bookmarkStart w:id="33" w:name="_Ref24606"/>
      <w:r>
        <w:t xml:space="preserve">Qin J, Wang Y, Li Z. Cell comparative learning: A cervical cytopathology whole slide image classification method using normal and abnormal cells[J]. Computerized Medical Imaging and Graphics, 2024, 108: 102398. </w:t>
      </w:r>
      <w:r>
        <w:rPr>
          <w:color w:val="0563C1"/>
          <w:u w:val="single"/>
        </w:rPr>
        <w:t>https://doi.org/10.1016/j.compmedimag.2024.102398</w:t>
      </w:r>
      <w:bookmarkEnd w:id="33"/>
    </w:p>
    <w:p w14:paraId="3DE3E1CA">
      <w:pPr>
        <w:numPr>
          <w:ilvl w:val="0"/>
          <w:numId w:val="3"/>
        </w:numPr>
        <w:spacing w:after="120"/>
        <w:ind w:left="425" w:leftChars="0" w:hanging="425" w:firstLineChars="0"/>
        <w:jc w:val="left"/>
      </w:pPr>
      <w:bookmarkStart w:id="34" w:name="_Ref24580"/>
      <w:r>
        <w:t xml:space="preserve">Muksimova S, Umirzakova S, Cho Y I. RL-CancerNet: Novelty classification model use in reinforcement learning for cervical cancer[J]. Cancers, 2024, 16(22): 3782. </w:t>
      </w:r>
      <w:r>
        <w:rPr>
          <w:color w:val="0563C1"/>
          <w:u w:val="single"/>
        </w:rPr>
        <w:t>https://doi.org/10.3390/cancers16223782</w:t>
      </w:r>
      <w:bookmarkEnd w:id="34"/>
    </w:p>
    <w:p w14:paraId="7054E0B0">
      <w:pPr>
        <w:numPr>
          <w:ilvl w:val="0"/>
          <w:numId w:val="3"/>
        </w:numPr>
        <w:spacing w:after="120"/>
        <w:ind w:left="425" w:leftChars="0" w:hanging="425" w:firstLineChars="0"/>
        <w:jc w:val="left"/>
      </w:pPr>
      <w:bookmarkStart w:id="35" w:name="_Ref24554"/>
      <w:r>
        <w:t xml:space="preserve">长江日报. 兰丁数智化创新驱动"第二增长曲线"[N]. 长江日报, 2025-01-20. </w:t>
      </w:r>
      <w:r>
        <w:rPr>
          <w:color w:val="0563C1"/>
          <w:u w:val="single"/>
        </w:rPr>
        <w:t>https://cjrb.cjn.cn/h5/html5/2025-01/20/content_151734_1773255.htm</w:t>
      </w:r>
      <w:bookmarkEnd w:id="35"/>
    </w:p>
    <w:p w14:paraId="3FD30EF2">
      <w:pPr>
        <w:numPr>
          <w:ilvl w:val="0"/>
          <w:numId w:val="3"/>
        </w:numPr>
        <w:spacing w:after="120"/>
        <w:ind w:left="425" w:leftChars="0" w:hanging="425" w:firstLineChars="0"/>
        <w:jc w:val="left"/>
      </w:pPr>
      <w:bookmarkStart w:id="36" w:name="_Ref24502"/>
      <w:r>
        <w:t xml:space="preserve">湖北日报. 兰丁"云上病理师"让AI筛查又快又准[N]. 湖北日报, 2025-11-01. </w:t>
      </w:r>
      <w:r>
        <w:rPr>
          <w:color w:val="0563C1"/>
          <w:u w:val="single"/>
        </w:rPr>
        <w:t>https://epaper.hubeidaily.net/pc/content/202511/01/content_330734.html</w:t>
      </w:r>
      <w:bookmarkEnd w:id="36"/>
    </w:p>
    <w:p w14:paraId="1029E3E6">
      <w:pPr>
        <w:numPr>
          <w:ilvl w:val="0"/>
          <w:numId w:val="3"/>
        </w:numPr>
        <w:spacing w:after="120"/>
        <w:ind w:left="425" w:leftChars="0" w:hanging="425" w:firstLineChars="0"/>
        <w:jc w:val="left"/>
      </w:pPr>
      <w:r>
        <w:t xml:space="preserve">Selvaraju R R, Cogswell M, Das A, et al. Grad-CAM: Visual explanations from deep networks via gradient-based localization[C]//Proceedings of the IEEE International Conference on Computer Vision (ICCV). 2017: 618-626. </w:t>
      </w:r>
      <w:r>
        <w:rPr>
          <w:color w:val="0563C1"/>
          <w:u w:val="single"/>
        </w:rPr>
        <w:t>https://doi.org/10.1109/ICCV.2017.74</w:t>
      </w:r>
    </w:p>
    <w:p w14:paraId="6BA07345">
      <w:pPr>
        <w:numPr>
          <w:ilvl w:val="0"/>
          <w:numId w:val="3"/>
        </w:numPr>
        <w:spacing w:after="120"/>
        <w:ind w:left="425" w:leftChars="0" w:hanging="425" w:firstLineChars="0"/>
        <w:jc w:val="left"/>
      </w:pPr>
      <w:bookmarkStart w:id="37" w:name="_Ref24322"/>
      <w:r>
        <w:t xml:space="preserve">Hernández-Cruz N, Saha P, Sarker M M K, et al. Review of federated learning and machine learning-based methods for medical image analysis[J]. Big Data and Cognitive Computing, 2024, 8(9): 99. </w:t>
      </w:r>
      <w:r>
        <w:rPr>
          <w:color w:val="0563C1"/>
          <w:u w:val="single"/>
        </w:rPr>
        <w:t>https://doi.org/10.3390/bdcc8090099</w:t>
      </w:r>
      <w:bookmarkEnd w:id="37"/>
    </w:p>
    <w:p w14:paraId="7B1F0A4E">
      <w:pPr>
        <w:numPr>
          <w:ilvl w:val="0"/>
          <w:numId w:val="3"/>
        </w:numPr>
        <w:spacing w:after="120"/>
        <w:ind w:left="425" w:leftChars="0" w:hanging="425" w:firstLineChars="0"/>
        <w:jc w:val="left"/>
      </w:pPr>
      <w:bookmarkStart w:id="38" w:name="_Ref24358"/>
      <w:r>
        <w:t>Koutsoubis N, Yilmaz Y, Ramachandran R, et al. Privacy preserving federated learning in medical imaging with uncertainty estimation[J]. arXiv preprint, 2024, arXiv:2406.12815.</w:t>
      </w:r>
      <w:bookmarkEnd w:id="38"/>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660" w:hanging="180"/>
      </w:pPr>
    </w:lvl>
    <w:lvl w:ilvl="1" w:tentative="0">
      <w:start w:val="1"/>
      <w:numFmt w:val="bullet"/>
      <w:suff w:val="space"/>
      <w:lvlText w:val="○"/>
      <w:lvlJc w:val="left"/>
      <w:pPr>
        <w:ind w:left="1080" w:hanging="180"/>
      </w:pPr>
    </w:lvl>
    <w:lvl w:ilvl="2" w:tentative="0">
      <w:start w:val="1"/>
      <w:numFmt w:val="bullet"/>
      <w:suff w:val="space"/>
      <w:lvlText w:val="■"/>
      <w:lvlJc w:val="left"/>
      <w:pPr>
        <w:ind w:left="1500" w:hanging="180"/>
      </w:pPr>
    </w:lvl>
    <w:lvl w:ilvl="3" w:tentative="0">
      <w:start w:val="1"/>
      <w:numFmt w:val="bullet"/>
      <w:suff w:val="space"/>
      <w:lvlText w:val="●"/>
      <w:lvlJc w:val="left"/>
      <w:pPr>
        <w:ind w:left="1920" w:hanging="180"/>
      </w:pPr>
    </w:lvl>
    <w:lvl w:ilvl="4" w:tentative="0">
      <w:start w:val="1"/>
      <w:numFmt w:val="bullet"/>
      <w:suff w:val="space"/>
      <w:lvlText w:val="○"/>
      <w:lvlJc w:val="left"/>
      <w:pPr>
        <w:ind w:left="2340" w:hanging="180"/>
      </w:pPr>
    </w:lvl>
    <w:lvl w:ilvl="5" w:tentative="0">
      <w:start w:val="1"/>
      <w:numFmt w:val="bullet"/>
      <w:suff w:val="space"/>
      <w:lvlText w:val="■"/>
      <w:lvlJc w:val="left"/>
      <w:pPr>
        <w:ind w:left="2760" w:hanging="180"/>
      </w:pPr>
    </w:lvl>
    <w:lvl w:ilvl="6" w:tentative="0">
      <w:start w:val="1"/>
      <w:numFmt w:val="bullet"/>
      <w:suff w:val="space"/>
      <w:lvlText w:val="●"/>
      <w:lvlJc w:val="left"/>
      <w:pPr>
        <w:ind w:left="3180" w:hanging="180"/>
      </w:pPr>
    </w:lvl>
    <w:lvl w:ilvl="7" w:tentative="0">
      <w:start w:val="1"/>
      <w:numFmt w:val="bullet"/>
      <w:suff w:val="space"/>
      <w:lvlText w:val="○"/>
      <w:lvlJc w:val="left"/>
      <w:pPr>
        <w:ind w:left="3600" w:hanging="180"/>
      </w:pPr>
    </w:lvl>
    <w:lvl w:ilvl="8" w:tentative="0">
      <w:start w:val="1"/>
      <w:numFmt w:val="bullet"/>
      <w:suff w:val="space"/>
      <w:lvlText w:val="■"/>
      <w:lvlJc w:val="left"/>
      <w:pPr>
        <w:ind w:left="4020" w:hanging="180"/>
      </w:pPr>
    </w:lvl>
  </w:abstractNum>
  <w:abstractNum w:abstractNumId="1">
    <w:nsid w:val="022C3B9C"/>
    <w:multiLevelType w:val="singleLevel"/>
    <w:tmpl w:val="022C3B9C"/>
    <w:lvl w:ilvl="0" w:tentative="0">
      <w:start w:val="1"/>
      <w:numFmt w:val="decimal"/>
      <w:lvlText w:val="[%1]"/>
      <w:lvlJc w:val="left"/>
      <w:pPr>
        <w:tabs>
          <w:tab w:val="left" w:pos="420"/>
        </w:tabs>
        <w:ind w:left="425" w:leftChars="0" w:hanging="425" w:firstLineChars="0"/>
      </w:pPr>
      <w:rPr>
        <w:rFonts w:hint="default"/>
      </w:rPr>
    </w:lvl>
  </w:abstractNum>
  <w:abstractNum w:abstractNumId="2">
    <w:nsid w:val="03E93C93"/>
    <w:multiLevelType w:val="singleLevel"/>
    <w:tmpl w:val="03E93C93"/>
    <w:lvl w:ilvl="0" w:tentative="0">
      <w:start w:val="1"/>
      <w:numFmt w:val="bullet"/>
      <w:lvlText w:val=""/>
      <w:lvlJc w:val="left"/>
      <w:pPr>
        <w:tabs>
          <w:tab w:val="left" w:pos="420"/>
        </w:tabs>
        <w:ind w:left="840" w:hanging="420"/>
      </w:pPr>
      <w:rPr>
        <w:rFonts w:hint="default" w:ascii="Wingdings" w:hAnsi="Wingdings"/>
      </w:r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435D9E"/>
    <w:rsid w:val="03FC409F"/>
    <w:rsid w:val="0B6D503E"/>
    <w:rsid w:val="15BB56B7"/>
    <w:rsid w:val="3F396424"/>
    <w:rsid w:val="436878DB"/>
    <w:rsid w:val="49123E90"/>
    <w:rsid w:val="665159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4"/>
      <w:szCs w:val="24"/>
    </w:rPr>
  </w:style>
  <w:style w:type="paragraph" w:styleId="2">
    <w:name w:val="heading 1"/>
    <w:next w:val="1"/>
    <w:qFormat/>
    <w:uiPriority w:val="0"/>
    <w:pPr>
      <w:jc w:val="left"/>
    </w:pPr>
    <w:rPr>
      <w:rFonts w:asciiTheme="minorHAnsi" w:hAnsiTheme="minorHAnsi" w:eastAsiaTheme="minorEastAsia" w:cstheme="minorBidi"/>
      <w:b/>
      <w:bCs/>
      <w:color w:val="000000"/>
      <w:sz w:val="40"/>
      <w:szCs w:val="40"/>
    </w:rPr>
  </w:style>
  <w:style w:type="paragraph" w:styleId="3">
    <w:name w:val="heading 2"/>
    <w:next w:val="1"/>
    <w:qFormat/>
    <w:uiPriority w:val="0"/>
    <w:pPr>
      <w:jc w:val="left"/>
    </w:pPr>
    <w:rPr>
      <w:rFonts w:asciiTheme="minorHAnsi" w:hAnsiTheme="minorHAnsi" w:eastAsiaTheme="minorEastAsia" w:cstheme="minorBidi"/>
      <w:b/>
      <w:bCs/>
      <w:color w:val="000000"/>
      <w:sz w:val="36"/>
      <w:szCs w:val="36"/>
    </w:rPr>
  </w:style>
  <w:style w:type="paragraph" w:styleId="4">
    <w:name w:val="heading 3"/>
    <w:next w:val="1"/>
    <w:qFormat/>
    <w:uiPriority w:val="0"/>
    <w:pPr>
      <w:jc w:val="left"/>
    </w:pPr>
    <w:rPr>
      <w:rFonts w:asciiTheme="minorHAnsi" w:hAnsiTheme="minorHAnsi" w:eastAsiaTheme="minorEastAsia" w:cstheme="minorBidi"/>
      <w:b/>
      <w:bCs/>
      <w:color w:val="000000"/>
      <w:sz w:val="32"/>
      <w:szCs w:val="32"/>
    </w:rPr>
  </w:style>
  <w:style w:type="paragraph" w:styleId="5">
    <w:name w:val="heading 4"/>
    <w:next w:val="1"/>
    <w:qFormat/>
    <w:uiPriority w:val="0"/>
    <w:pPr>
      <w:jc w:val="left"/>
    </w:pPr>
    <w:rPr>
      <w:rFonts w:asciiTheme="minorHAnsi" w:hAnsiTheme="minorHAnsi" w:eastAsiaTheme="minorEastAsia" w:cstheme="minorBidi"/>
      <w:b/>
      <w:bCs/>
      <w:color w:val="000000"/>
      <w:sz w:val="28"/>
      <w:szCs w:val="28"/>
    </w:rPr>
  </w:style>
  <w:style w:type="paragraph" w:styleId="6">
    <w:name w:val="heading 5"/>
    <w:next w:val="1"/>
    <w:qFormat/>
    <w:uiPriority w:val="0"/>
    <w:pPr>
      <w:jc w:val="left"/>
    </w:pPr>
    <w:rPr>
      <w:rFonts w:asciiTheme="minorHAnsi" w:hAnsiTheme="minorHAnsi" w:eastAsiaTheme="minorEastAsia" w:cstheme="minorBidi"/>
      <w:b/>
      <w:bCs/>
      <w:color w:val="000000"/>
      <w:sz w:val="24"/>
      <w:szCs w:val="24"/>
    </w:rPr>
  </w:style>
  <w:style w:type="paragraph" w:styleId="7">
    <w:name w:val="heading 6"/>
    <w:next w:val="1"/>
    <w:qFormat/>
    <w:uiPriority w:val="0"/>
    <w:pPr>
      <w:jc w:val="left"/>
    </w:pPr>
    <w:rPr>
      <w:rFonts w:asciiTheme="minorHAnsi" w:hAnsiTheme="minorHAnsi" w:eastAsiaTheme="minorEastAsia" w:cstheme="minorBidi"/>
      <w:b/>
      <w:bCs/>
      <w:color w:val="000000"/>
      <w:sz w:val="20"/>
      <w:szCs w:val="20"/>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toc 3"/>
    <w:basedOn w:val="1"/>
    <w:next w:val="1"/>
    <w:uiPriority w:val="0"/>
    <w:pPr>
      <w:ind w:left="840" w:leftChars="400"/>
    </w:pPr>
  </w:style>
  <w:style w:type="paragraph" w:styleId="10">
    <w:name w:val="toc 1"/>
    <w:basedOn w:val="1"/>
    <w:next w:val="1"/>
    <w:qFormat/>
    <w:uiPriority w:val="0"/>
  </w:style>
  <w:style w:type="paragraph" w:styleId="11">
    <w:name w:val="footnote text"/>
    <w:link w:val="21"/>
    <w:semiHidden/>
    <w:unhideWhenUsed/>
    <w:qFormat/>
    <w:uiPriority w:val="99"/>
    <w:pPr>
      <w:spacing w:after="0" w:line="240" w:lineRule="auto"/>
      <w:jc w:val="left"/>
    </w:pPr>
    <w:rPr>
      <w:rFonts w:asciiTheme="minorHAnsi" w:hAnsiTheme="minorHAnsi" w:eastAsiaTheme="minorEastAsia" w:cstheme="minorBidi"/>
      <w:sz w:val="20"/>
      <w:szCs w:val="20"/>
    </w:rPr>
  </w:style>
  <w:style w:type="paragraph" w:styleId="12">
    <w:name w:val="toc 2"/>
    <w:basedOn w:val="1"/>
    <w:next w:val="1"/>
    <w:qFormat/>
    <w:uiPriority w:val="0"/>
    <w:pPr>
      <w:ind w:left="420" w:leftChars="20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jc w:val="left"/>
    </w:pPr>
    <w:rPr>
      <w:rFonts w:asciiTheme="minorHAnsi" w:hAnsiTheme="minorHAnsi" w:eastAsiaTheme="minorEastAsia" w:cstheme="minorBidi"/>
      <w:sz w:val="56"/>
      <w:szCs w:val="56"/>
    </w:rPr>
  </w:style>
  <w:style w:type="character" w:styleId="17">
    <w:name w:val="Strong"/>
    <w:basedOn w:val="16"/>
    <w:qFormat/>
    <w:uiPriority w:val="0"/>
    <w:rPr>
      <w:b/>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qFormat/>
    <w:uiPriority w:val="0"/>
    <w:pPr>
      <w:jc w:val="left"/>
    </w:pPr>
    <w:rPr>
      <w:rFonts w:asciiTheme="minorHAnsi" w:hAnsiTheme="minorHAnsi" w:eastAsiaTheme="minorEastAsia" w:cstheme="minorBidi"/>
      <w:sz w:val="24"/>
      <w:szCs w:val="24"/>
    </w:rPr>
  </w:style>
  <w:style w:type="character" w:customStyle="1" w:styleId="21">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5827</Words>
  <Characters>8580</Characters>
  <TotalTime>324</TotalTime>
  <ScaleCrop>false</ScaleCrop>
  <LinksUpToDate>false</LinksUpToDate>
  <CharactersWithSpaces>9082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2026-05-04T11:34:00Z</dcterms:created>
  <dc:creator>Un-named</dc:creator>
  <cp:lastModifiedBy/>
  <dcterms:modified xsi:type="dcterms:W3CDTF">2026-05-14T11:24:27Z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2052-12.1.0.24034</vt:lpwstr>
  </property>
  <property fmtid="{D5CDD505-2E9C-101B-9397-08002B2CF9AE}" pid="4" name="ICV">
    <vt:lpwstr>4A31DB33C062492480BCEA6EC5B52213_12</vt:lpwstr>
  </property>
</Properties>
</file>