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16002">
      <w:pPr>
        <w:pStyle w:val="15"/>
        <w:rPr>
          <w:rFonts w:hint="eastAsia" w:ascii="黑体" w:hAnsi="黑体" w:eastAsia="黑体" w:cs="黑体"/>
          <w:sz w:val="21"/>
          <w:szCs w:val="21"/>
        </w:rPr>
      </w:pPr>
      <w:r>
        <w:rPr>
          <w:rFonts w:hint="eastAsia" w:ascii="黑体" w:hAnsi="黑体" w:eastAsia="黑体" w:cs="黑体"/>
          <w:sz w:val="21"/>
          <w:szCs w:val="21"/>
        </w:rPr>
        <w:t>液体记忆：论葡萄酒作为历史、风土与情感的复合载体</w:t>
      </w:r>
    </w:p>
    <w:p w14:paraId="2B580415">
      <w:pPr>
        <w:pStyle w:val="27"/>
        <w:rPr>
          <w:rFonts w:hint="eastAsia" w:ascii="黑体" w:hAnsi="黑体" w:eastAsia="黑体" w:cs="黑体"/>
          <w:sz w:val="21"/>
          <w:szCs w:val="21"/>
        </w:rPr>
      </w:pPr>
      <w:r>
        <w:rPr>
          <w:rFonts w:hint="eastAsia" w:ascii="黑体" w:hAnsi="黑体" w:eastAsia="黑体" w:cs="黑体"/>
          <w:sz w:val="21"/>
          <w:szCs w:val="21"/>
        </w:rPr>
        <w:t>液体记忆研究</w:t>
      </w:r>
    </w:p>
    <w:p w14:paraId="6DC15A04">
      <w:pPr>
        <w:pStyle w:val="2"/>
        <w:rPr>
          <w:rFonts w:hint="eastAsia" w:ascii="黑体" w:hAnsi="黑体" w:eastAsia="黑体" w:cs="黑体"/>
          <w:sz w:val="21"/>
          <w:szCs w:val="21"/>
        </w:rPr>
      </w:pPr>
      <w:bookmarkStart w:id="0" w:name="液体记忆论葡萄酒作为历史风土与情感的复合载体"/>
      <w:r>
        <w:rPr>
          <w:rFonts w:hint="eastAsia" w:ascii="黑体" w:hAnsi="黑体" w:eastAsia="黑体" w:cs="黑体"/>
          <w:sz w:val="21"/>
          <w:szCs w:val="21"/>
        </w:rPr>
        <w:t>液体记忆：论葡萄酒作为历史、风土与情感的复合载体</w:t>
      </w:r>
    </w:p>
    <w:p w14:paraId="56E1C0BB">
      <w:pPr>
        <w:pStyle w:val="23"/>
        <w:rPr>
          <w:rFonts w:hint="eastAsia" w:ascii="黑体" w:hAnsi="黑体" w:eastAsia="黑体" w:cs="黑体"/>
          <w:sz w:val="21"/>
          <w:szCs w:val="21"/>
        </w:rPr>
      </w:pPr>
      <w:r>
        <w:rPr>
          <w:rFonts w:hint="eastAsia" w:ascii="黑体" w:hAnsi="黑体" w:eastAsia="黑体" w:cs="黑体"/>
          <w:b/>
          <w:bCs/>
          <w:sz w:val="21"/>
          <w:szCs w:val="21"/>
        </w:rPr>
        <w:t>摘要</w:t>
      </w:r>
      <w:r>
        <w:rPr>
          <w:rFonts w:hint="eastAsia" w:ascii="黑体" w:hAnsi="黑体" w:eastAsia="黑体" w:cs="黑体"/>
          <w:sz w:val="21"/>
          <w:szCs w:val="21"/>
        </w:rPr>
        <w:t>：长期以来，对葡萄酒的讨论多集中于其感官品鉴、酿造工艺或商业价值。本文旨在提供一个跨学科的观察视角，提出葡萄酒的本质是一种”液体记忆”。它不仅是记录地理环境（风土）的物理样本，更是承载人类文明、技术演变与个体情感的活态档案。通过分析葡萄酒如何固化特定年份的气候信息、保存传统酿造的非物质文化遗产，以及成为个人情感与集体记忆的触发器，本文论证了葡萄酒作为一种非文字的历史文献的独特价值。研究认为，将葡萄酒视为”液体记忆”的认知框架，能够超越传统的品鉴范式，开启一种融合自然科学、人文历史与情感哲学的复合解读方式。</w:t>
      </w:r>
    </w:p>
    <w:p w14:paraId="13A8A3A3">
      <w:pPr>
        <w:pStyle w:val="3"/>
        <w:rPr>
          <w:rFonts w:hint="eastAsia" w:ascii="黑体" w:hAnsi="黑体" w:eastAsia="黑体" w:cs="黑体"/>
          <w:sz w:val="21"/>
          <w:szCs w:val="21"/>
        </w:rPr>
      </w:pPr>
      <w:r>
        <w:rPr>
          <w:rFonts w:hint="eastAsia" w:ascii="黑体" w:hAnsi="黑体" w:eastAsia="黑体" w:cs="黑体"/>
          <w:b/>
          <w:bCs/>
          <w:sz w:val="21"/>
          <w:szCs w:val="21"/>
        </w:rPr>
        <w:t>关键词</w:t>
      </w:r>
      <w:r>
        <w:rPr>
          <w:rFonts w:hint="eastAsia" w:ascii="黑体" w:hAnsi="黑体" w:eastAsia="黑体" w:cs="黑体"/>
          <w:sz w:val="21"/>
          <w:szCs w:val="21"/>
        </w:rPr>
        <w:t>：葡萄酒；风土；液体记忆；文化载体；历史文献；非物质文化遗产</w:t>
      </w:r>
    </w:p>
    <w:p w14:paraId="665DCBAC">
      <w:pPr>
        <w:rPr>
          <w:rFonts w:hint="eastAsia" w:ascii="黑体" w:hAnsi="黑体" w:eastAsia="黑体" w:cs="黑体"/>
          <w:sz w:val="21"/>
          <w:szCs w:val="21"/>
        </w:rPr>
      </w:pPr>
      <w:r>
        <w:rPr>
          <w:rFonts w:hint="eastAsia" w:ascii="黑体" w:hAnsi="黑体" w:eastAsia="黑体" w:cs="黑体"/>
          <w:sz w:val="21"/>
          <w:szCs w:val="21"/>
        </w:rPr>
        <w:pict>
          <v:rect id="_x0000_i1025" o:spt="1" style="height:1.5pt;width:0pt;" coordsize="21600,21600" o:hr="t" o:hrstd="t" o:hralign="center">
            <v:path/>
            <v:fill focussize="0,0"/>
            <v:stroke/>
            <v:imagedata o:title=""/>
            <o:lock v:ext="edit"/>
            <w10:wrap type="none"/>
            <w10:anchorlock/>
          </v:rect>
        </w:pict>
      </w:r>
    </w:p>
    <w:p w14:paraId="661C786D">
      <w:pPr>
        <w:pStyle w:val="4"/>
        <w:rPr>
          <w:rFonts w:hint="eastAsia" w:ascii="黑体" w:hAnsi="黑体" w:eastAsia="黑体" w:cs="黑体"/>
          <w:sz w:val="21"/>
          <w:szCs w:val="21"/>
        </w:rPr>
      </w:pPr>
      <w:bookmarkStart w:id="1" w:name="一引言被忽视的叙事维度"/>
      <w:r>
        <w:rPr>
          <w:rFonts w:hint="eastAsia" w:ascii="黑体" w:hAnsi="黑体" w:eastAsia="黑体" w:cs="黑体"/>
          <w:sz w:val="21"/>
          <w:szCs w:val="21"/>
        </w:rPr>
        <w:t>一、引言：被忽视的叙事维度</w:t>
      </w:r>
    </w:p>
    <w:p w14:paraId="79DC96A4">
      <w:pPr>
        <w:pStyle w:val="23"/>
        <w:rPr>
          <w:rFonts w:hint="eastAsia" w:ascii="黑体" w:hAnsi="黑体" w:eastAsia="黑体" w:cs="黑体"/>
          <w:sz w:val="21"/>
          <w:szCs w:val="21"/>
        </w:rPr>
      </w:pPr>
      <w:r>
        <w:rPr>
          <w:rFonts w:hint="eastAsia" w:ascii="黑体" w:hAnsi="黑体" w:eastAsia="黑体" w:cs="黑体"/>
          <w:sz w:val="21"/>
          <w:szCs w:val="21"/>
        </w:rPr>
        <w:t>当我们谈论一瓶1982年的拉菲（Château</w:t>
      </w:r>
      <w:r>
        <w:rPr>
          <w:rFonts w:hint="eastAsia" w:ascii="黑体" w:hAnsi="黑体" w:eastAsia="黑体" w:cs="黑体"/>
          <w:sz w:val="21"/>
          <w:szCs w:val="21"/>
        </w:rPr>
        <w:t xml:space="preserve"> Lafite </w:t>
      </w:r>
      <w:r>
        <w:rPr>
          <w:rFonts w:hint="eastAsia" w:ascii="黑体" w:hAnsi="黑体" w:eastAsia="黑体" w:cs="黑体"/>
          <w:sz w:val="21"/>
          <w:szCs w:val="21"/>
        </w:rPr>
        <w:t>Rothschild）时，谈论的远不止是赤霞珠（Cabernet</w:t>
      </w:r>
      <w:r>
        <w:rPr>
          <w:rFonts w:hint="eastAsia" w:ascii="黑体" w:hAnsi="黑体" w:eastAsia="黑体" w:cs="黑体"/>
          <w:sz w:val="21"/>
          <w:szCs w:val="21"/>
        </w:rPr>
        <w:t xml:space="preserve"> </w:t>
      </w:r>
      <w:r>
        <w:rPr>
          <w:rFonts w:hint="eastAsia" w:ascii="黑体" w:hAnsi="黑体" w:eastAsia="黑体" w:cs="黑体"/>
          <w:sz w:val="21"/>
          <w:szCs w:val="21"/>
        </w:rPr>
        <w:t>Sauvignon）的单宁结构和橡木桶带来的香草气息。我们实际上是在尝试触碰一个特定的时空节点：那一年的波尔多经历了怎样的阳光与雨水？那个时代的人们在如何酿酒与生活？1982年对于欧洲而言是一个怎样的历史坐标？</w:t>
      </w:r>
    </w:p>
    <w:p w14:paraId="6875DCF3">
      <w:pPr>
        <w:pStyle w:val="3"/>
        <w:rPr>
          <w:rFonts w:hint="eastAsia" w:ascii="黑体" w:hAnsi="黑体" w:eastAsia="黑体" w:cs="黑体"/>
          <w:sz w:val="21"/>
          <w:szCs w:val="21"/>
        </w:rPr>
      </w:pPr>
      <w:r>
        <w:rPr>
          <w:rFonts w:hint="eastAsia" w:ascii="黑体" w:hAnsi="黑体" w:eastAsia="黑体" w:cs="黑体"/>
          <w:sz w:val="21"/>
          <w:szCs w:val="21"/>
        </w:rPr>
        <w:t>葡萄酒的神奇之处在于，它有能力将这些在常规历史叙事中难以量化的信息——当年的日照时长、降水分布、昼夜温差，乃至酿酒师的审美取向与社会文化氛围——封装在一瓶玻璃容器中，等待着在未来的某个时刻被开启和解读。这正如法国作家、哲学家罗兰·巴特（Roland</w:t>
      </w:r>
      <w:r>
        <w:rPr>
          <w:rFonts w:hint="eastAsia" w:ascii="黑体" w:hAnsi="黑体" w:eastAsia="黑体" w:cs="黑体"/>
          <w:sz w:val="21"/>
          <w:szCs w:val="21"/>
        </w:rPr>
        <w:t xml:space="preserve"> </w:t>
      </w:r>
      <w:r>
        <w:rPr>
          <w:rFonts w:hint="eastAsia" w:ascii="黑体" w:hAnsi="黑体" w:eastAsia="黑体" w:cs="黑体"/>
          <w:sz w:val="21"/>
          <w:szCs w:val="21"/>
        </w:rPr>
        <w:t>Barthes）在《神话学》中所暗示的：日常物品往往承载着远超出其功能属性的文化意义。葡萄酒正是这样一种被”神话化”的物品，它在物质属性之上叠加了多层文化编码。</w:t>
      </w:r>
    </w:p>
    <w:p w14:paraId="2391C1BB">
      <w:pPr>
        <w:pStyle w:val="3"/>
        <w:rPr>
          <w:rFonts w:hint="eastAsia" w:ascii="黑体" w:hAnsi="黑体" w:eastAsia="黑体" w:cs="黑体"/>
          <w:sz w:val="21"/>
          <w:szCs w:val="21"/>
        </w:rPr>
      </w:pPr>
      <w:r>
        <w:rPr>
          <w:rFonts w:hint="eastAsia" w:ascii="黑体" w:hAnsi="黑体" w:eastAsia="黑体" w:cs="黑体"/>
          <w:sz w:val="21"/>
          <w:szCs w:val="21"/>
        </w:rPr>
        <w:t>传统上，对葡萄酒的研究主要分布在三条路径上：一是农业与酿造科学，关注葡萄栽培与发酵工艺的技术细节；二是感官品鉴学，致力于建立标准化的风味描述体系；三是市场与营销学，将葡萄酒定位为高端消费品。这些研究路径固然重要，却共同忽略了一个核心问题：葡萄酒为何能够超越其作为饮料的物质属性，成为人类文明中一种具有持久魅力的文化符号？</w:t>
      </w:r>
    </w:p>
    <w:p w14:paraId="0834AE77">
      <w:pPr>
        <w:pStyle w:val="3"/>
        <w:rPr>
          <w:rFonts w:hint="eastAsia" w:ascii="黑体" w:hAnsi="黑体" w:eastAsia="黑体" w:cs="黑体"/>
          <w:sz w:val="21"/>
          <w:szCs w:val="21"/>
        </w:rPr>
      </w:pPr>
      <w:r>
        <w:rPr>
          <w:rFonts w:hint="eastAsia" w:ascii="黑体" w:hAnsi="黑体" w:eastAsia="黑体" w:cs="黑体"/>
          <w:sz w:val="21"/>
          <w:szCs w:val="21"/>
        </w:rPr>
        <w:t>本文提出的核心论点是：葡萄酒的本质是一种”液体记忆”（Liquid</w:t>
      </w:r>
      <w:r>
        <w:rPr>
          <w:rFonts w:hint="eastAsia" w:ascii="黑体" w:hAnsi="黑体" w:eastAsia="黑体" w:cs="黑体"/>
          <w:sz w:val="21"/>
          <w:szCs w:val="21"/>
        </w:rPr>
        <w:t xml:space="preserve"> </w:t>
      </w:r>
      <w:r>
        <w:rPr>
          <w:rFonts w:hint="eastAsia" w:ascii="黑体" w:hAnsi="黑体" w:eastAsia="黑体" w:cs="黑体"/>
          <w:sz w:val="21"/>
          <w:szCs w:val="21"/>
        </w:rPr>
        <w:t>Memory）——一种能够同时记录自然环境信息、保存人类文化技艺、并激活情感体验的复合载体。这一概念借鉴了法国哲学家亨利·柏格森（Henri</w:t>
      </w:r>
      <w:r>
        <w:rPr>
          <w:rFonts w:hint="eastAsia" w:ascii="黑体" w:hAnsi="黑体" w:eastAsia="黑体" w:cs="黑体"/>
          <w:sz w:val="21"/>
          <w:szCs w:val="21"/>
        </w:rPr>
        <w:t xml:space="preserve"> </w:t>
      </w:r>
      <w:r>
        <w:rPr>
          <w:rFonts w:hint="eastAsia" w:ascii="黑体" w:hAnsi="黑体" w:eastAsia="黑体" w:cs="黑体"/>
          <w:sz w:val="21"/>
          <w:szCs w:val="21"/>
        </w:rPr>
        <w:t>Bergson）在《物质与记忆》中关于记忆的物质性讨论，以及法国历史学家皮埃尔·诺拉（Pierre</w:t>
      </w:r>
      <w:r>
        <w:rPr>
          <w:rFonts w:hint="eastAsia" w:ascii="黑体" w:hAnsi="黑体" w:eastAsia="黑体" w:cs="黑体"/>
          <w:sz w:val="21"/>
          <w:szCs w:val="21"/>
        </w:rPr>
        <w:t xml:space="preserve"> </w:t>
      </w:r>
      <w:r>
        <w:rPr>
          <w:rFonts w:hint="eastAsia" w:ascii="黑体" w:hAnsi="黑体" w:eastAsia="黑体" w:cs="黑体"/>
          <w:sz w:val="21"/>
          <w:szCs w:val="21"/>
        </w:rPr>
        <w:t>Nora）的”记忆之场”（Lieux</w:t>
      </w:r>
      <w:r>
        <w:rPr>
          <w:rFonts w:hint="eastAsia" w:ascii="黑体" w:hAnsi="黑体" w:eastAsia="黑体" w:cs="黑体"/>
          <w:sz w:val="21"/>
          <w:szCs w:val="21"/>
        </w:rPr>
        <w:t xml:space="preserve"> de </w:t>
      </w:r>
      <w:r>
        <w:rPr>
          <w:rFonts w:hint="eastAsia" w:ascii="黑体" w:hAnsi="黑体" w:eastAsia="黑体" w:cs="黑体"/>
          <w:sz w:val="21"/>
          <w:szCs w:val="21"/>
        </w:rPr>
        <w:t>mémoire）理论。葡萄酒可以被视为一个”记忆之场”——一个物质性的容器，在其中，历史、自然与情感得以被封装、保存，并在特定的时刻被重新激活。</w:t>
      </w:r>
    </w:p>
    <w:p w14:paraId="136D7681">
      <w:pPr>
        <w:pStyle w:val="3"/>
        <w:rPr>
          <w:rFonts w:hint="eastAsia" w:ascii="黑体" w:hAnsi="黑体" w:eastAsia="黑体" w:cs="黑体"/>
          <w:sz w:val="21"/>
          <w:szCs w:val="21"/>
        </w:rPr>
      </w:pPr>
      <w:r>
        <w:rPr>
          <w:rFonts w:hint="eastAsia" w:ascii="黑体" w:hAnsi="黑体" w:eastAsia="黑体" w:cs="黑体"/>
          <w:sz w:val="21"/>
          <w:szCs w:val="21"/>
        </w:rPr>
        <w:t>下文将从三个维度展开论证：自然的档案、文化的化石、情感的载体。每一维度都揭示葡萄酒作为”液体记忆”的一个侧面，三者共同构成对这一概念的完整理解。</w:t>
      </w:r>
    </w:p>
    <w:p w14:paraId="48BCB512">
      <w:pPr>
        <w:rPr>
          <w:rFonts w:hint="eastAsia" w:ascii="黑体" w:hAnsi="黑体" w:eastAsia="黑体" w:cs="黑体"/>
          <w:sz w:val="21"/>
          <w:szCs w:val="21"/>
        </w:rPr>
      </w:pPr>
      <w:r>
        <w:rPr>
          <w:rFonts w:hint="eastAsia" w:ascii="黑体" w:hAnsi="黑体" w:eastAsia="黑体" w:cs="黑体"/>
          <w:sz w:val="21"/>
          <w:szCs w:val="21"/>
        </w:rPr>
        <w:pict>
          <v:rect id="_x0000_i1026" o:spt="1" style="height:1.5pt;width:0pt;" coordsize="21600,21600" o:hr="t" o:hrstd="t" o:hralign="center">
            <v:path/>
            <v:fill focussize="0,0"/>
            <v:stroke/>
            <v:imagedata o:title=""/>
            <o:lock v:ext="edit"/>
            <w10:wrap type="none"/>
            <w10:anchorlock/>
          </v:rect>
        </w:pict>
      </w:r>
    </w:p>
    <w:bookmarkEnd w:id="1"/>
    <w:p w14:paraId="7DD61D58">
      <w:pPr>
        <w:pStyle w:val="4"/>
        <w:rPr>
          <w:rFonts w:hint="eastAsia" w:ascii="黑体" w:hAnsi="黑体" w:eastAsia="黑体" w:cs="黑体"/>
          <w:sz w:val="21"/>
          <w:szCs w:val="21"/>
        </w:rPr>
      </w:pPr>
      <w:bookmarkStart w:id="2" w:name="二自然的档案葡萄酒作为风土的精确记录"/>
      <w:r>
        <w:rPr>
          <w:rFonts w:hint="eastAsia" w:ascii="黑体" w:hAnsi="黑体" w:eastAsia="黑体" w:cs="黑体"/>
          <w:sz w:val="21"/>
          <w:szCs w:val="21"/>
        </w:rPr>
        <w:t>二、自然的档案：葡萄酒作为”风土”的精确记录</w:t>
      </w:r>
    </w:p>
    <w:p w14:paraId="6367384F">
      <w:pPr>
        <w:pStyle w:val="5"/>
        <w:rPr>
          <w:rFonts w:hint="eastAsia" w:ascii="黑体" w:hAnsi="黑体" w:eastAsia="黑体" w:cs="黑体"/>
          <w:sz w:val="21"/>
          <w:szCs w:val="21"/>
        </w:rPr>
      </w:pPr>
      <w:bookmarkStart w:id="3" w:name="风土从神秘到科学"/>
      <w:r>
        <w:rPr>
          <w:rFonts w:hint="eastAsia" w:ascii="黑体" w:hAnsi="黑体" w:eastAsia="黑体" w:cs="黑体"/>
          <w:sz w:val="21"/>
          <w:szCs w:val="21"/>
        </w:rPr>
        <w:t xml:space="preserve">2.1 </w:t>
      </w:r>
      <w:r>
        <w:rPr>
          <w:rFonts w:hint="eastAsia" w:ascii="黑体" w:hAnsi="黑体" w:eastAsia="黑体" w:cs="黑体"/>
          <w:sz w:val="21"/>
          <w:szCs w:val="21"/>
        </w:rPr>
        <w:t>风土：从神秘到科学</w:t>
      </w:r>
    </w:p>
    <w:p w14:paraId="5CE8B3E6">
      <w:pPr>
        <w:pStyle w:val="23"/>
        <w:rPr>
          <w:rFonts w:hint="eastAsia" w:ascii="黑体" w:hAnsi="黑体" w:eastAsia="黑体" w:cs="黑体"/>
          <w:sz w:val="21"/>
          <w:szCs w:val="21"/>
        </w:rPr>
      </w:pPr>
      <w:r>
        <w:rPr>
          <w:rFonts w:hint="eastAsia" w:ascii="黑体" w:hAnsi="黑体" w:eastAsia="黑体" w:cs="黑体"/>
          <w:sz w:val="21"/>
          <w:szCs w:val="21"/>
        </w:rPr>
        <w:t>“风土”（Terroir）是葡萄酒文化的核心概念，但它在历史传播过程中经历了显著的神秘化。本文主张，风土不应被视为一种不可言说的神秘品质，而应该被理解为一系列可测量、可验证的环境变量在葡萄酒中的综合表达。</w:t>
      </w:r>
    </w:p>
    <w:p w14:paraId="5B60402B">
      <w:pPr>
        <w:pStyle w:val="3"/>
        <w:rPr>
          <w:rFonts w:hint="eastAsia" w:ascii="黑体" w:hAnsi="黑体" w:eastAsia="黑体" w:cs="黑体"/>
          <w:sz w:val="21"/>
          <w:szCs w:val="21"/>
        </w:rPr>
      </w:pPr>
      <w:r>
        <w:rPr>
          <w:rFonts w:hint="eastAsia" w:ascii="黑体" w:hAnsi="黑体" w:eastAsia="黑体" w:cs="黑体"/>
          <w:sz w:val="21"/>
          <w:szCs w:val="21"/>
        </w:rPr>
        <w:t>从植物生理学的角度看，葡萄（Vitis</w:t>
      </w:r>
      <w:r>
        <w:rPr>
          <w:rFonts w:hint="eastAsia" w:ascii="黑体" w:hAnsi="黑体" w:eastAsia="黑体" w:cs="黑体"/>
          <w:sz w:val="21"/>
          <w:szCs w:val="21"/>
        </w:rPr>
        <w:t xml:space="preserve"> </w:t>
      </w:r>
      <w:r>
        <w:rPr>
          <w:rFonts w:hint="eastAsia" w:ascii="黑体" w:hAnsi="黑体" w:eastAsia="黑体" w:cs="黑体"/>
          <w:sz w:val="21"/>
          <w:szCs w:val="21"/>
        </w:rPr>
        <w:t>vinifera）是一种对环境变化极为敏感的作物。其根系深度可达数米，能够从土壤的不同层次吸收矿物质和水分；其果实的化学成分——包括糖分、酸度、酚类物质（花青素、单宁）——直接受到生长季节环境条件的精确调控。这意味着，每一瓶葡萄酒实际上都包含着一份关于其产地的、经过发酵处理的”环境报告”。</w:t>
      </w:r>
    </w:p>
    <w:bookmarkEnd w:id="3"/>
    <w:p w14:paraId="27A7959B">
      <w:pPr>
        <w:pStyle w:val="5"/>
        <w:rPr>
          <w:rFonts w:hint="eastAsia" w:ascii="黑体" w:hAnsi="黑体" w:eastAsia="黑体" w:cs="黑体"/>
          <w:sz w:val="21"/>
          <w:szCs w:val="21"/>
        </w:rPr>
      </w:pPr>
      <w:bookmarkStart w:id="4" w:name="年份气候的气象报告"/>
      <w:r>
        <w:rPr>
          <w:rFonts w:hint="eastAsia" w:ascii="黑体" w:hAnsi="黑体" w:eastAsia="黑体" w:cs="黑体"/>
          <w:sz w:val="21"/>
          <w:szCs w:val="21"/>
        </w:rPr>
        <w:t xml:space="preserve">2.2 </w:t>
      </w:r>
      <w:r>
        <w:rPr>
          <w:rFonts w:hint="eastAsia" w:ascii="黑体" w:hAnsi="黑体" w:eastAsia="黑体" w:cs="黑体"/>
          <w:sz w:val="21"/>
          <w:szCs w:val="21"/>
        </w:rPr>
        <w:t>年份：气候的气象报告</w:t>
      </w:r>
    </w:p>
    <w:p w14:paraId="20BB479F">
      <w:pPr>
        <w:pStyle w:val="23"/>
        <w:rPr>
          <w:rFonts w:hint="eastAsia" w:ascii="黑体" w:hAnsi="黑体" w:eastAsia="黑体" w:cs="黑体"/>
          <w:sz w:val="21"/>
          <w:szCs w:val="21"/>
        </w:rPr>
      </w:pPr>
      <w:r>
        <w:rPr>
          <w:rFonts w:hint="eastAsia" w:ascii="黑体" w:hAnsi="黑体" w:eastAsia="黑体" w:cs="黑体"/>
          <w:sz w:val="21"/>
          <w:szCs w:val="21"/>
        </w:rPr>
        <w:t>年份差异是葡萄酒作为自然档案的最直观体现。一个凉爽多雨的年份会酿造出酸度更高、酒体更轻盈、酒精含量更低的葡萄酒；而一个炎热干旱的年份则会带来更成熟、糖分更高、酒体更饱满的酒款。</w:t>
      </w:r>
    </w:p>
    <w:p w14:paraId="695DF644">
      <w:pPr>
        <w:pStyle w:val="3"/>
        <w:rPr>
          <w:rFonts w:hint="eastAsia" w:ascii="黑体" w:hAnsi="黑体" w:eastAsia="黑体" w:cs="黑体"/>
          <w:sz w:val="21"/>
          <w:szCs w:val="21"/>
        </w:rPr>
      </w:pPr>
      <w:r>
        <w:rPr>
          <w:rFonts w:hint="eastAsia" w:ascii="黑体" w:hAnsi="黑体" w:eastAsia="黑体" w:cs="黑体"/>
          <w:sz w:val="21"/>
          <w:szCs w:val="21"/>
        </w:rPr>
        <w:t>以波尔多为例，21世纪初的几个标志性年份——2000年（温暖均衡）、2005年（近乎完美的成熟条件）、2009年（极度炎热）、2010年（凉爽而结构感强）——各自在葡萄酒的化学成分上留下了鲜明的印记。据葡萄栽培学研究，2003年欧洲热浪期间，波尔多地区的葡萄成熟速度空前加快，导致当年葡萄酒的潜在酒精度比长期平均值高出2-3个百分点，而酸度则显著降低。从这个意义上说，每一瓶标注年份的葡萄酒都是一份经过发酵的自然界气象报告。</w:t>
      </w:r>
    </w:p>
    <w:p w14:paraId="232EE45C">
      <w:pPr>
        <w:pStyle w:val="3"/>
        <w:rPr>
          <w:rFonts w:hint="eastAsia" w:ascii="黑体" w:hAnsi="黑体" w:eastAsia="黑体" w:cs="黑体"/>
          <w:sz w:val="21"/>
          <w:szCs w:val="21"/>
        </w:rPr>
      </w:pPr>
      <w:r>
        <w:rPr>
          <w:rFonts w:hint="eastAsia" w:ascii="黑体" w:hAnsi="黑体" w:eastAsia="黑体" w:cs="黑体"/>
          <w:sz w:val="21"/>
          <w:szCs w:val="21"/>
        </w:rPr>
        <w:t>更令人惊叹的是，通过分析陈年葡萄酒中的化学成分，现代科学家可以反推当年该地区的生长季气候特征。研究团队已经成功通过分析葡萄酒中的稳定同位素比值，重建了过去数十年间特定产区的温度和降水模式。葡萄酒在此意义上成为了气候科学的档案材料。</w:t>
      </w:r>
    </w:p>
    <w:bookmarkEnd w:id="4"/>
    <w:p w14:paraId="28B8605E">
      <w:pPr>
        <w:pStyle w:val="5"/>
        <w:rPr>
          <w:rFonts w:hint="eastAsia" w:ascii="黑体" w:hAnsi="黑体" w:eastAsia="黑体" w:cs="黑体"/>
          <w:sz w:val="21"/>
          <w:szCs w:val="21"/>
        </w:rPr>
      </w:pPr>
      <w:bookmarkStart w:id="5" w:name="土壤可品尝的地质学"/>
      <w:r>
        <w:rPr>
          <w:rFonts w:hint="eastAsia" w:ascii="黑体" w:hAnsi="黑体" w:eastAsia="黑体" w:cs="黑体"/>
          <w:sz w:val="21"/>
          <w:szCs w:val="21"/>
        </w:rPr>
        <w:t xml:space="preserve">2.3 </w:t>
      </w:r>
      <w:r>
        <w:rPr>
          <w:rFonts w:hint="eastAsia" w:ascii="黑体" w:hAnsi="黑体" w:eastAsia="黑体" w:cs="黑体"/>
          <w:sz w:val="21"/>
          <w:szCs w:val="21"/>
        </w:rPr>
        <w:t>土壤：可品尝的地质学</w:t>
      </w:r>
    </w:p>
    <w:p w14:paraId="67249DEE">
      <w:pPr>
        <w:pStyle w:val="23"/>
        <w:rPr>
          <w:rFonts w:hint="eastAsia" w:ascii="黑体" w:hAnsi="黑体" w:eastAsia="黑体" w:cs="黑体"/>
          <w:sz w:val="21"/>
          <w:szCs w:val="21"/>
        </w:rPr>
      </w:pPr>
      <w:r>
        <w:rPr>
          <w:rFonts w:hint="eastAsia" w:ascii="黑体" w:hAnsi="黑体" w:eastAsia="黑体" w:cs="黑体"/>
          <w:sz w:val="21"/>
          <w:szCs w:val="21"/>
        </w:rPr>
        <w:t>土壤的矿物组成是风土概念的第二个关键维度。石灰岩、黏土、燧石、花岗岩、片岩——这些不同的地质基质以微量元素的形式进入葡萄果实，最终在葡萄酒的风味和质地中留下独特的印记。</w:t>
      </w:r>
    </w:p>
    <w:p w14:paraId="5980D487">
      <w:pPr>
        <w:pStyle w:val="3"/>
        <w:rPr>
          <w:rFonts w:hint="eastAsia" w:ascii="黑体" w:hAnsi="黑体" w:eastAsia="黑体" w:cs="黑体"/>
          <w:sz w:val="21"/>
          <w:szCs w:val="21"/>
        </w:rPr>
      </w:pPr>
      <w:r>
        <w:rPr>
          <w:rFonts w:hint="eastAsia" w:ascii="黑体" w:hAnsi="黑体" w:eastAsia="黑体" w:cs="黑体"/>
          <w:sz w:val="21"/>
          <w:szCs w:val="21"/>
        </w:rPr>
        <w:t>在法国勃艮第（Burgundy），这种地质学与葡萄酒之间的联系被推向了极致。勃艮第的特级园（Grand</w:t>
      </w:r>
      <w:r>
        <w:rPr>
          <w:rFonts w:hint="eastAsia" w:ascii="黑体" w:hAnsi="黑体" w:eastAsia="黑体" w:cs="黑体"/>
          <w:sz w:val="21"/>
          <w:szCs w:val="21"/>
        </w:rPr>
        <w:t xml:space="preserve"> </w:t>
      </w:r>
      <w:r>
        <w:rPr>
          <w:rFonts w:hint="eastAsia" w:ascii="黑体" w:hAnsi="黑体" w:eastAsia="黑体" w:cs="黑体"/>
          <w:sz w:val="21"/>
          <w:szCs w:val="21"/>
        </w:rPr>
        <w:t>Cru）系统实质上建立在对侏罗纪时期海洋沉积物分布的精细理解之上。香贝丹（Chambertin）的石灰岩与武若园（Clos</w:t>
      </w:r>
      <w:r>
        <w:rPr>
          <w:rFonts w:hint="eastAsia" w:ascii="黑体" w:hAnsi="黑体" w:eastAsia="黑体" w:cs="黑体"/>
          <w:sz w:val="21"/>
          <w:szCs w:val="21"/>
        </w:rPr>
        <w:t xml:space="preserve"> de </w:t>
      </w:r>
      <w:r>
        <w:rPr>
          <w:rFonts w:hint="eastAsia" w:ascii="黑体" w:hAnsi="黑体" w:eastAsia="黑体" w:cs="黑体"/>
          <w:sz w:val="21"/>
          <w:szCs w:val="21"/>
        </w:rPr>
        <w:t>Vougeot）的黏土-石灰岩混合土壤，在相邻的葡萄园之间创造了截然不同的风味轮廓。同样，在德国摩泽尔（Mosel）产区，板岩土壤不仅赋予雷司令（Riesling）独特的矿物质感，还在夜间释放白天吸收的热量，使得葡萄在凉爽的北部气候中得以充分成熟。</w:t>
      </w:r>
    </w:p>
    <w:p w14:paraId="22D6881D">
      <w:pPr>
        <w:pStyle w:val="3"/>
        <w:rPr>
          <w:rFonts w:hint="eastAsia" w:ascii="黑体" w:hAnsi="黑体" w:eastAsia="黑体" w:cs="黑体"/>
          <w:sz w:val="21"/>
          <w:szCs w:val="21"/>
        </w:rPr>
      </w:pPr>
      <w:r>
        <w:rPr>
          <w:rFonts w:hint="eastAsia" w:ascii="黑体" w:hAnsi="黑体" w:eastAsia="黑体" w:cs="黑体"/>
          <w:sz w:val="21"/>
          <w:szCs w:val="21"/>
        </w:rPr>
        <w:t>品鉴一款来自特定产区的葡萄酒，本质上是在进行一次跨越时空的地质考察。它为饮者提供了一个独特的维度，去感知和理解人类与自然环境的互动关系——而这种互动关系，正是”风土”概念最深刻的含义所在。</w:t>
      </w:r>
    </w:p>
    <w:p w14:paraId="4C5283AF">
      <w:pPr>
        <w:rPr>
          <w:rFonts w:hint="eastAsia" w:ascii="黑体" w:hAnsi="黑体" w:eastAsia="黑体" w:cs="黑体"/>
          <w:sz w:val="21"/>
          <w:szCs w:val="21"/>
        </w:rPr>
      </w:pPr>
      <w:r>
        <w:rPr>
          <w:rFonts w:hint="eastAsia" w:ascii="黑体" w:hAnsi="黑体" w:eastAsia="黑体" w:cs="黑体"/>
          <w:sz w:val="21"/>
          <w:szCs w:val="21"/>
        </w:rPr>
        <w:pict>
          <v:rect id="_x0000_i1027" o:spt="1" style="height:1.5pt;width:0pt;" coordsize="21600,21600" o:hr="t" o:hrstd="t" o:hralign="center">
            <v:path/>
            <v:fill focussize="0,0"/>
            <v:stroke/>
            <v:imagedata o:title=""/>
            <o:lock v:ext="edit"/>
            <w10:wrap type="none"/>
            <w10:anchorlock/>
          </v:rect>
        </w:pict>
      </w:r>
    </w:p>
    <w:bookmarkEnd w:id="2"/>
    <w:bookmarkEnd w:id="5"/>
    <w:p w14:paraId="1BD86D6E">
      <w:pPr>
        <w:pStyle w:val="4"/>
        <w:rPr>
          <w:rFonts w:hint="eastAsia" w:ascii="黑体" w:hAnsi="黑体" w:eastAsia="黑体" w:cs="黑体"/>
          <w:sz w:val="21"/>
          <w:szCs w:val="21"/>
        </w:rPr>
      </w:pPr>
      <w:bookmarkStart w:id="6" w:name="三文化的化石传统与技艺的非物质遗产"/>
      <w:r>
        <w:rPr>
          <w:rFonts w:hint="eastAsia" w:ascii="黑体" w:hAnsi="黑体" w:eastAsia="黑体" w:cs="黑体"/>
          <w:sz w:val="21"/>
          <w:szCs w:val="21"/>
        </w:rPr>
        <w:t>三、文化的化石：传统与技艺的非物质遗产</w:t>
      </w:r>
    </w:p>
    <w:p w14:paraId="0F99537D">
      <w:pPr>
        <w:pStyle w:val="23"/>
        <w:rPr>
          <w:rFonts w:hint="eastAsia" w:ascii="黑体" w:hAnsi="黑体" w:eastAsia="黑体" w:cs="黑体"/>
          <w:sz w:val="21"/>
          <w:szCs w:val="21"/>
        </w:rPr>
      </w:pPr>
      <w:r>
        <w:rPr>
          <w:rFonts w:hint="eastAsia" w:ascii="黑体" w:hAnsi="黑体" w:eastAsia="黑体" w:cs="黑体"/>
          <w:sz w:val="21"/>
          <w:szCs w:val="21"/>
        </w:rPr>
        <w:t>如果说风土是葡萄酒作为自然档案的维度，那么酿造传统则是其作为文化档案的维度。在许多葡萄酒产区，酿造方法本身就是一种活着的传统，是代代相传的非物质文化遗产。</w:t>
      </w:r>
    </w:p>
    <w:p w14:paraId="4083A6B2">
      <w:pPr>
        <w:pStyle w:val="5"/>
        <w:rPr>
          <w:rFonts w:hint="eastAsia" w:ascii="黑体" w:hAnsi="黑体" w:eastAsia="黑体" w:cs="黑体"/>
          <w:sz w:val="21"/>
          <w:szCs w:val="21"/>
        </w:rPr>
      </w:pPr>
      <w:bookmarkStart w:id="7" w:name="格鲁吉亚8000年的活态传统"/>
      <w:r>
        <w:rPr>
          <w:rFonts w:hint="eastAsia" w:ascii="黑体" w:hAnsi="黑体" w:eastAsia="黑体" w:cs="黑体"/>
          <w:sz w:val="21"/>
          <w:szCs w:val="21"/>
        </w:rPr>
        <w:t xml:space="preserve">3.1 </w:t>
      </w:r>
      <w:r>
        <w:rPr>
          <w:rFonts w:hint="eastAsia" w:ascii="黑体" w:hAnsi="黑体" w:eastAsia="黑体" w:cs="黑体"/>
          <w:sz w:val="21"/>
          <w:szCs w:val="21"/>
        </w:rPr>
        <w:t>格鲁吉亚：8000年的活态传统</w:t>
      </w:r>
    </w:p>
    <w:p w14:paraId="3E22F564">
      <w:pPr>
        <w:pStyle w:val="23"/>
        <w:rPr>
          <w:rFonts w:hint="eastAsia" w:ascii="黑体" w:hAnsi="黑体" w:eastAsia="黑体" w:cs="黑体"/>
          <w:sz w:val="21"/>
          <w:szCs w:val="21"/>
        </w:rPr>
      </w:pPr>
      <w:r>
        <w:rPr>
          <w:rFonts w:hint="eastAsia" w:ascii="黑体" w:hAnsi="黑体" w:eastAsia="黑体" w:cs="黑体"/>
          <w:sz w:val="21"/>
          <w:szCs w:val="21"/>
        </w:rPr>
        <w:t>格鲁吉亚（Georgia）的陶罐酿酒传统（Qvevri</w:t>
      </w:r>
      <w:r>
        <w:rPr>
          <w:rFonts w:hint="eastAsia" w:ascii="黑体" w:hAnsi="黑体" w:eastAsia="黑体" w:cs="黑体"/>
          <w:sz w:val="21"/>
          <w:szCs w:val="21"/>
        </w:rPr>
        <w:t xml:space="preserve"> </w:t>
      </w:r>
      <w:r>
        <w:rPr>
          <w:rFonts w:hint="eastAsia" w:ascii="黑体" w:hAnsi="黑体" w:eastAsia="黑体" w:cs="黑体"/>
          <w:sz w:val="21"/>
          <w:szCs w:val="21"/>
        </w:rPr>
        <w:t>method）是葡萄酒作为文化”化石”的最有力例证。考古证据表明，格鲁吉亚人在距今约8000年前就开始使用大型陶罐（Qvevri）埋入地下进行葡萄酒的自然发酵和陈酿。这一传统从未中断，一直延续至今。</w:t>
      </w:r>
    </w:p>
    <w:p w14:paraId="563194C4">
      <w:pPr>
        <w:pStyle w:val="3"/>
        <w:rPr>
          <w:rFonts w:hint="eastAsia" w:ascii="黑体" w:hAnsi="黑体" w:eastAsia="黑体" w:cs="黑体"/>
          <w:sz w:val="21"/>
          <w:szCs w:val="21"/>
        </w:rPr>
      </w:pPr>
      <w:r>
        <w:rPr>
          <w:rFonts w:hint="eastAsia" w:ascii="黑体" w:hAnsi="黑体" w:eastAsia="黑体" w:cs="黑体"/>
          <w:sz w:val="21"/>
          <w:szCs w:val="21"/>
        </w:rPr>
        <w:t>品尝一款使用Qvevri方法酿造的葡萄酒，品尝的不仅是风味——那是葡萄汁与陶土壁之间长达数月的接触所带来的独特口感——更是人类早期文明的智慧样本。这种酿造方法与今天占据主导地位的温控不锈钢罐酿酒形成了鲜明的对比：一个依靠自然微生物群落和大地恒温，另一个依赖人工筛选酵母和精确的温度控制。两种方法之间的张力，本身就是一部关于人类技术演进的微型叙事。</w:t>
      </w:r>
    </w:p>
    <w:bookmarkEnd w:id="7"/>
    <w:p w14:paraId="1783AA50">
      <w:pPr>
        <w:pStyle w:val="5"/>
        <w:rPr>
          <w:rFonts w:hint="eastAsia" w:ascii="黑体" w:hAnsi="黑体" w:eastAsia="黑体" w:cs="黑体"/>
          <w:sz w:val="21"/>
          <w:szCs w:val="21"/>
        </w:rPr>
      </w:pPr>
      <w:bookmarkStart w:id="8" w:name="香槟意外事故演变为文化符号"/>
      <w:r>
        <w:rPr>
          <w:rFonts w:hint="eastAsia" w:ascii="黑体" w:hAnsi="黑体" w:eastAsia="黑体" w:cs="黑体"/>
          <w:sz w:val="21"/>
          <w:szCs w:val="21"/>
        </w:rPr>
        <w:t xml:space="preserve">3.2 </w:t>
      </w:r>
      <w:r>
        <w:rPr>
          <w:rFonts w:hint="eastAsia" w:ascii="黑体" w:hAnsi="黑体" w:eastAsia="黑体" w:cs="黑体"/>
          <w:sz w:val="21"/>
          <w:szCs w:val="21"/>
        </w:rPr>
        <w:t>香槟：意外事故演变为文化符号</w:t>
      </w:r>
    </w:p>
    <w:p w14:paraId="22C4B63F">
      <w:pPr>
        <w:pStyle w:val="23"/>
        <w:rPr>
          <w:rFonts w:hint="eastAsia" w:ascii="黑体" w:hAnsi="黑体" w:eastAsia="黑体" w:cs="黑体"/>
          <w:sz w:val="21"/>
          <w:szCs w:val="21"/>
        </w:rPr>
      </w:pPr>
      <w:r>
        <w:rPr>
          <w:rFonts w:hint="eastAsia" w:ascii="黑体" w:hAnsi="黑体" w:eastAsia="黑体" w:cs="黑体"/>
          <w:sz w:val="21"/>
          <w:szCs w:val="21"/>
        </w:rPr>
        <w:t>香槟（Champagne）的故事则展示了技术”意外”如何演变为文化传统。17世纪末，法国香槟地区的葡萄酒在瓶内二次发酵产生的气泡曾被酿酒师视为缺陷——瓶壁承受不住内部压力而频繁爆炸，导致当时被称为”魔鬼的酒”。然而，正是这一”缺陷”被英国物理学家克里斯托弗·梅雷特（Christopher</w:t>
      </w:r>
      <w:r>
        <w:rPr>
          <w:rFonts w:hint="eastAsia" w:ascii="黑体" w:hAnsi="黑体" w:eastAsia="黑体" w:cs="黑体"/>
          <w:sz w:val="21"/>
          <w:szCs w:val="21"/>
        </w:rPr>
        <w:t xml:space="preserve"> </w:t>
      </w:r>
      <w:r>
        <w:rPr>
          <w:rFonts w:hint="eastAsia" w:ascii="黑体" w:hAnsi="黑体" w:eastAsia="黑体" w:cs="黑体"/>
          <w:sz w:val="21"/>
          <w:szCs w:val="21"/>
        </w:rPr>
        <w:t>Merret）和后来的凯歌夫人（Madame</w:t>
      </w:r>
      <w:r>
        <w:rPr>
          <w:rFonts w:hint="eastAsia" w:ascii="黑体" w:hAnsi="黑体" w:eastAsia="黑体" w:cs="黑体"/>
          <w:sz w:val="21"/>
          <w:szCs w:val="21"/>
        </w:rPr>
        <w:t xml:space="preserve"> </w:t>
      </w:r>
      <w:r>
        <w:rPr>
          <w:rFonts w:hint="eastAsia" w:ascii="黑体" w:hAnsi="黑体" w:eastAsia="黑体" w:cs="黑体"/>
          <w:sz w:val="21"/>
          <w:szCs w:val="21"/>
        </w:rPr>
        <w:t>Clicquot）先后加以理解和驯化，最终演变为今天全球公认的庆祝与仪式的符号。</w:t>
      </w:r>
    </w:p>
    <w:p w14:paraId="532516B5">
      <w:pPr>
        <w:pStyle w:val="3"/>
        <w:rPr>
          <w:rFonts w:hint="eastAsia" w:ascii="黑体" w:hAnsi="黑体" w:eastAsia="黑体" w:cs="黑体"/>
          <w:sz w:val="21"/>
          <w:szCs w:val="21"/>
        </w:rPr>
      </w:pPr>
      <w:r>
        <w:rPr>
          <w:rFonts w:hint="eastAsia" w:ascii="黑体" w:hAnsi="黑体" w:eastAsia="黑体" w:cs="黑体"/>
          <w:sz w:val="21"/>
          <w:szCs w:val="21"/>
        </w:rPr>
        <w:t>香槟的演变轨迹揭示了一个重要命题：葡萄酒传统并非一成不变地来自远古，而是不断在被发明、被规训和被重新诠释。品鉴一款年份香槟，实际上是在品味一部由偶然性、技术创新和文化建构共同书写的历史。</w:t>
      </w:r>
    </w:p>
    <w:bookmarkEnd w:id="8"/>
    <w:p w14:paraId="4544D08A">
      <w:pPr>
        <w:pStyle w:val="5"/>
        <w:rPr>
          <w:rFonts w:hint="eastAsia" w:ascii="黑体" w:hAnsi="黑体" w:eastAsia="黑体" w:cs="黑体"/>
          <w:sz w:val="21"/>
          <w:szCs w:val="21"/>
        </w:rPr>
      </w:pPr>
      <w:bookmarkStart w:id="9" w:name="现代性与传统的辩证"/>
      <w:r>
        <w:rPr>
          <w:rFonts w:hint="eastAsia" w:ascii="黑体" w:hAnsi="黑体" w:eastAsia="黑体" w:cs="黑体"/>
          <w:sz w:val="21"/>
          <w:szCs w:val="21"/>
        </w:rPr>
        <w:t xml:space="preserve">3.3 </w:t>
      </w:r>
      <w:r>
        <w:rPr>
          <w:rFonts w:hint="eastAsia" w:ascii="黑体" w:hAnsi="黑体" w:eastAsia="黑体" w:cs="黑体"/>
          <w:sz w:val="21"/>
          <w:szCs w:val="21"/>
        </w:rPr>
        <w:t>现代性与传统的辩证</w:t>
      </w:r>
    </w:p>
    <w:p w14:paraId="72031D68">
      <w:pPr>
        <w:pStyle w:val="23"/>
        <w:rPr>
          <w:rFonts w:hint="eastAsia" w:ascii="黑体" w:hAnsi="黑体" w:eastAsia="黑体" w:cs="黑体"/>
          <w:sz w:val="21"/>
          <w:szCs w:val="21"/>
        </w:rPr>
      </w:pPr>
      <w:r>
        <w:rPr>
          <w:rFonts w:hint="eastAsia" w:ascii="黑体" w:hAnsi="黑体" w:eastAsia="黑体" w:cs="黑体"/>
          <w:sz w:val="21"/>
          <w:szCs w:val="21"/>
        </w:rPr>
        <w:t>在20世纪下半叶，葡萄酒酿造经历了一场深刻的”技术化”转型。筛选酵母的使用使得发酵过程更加可预测和可控；温控不锈钢罐保证了葡萄酒的稳定品质；反渗透和微氧技术等技术手段使得酿酒师能够以前所未有的精度调整酒液成分。这一趋势的代表性人物是美国的罗伯特·蒙大维（Robert</w:t>
      </w:r>
      <w:r>
        <w:rPr>
          <w:rFonts w:hint="eastAsia" w:ascii="黑体" w:hAnsi="黑体" w:eastAsia="黑体" w:cs="黑体"/>
          <w:sz w:val="21"/>
          <w:szCs w:val="21"/>
        </w:rPr>
        <w:t xml:space="preserve"> </w:t>
      </w:r>
      <w:r>
        <w:rPr>
          <w:rFonts w:hint="eastAsia" w:ascii="黑体" w:hAnsi="黑体" w:eastAsia="黑体" w:cs="黑体"/>
          <w:sz w:val="21"/>
          <w:szCs w:val="21"/>
        </w:rPr>
        <w:t>Mondavi），他推动了加利福尼亚葡萄酒的现代化进程，并创造了所谓的”国际化风格”葡萄酒。</w:t>
      </w:r>
    </w:p>
    <w:p w14:paraId="116AAA97">
      <w:pPr>
        <w:pStyle w:val="3"/>
        <w:rPr>
          <w:rFonts w:hint="eastAsia" w:ascii="黑体" w:hAnsi="黑体" w:eastAsia="黑体" w:cs="黑体"/>
          <w:sz w:val="21"/>
          <w:szCs w:val="21"/>
        </w:rPr>
      </w:pPr>
      <w:r>
        <w:rPr>
          <w:rFonts w:hint="eastAsia" w:ascii="黑体" w:hAnsi="黑体" w:eastAsia="黑体" w:cs="黑体"/>
          <w:sz w:val="21"/>
          <w:szCs w:val="21"/>
        </w:rPr>
        <w:t>然而，自21世纪初以来，一股强大的”反拨”力量正在兴起。以”自然酒”（Natural</w:t>
      </w:r>
      <w:r>
        <w:rPr>
          <w:rFonts w:hint="eastAsia" w:ascii="黑体" w:hAnsi="黑体" w:eastAsia="黑体" w:cs="黑体"/>
          <w:sz w:val="21"/>
          <w:szCs w:val="21"/>
        </w:rPr>
        <w:t xml:space="preserve"> </w:t>
      </w:r>
      <w:r>
        <w:rPr>
          <w:rFonts w:hint="eastAsia" w:ascii="黑体" w:hAnsi="黑体" w:eastAsia="黑体" w:cs="黑体"/>
          <w:sz w:val="21"/>
          <w:szCs w:val="21"/>
        </w:rPr>
        <w:t>Wine）运动为代表的趋势，强调最小干预、本地酵母发酵、低二氧化硫使用等原则。这一运动的倡导者认为，过度技术化的葡萄酒正在丧失其作为风土表达者的本质。</w:t>
      </w:r>
    </w:p>
    <w:p w14:paraId="0856FF02">
      <w:pPr>
        <w:pStyle w:val="3"/>
        <w:rPr>
          <w:rFonts w:hint="eastAsia" w:ascii="黑体" w:hAnsi="黑体" w:eastAsia="黑体" w:cs="黑体"/>
          <w:sz w:val="21"/>
          <w:szCs w:val="21"/>
        </w:rPr>
      </w:pPr>
      <w:r>
        <w:rPr>
          <w:rFonts w:hint="eastAsia" w:ascii="黑体" w:hAnsi="黑体" w:eastAsia="黑体" w:cs="黑体"/>
          <w:sz w:val="21"/>
          <w:szCs w:val="21"/>
        </w:rPr>
        <w:t>将一瓶20世纪50年代的勃艮第与一瓶今天的自然酒并置品尝，二者之间的差异构成了一部隐形的技术史：从自然崇拜到科学干预，再到今天寻求二者平衡的复杂历程。葡萄酒在此意义上成为了记录人类技术哲学变迁的液态档案。</w:t>
      </w:r>
    </w:p>
    <w:p w14:paraId="7FE69CD9">
      <w:pPr>
        <w:rPr>
          <w:rFonts w:hint="eastAsia" w:ascii="黑体" w:hAnsi="黑体" w:eastAsia="黑体" w:cs="黑体"/>
          <w:sz w:val="21"/>
          <w:szCs w:val="21"/>
        </w:rPr>
      </w:pPr>
      <w:r>
        <w:rPr>
          <w:rFonts w:hint="eastAsia" w:ascii="黑体" w:hAnsi="黑体" w:eastAsia="黑体" w:cs="黑体"/>
          <w:sz w:val="21"/>
          <w:szCs w:val="21"/>
        </w:rPr>
        <w:pict>
          <v:rect id="_x0000_i1028" o:spt="1" style="height:1.5pt;width:0pt;" coordsize="21600,21600" o:hr="t" o:hrstd="t" o:hralign="center">
            <v:path/>
            <v:fill focussize="0,0"/>
            <v:stroke/>
            <v:imagedata o:title=""/>
            <o:lock v:ext="edit"/>
            <w10:wrap type="none"/>
            <w10:anchorlock/>
          </v:rect>
        </w:pict>
      </w:r>
    </w:p>
    <w:bookmarkEnd w:id="6"/>
    <w:bookmarkEnd w:id="9"/>
    <w:p w14:paraId="6F34737E">
      <w:pPr>
        <w:pStyle w:val="4"/>
        <w:rPr>
          <w:rFonts w:hint="eastAsia" w:ascii="黑体" w:hAnsi="黑体" w:eastAsia="黑体" w:cs="黑体"/>
          <w:sz w:val="21"/>
          <w:szCs w:val="21"/>
        </w:rPr>
      </w:pPr>
      <w:bookmarkStart w:id="10" w:name="四情感的载体从个人记忆到集体无意识"/>
      <w:r>
        <w:rPr>
          <w:rFonts w:hint="eastAsia" w:ascii="黑体" w:hAnsi="黑体" w:eastAsia="黑体" w:cs="黑体"/>
          <w:sz w:val="21"/>
          <w:szCs w:val="21"/>
        </w:rPr>
        <w:t>四、情感的载体：从个人记忆到集体无意识</w:t>
      </w:r>
    </w:p>
    <w:p w14:paraId="3D38124B">
      <w:pPr>
        <w:pStyle w:val="23"/>
        <w:rPr>
          <w:rFonts w:hint="eastAsia" w:ascii="黑体" w:hAnsi="黑体" w:eastAsia="黑体" w:cs="黑体"/>
          <w:sz w:val="21"/>
          <w:szCs w:val="21"/>
        </w:rPr>
      </w:pPr>
      <w:r>
        <w:rPr>
          <w:rFonts w:hint="eastAsia" w:ascii="黑体" w:hAnsi="黑体" w:eastAsia="黑体" w:cs="黑体"/>
          <w:sz w:val="21"/>
          <w:szCs w:val="21"/>
        </w:rPr>
        <w:t>葡萄酒最打动人心的维度，在于它激活记忆和承载情感的能力。这正是法国作家马塞尔·普鲁斯特（Marcel</w:t>
      </w:r>
      <w:r>
        <w:rPr>
          <w:rFonts w:hint="eastAsia" w:ascii="黑体" w:hAnsi="黑体" w:eastAsia="黑体" w:cs="黑体"/>
          <w:sz w:val="21"/>
          <w:szCs w:val="21"/>
        </w:rPr>
        <w:t xml:space="preserve"> </w:t>
      </w:r>
      <w:r>
        <w:rPr>
          <w:rFonts w:hint="eastAsia" w:ascii="黑体" w:hAnsi="黑体" w:eastAsia="黑体" w:cs="黑体"/>
          <w:sz w:val="21"/>
          <w:szCs w:val="21"/>
        </w:rPr>
        <w:t>Proust）在《追忆似水年华》（À</w:t>
      </w:r>
      <w:r>
        <w:rPr>
          <w:rFonts w:hint="eastAsia" w:ascii="黑体" w:hAnsi="黑体" w:eastAsia="黑体" w:cs="黑体"/>
          <w:sz w:val="21"/>
          <w:szCs w:val="21"/>
        </w:rPr>
        <w:t xml:space="preserve"> la recherche du temps </w:t>
      </w:r>
      <w:r>
        <w:rPr>
          <w:rFonts w:hint="eastAsia" w:ascii="黑体" w:hAnsi="黑体" w:eastAsia="黑体" w:cs="黑体"/>
          <w:sz w:val="21"/>
          <w:szCs w:val="21"/>
        </w:rPr>
        <w:t>perdu）中通过”玛德琳蛋糕”（Madeleine）蘸茶这一著名场景所揭示的原理——气味与味道是通往过去最直接的通道。</w:t>
      </w:r>
    </w:p>
    <w:p w14:paraId="54DABF91">
      <w:pPr>
        <w:pStyle w:val="5"/>
        <w:rPr>
          <w:rFonts w:hint="eastAsia" w:ascii="黑体" w:hAnsi="黑体" w:eastAsia="黑体" w:cs="黑体"/>
          <w:sz w:val="21"/>
          <w:szCs w:val="21"/>
        </w:rPr>
      </w:pPr>
      <w:bookmarkStart w:id="11" w:name="普鲁斯特效应与葡萄酒"/>
      <w:r>
        <w:rPr>
          <w:rFonts w:hint="eastAsia" w:ascii="黑体" w:hAnsi="黑体" w:eastAsia="黑体" w:cs="黑体"/>
          <w:sz w:val="21"/>
          <w:szCs w:val="21"/>
        </w:rPr>
        <w:t xml:space="preserve">4.1 </w:t>
      </w:r>
      <w:r>
        <w:rPr>
          <w:rFonts w:hint="eastAsia" w:ascii="黑体" w:hAnsi="黑体" w:eastAsia="黑体" w:cs="黑体"/>
          <w:sz w:val="21"/>
          <w:szCs w:val="21"/>
        </w:rPr>
        <w:t>普鲁斯特效应与葡萄酒</w:t>
      </w:r>
    </w:p>
    <w:p w14:paraId="58881574">
      <w:pPr>
        <w:pStyle w:val="23"/>
        <w:rPr>
          <w:rFonts w:hint="eastAsia" w:ascii="黑体" w:hAnsi="黑体" w:eastAsia="黑体" w:cs="黑体"/>
          <w:sz w:val="21"/>
          <w:szCs w:val="21"/>
        </w:rPr>
      </w:pPr>
      <w:r>
        <w:rPr>
          <w:rFonts w:hint="eastAsia" w:ascii="黑体" w:hAnsi="黑体" w:eastAsia="黑体" w:cs="黑体"/>
          <w:sz w:val="21"/>
          <w:szCs w:val="21"/>
        </w:rPr>
        <w:t>普鲁斯特写道：“带着点心渣的那一勺茶碰到我的上颚，顿时使我浑身一震……一种舒坦的快感传遍全身，我感到超尘脱俗，却不知出自何因。”神经科学的研究已经证实，普鲁斯特的直觉是正确的：嗅球（Olfactory</w:t>
      </w:r>
      <w:r>
        <w:rPr>
          <w:rFonts w:hint="eastAsia" w:ascii="黑体" w:hAnsi="黑体" w:eastAsia="黑体" w:cs="黑体"/>
          <w:sz w:val="21"/>
          <w:szCs w:val="21"/>
        </w:rPr>
        <w:t xml:space="preserve"> </w:t>
      </w:r>
      <w:r>
        <w:rPr>
          <w:rFonts w:hint="eastAsia" w:ascii="黑体" w:hAnsi="黑体" w:eastAsia="黑体" w:cs="黑体"/>
          <w:sz w:val="21"/>
          <w:szCs w:val="21"/>
        </w:rPr>
        <w:t>Bulb）与杏仁核（Amygdala）和海马体（Hippocampus）之间存在的直接神经连接，使得气味能够比任何其他感官输入更直接、更强烈地触发情感记忆。这一现象被称为”普鲁斯特效应”（Proust</w:t>
      </w:r>
      <w:r>
        <w:rPr>
          <w:rFonts w:hint="eastAsia" w:ascii="黑体" w:hAnsi="黑体" w:eastAsia="黑体" w:cs="黑体"/>
          <w:sz w:val="21"/>
          <w:szCs w:val="21"/>
        </w:rPr>
        <w:t xml:space="preserve"> </w:t>
      </w:r>
      <w:r>
        <w:rPr>
          <w:rFonts w:hint="eastAsia" w:ascii="黑体" w:hAnsi="黑体" w:eastAsia="黑体" w:cs="黑体"/>
          <w:sz w:val="21"/>
          <w:szCs w:val="21"/>
        </w:rPr>
        <w:t>Effect）。</w:t>
      </w:r>
    </w:p>
    <w:p w14:paraId="3252E63E">
      <w:pPr>
        <w:pStyle w:val="3"/>
        <w:rPr>
          <w:rFonts w:hint="eastAsia" w:ascii="黑体" w:hAnsi="黑体" w:eastAsia="黑体" w:cs="黑体"/>
          <w:sz w:val="21"/>
          <w:szCs w:val="21"/>
        </w:rPr>
      </w:pPr>
      <w:r>
        <w:rPr>
          <w:rFonts w:hint="eastAsia" w:ascii="黑体" w:hAnsi="黑体" w:eastAsia="黑体" w:cs="黑体"/>
          <w:sz w:val="21"/>
          <w:szCs w:val="21"/>
        </w:rPr>
        <w:t>葡萄酒的风味——包含数百种挥发性芳香化合物——是普鲁斯特效应的绝佳触发媒介。一瓶在婚礼上饮用的香槟的气味、一次毕业旅行中品尝的当地红酒的回味，这些风味会与当时的情绪深度绑定。多年后，当再次闻到相同的香气时，整个场景会瞬间复活——连同当时的情感状态。在这个意义上，葡萄酒成为了一种私人的、便携的时间机器。</w:t>
      </w:r>
    </w:p>
    <w:bookmarkEnd w:id="11"/>
    <w:p w14:paraId="5E4A7D5C">
      <w:pPr>
        <w:pStyle w:val="5"/>
        <w:rPr>
          <w:rFonts w:hint="eastAsia" w:ascii="黑体" w:hAnsi="黑体" w:eastAsia="黑体" w:cs="黑体"/>
          <w:sz w:val="21"/>
          <w:szCs w:val="21"/>
        </w:rPr>
      </w:pPr>
      <w:bookmarkStart w:id="12" w:name="葡萄酒与集体记忆"/>
      <w:r>
        <w:rPr>
          <w:rFonts w:hint="eastAsia" w:ascii="黑体" w:hAnsi="黑体" w:eastAsia="黑体" w:cs="黑体"/>
          <w:sz w:val="21"/>
          <w:szCs w:val="21"/>
        </w:rPr>
        <w:t xml:space="preserve">4.2 </w:t>
      </w:r>
      <w:r>
        <w:rPr>
          <w:rFonts w:hint="eastAsia" w:ascii="黑体" w:hAnsi="黑体" w:eastAsia="黑体" w:cs="黑体"/>
          <w:sz w:val="21"/>
          <w:szCs w:val="21"/>
        </w:rPr>
        <w:t>葡萄酒与集体记忆</w:t>
      </w:r>
    </w:p>
    <w:p w14:paraId="622F2440">
      <w:pPr>
        <w:pStyle w:val="23"/>
        <w:rPr>
          <w:rFonts w:hint="eastAsia" w:ascii="黑体" w:hAnsi="黑体" w:eastAsia="黑体" w:cs="黑体"/>
          <w:sz w:val="21"/>
          <w:szCs w:val="21"/>
        </w:rPr>
      </w:pPr>
      <w:r>
        <w:rPr>
          <w:rFonts w:hint="eastAsia" w:ascii="黑体" w:hAnsi="黑体" w:eastAsia="黑体" w:cs="黑体"/>
          <w:sz w:val="21"/>
          <w:szCs w:val="21"/>
        </w:rPr>
        <w:t>在更宏观的层面，葡萄酒也参与了集体记忆的构建。皮埃尔·诺拉的”记忆之场”理论认为，某些物质载体——纪念碑、仪式、符号——能够成为集体记忆的锚点。葡萄酒，尤其是香槟，正是这样一种”记忆之场”。</w:t>
      </w:r>
    </w:p>
    <w:p w14:paraId="455B989A">
      <w:pPr>
        <w:pStyle w:val="3"/>
        <w:rPr>
          <w:rFonts w:hint="eastAsia" w:ascii="黑体" w:hAnsi="黑体" w:eastAsia="黑体" w:cs="黑体"/>
          <w:sz w:val="21"/>
          <w:szCs w:val="21"/>
        </w:rPr>
      </w:pPr>
      <w:r>
        <w:rPr>
          <w:rFonts w:hint="eastAsia" w:ascii="黑体" w:hAnsi="黑体" w:eastAsia="黑体" w:cs="黑体"/>
          <w:sz w:val="21"/>
          <w:szCs w:val="21"/>
        </w:rPr>
        <w:t>香槟在庆祝活动中的符号化存在——从新船下水仪式到体育赛事颁奖台，从新年钟声到婚礼祝酒——使其超越了饮料本身，成为了胜利、喜悦和仪式的代名词。一瓶唐·培里侬（Dom</w:t>
      </w:r>
      <w:r>
        <w:rPr>
          <w:rFonts w:hint="eastAsia" w:ascii="黑体" w:hAnsi="黑体" w:eastAsia="黑体" w:cs="黑体"/>
          <w:sz w:val="21"/>
          <w:szCs w:val="21"/>
        </w:rPr>
        <w:t xml:space="preserve"> </w:t>
      </w:r>
      <w:r>
        <w:rPr>
          <w:rFonts w:hint="eastAsia" w:ascii="黑体" w:hAnsi="黑体" w:eastAsia="黑体" w:cs="黑体"/>
          <w:sz w:val="21"/>
          <w:szCs w:val="21"/>
        </w:rPr>
        <w:t>Pérignon）香槟被开启的声音，已经内化为一种文化共识中的喜悦信号。这些共享的体验构成了一个庞大的情感共振网络，将不同时代、不同地域的人们联系在一起。</w:t>
      </w:r>
    </w:p>
    <w:bookmarkEnd w:id="12"/>
    <w:p w14:paraId="326CB4B4">
      <w:pPr>
        <w:pStyle w:val="5"/>
        <w:rPr>
          <w:rFonts w:hint="eastAsia" w:ascii="黑体" w:hAnsi="黑体" w:eastAsia="黑体" w:cs="黑体"/>
          <w:sz w:val="21"/>
          <w:szCs w:val="21"/>
        </w:rPr>
      </w:pPr>
      <w:bookmarkStart w:id="13" w:name="葡萄酒的情感经济"/>
      <w:r>
        <w:rPr>
          <w:rFonts w:hint="eastAsia" w:ascii="黑体" w:hAnsi="黑体" w:eastAsia="黑体" w:cs="黑体"/>
          <w:sz w:val="21"/>
          <w:szCs w:val="21"/>
        </w:rPr>
        <w:t xml:space="preserve">4.3 </w:t>
      </w:r>
      <w:r>
        <w:rPr>
          <w:rFonts w:hint="eastAsia" w:ascii="黑体" w:hAnsi="黑体" w:eastAsia="黑体" w:cs="黑体"/>
          <w:sz w:val="21"/>
          <w:szCs w:val="21"/>
        </w:rPr>
        <w:t>葡萄酒的情感经济</w:t>
      </w:r>
    </w:p>
    <w:p w14:paraId="78E3A39C">
      <w:pPr>
        <w:pStyle w:val="23"/>
        <w:rPr>
          <w:rFonts w:hint="eastAsia" w:ascii="黑体" w:hAnsi="黑体" w:eastAsia="黑体" w:cs="黑体"/>
          <w:sz w:val="21"/>
          <w:szCs w:val="21"/>
        </w:rPr>
      </w:pPr>
      <w:r>
        <w:rPr>
          <w:rFonts w:hint="eastAsia" w:ascii="黑体" w:hAnsi="黑体" w:eastAsia="黑体" w:cs="黑体"/>
          <w:sz w:val="21"/>
          <w:szCs w:val="21"/>
        </w:rPr>
        <w:t>近年来，“情感经济”（Emotional</w:t>
      </w:r>
      <w:r>
        <w:rPr>
          <w:rFonts w:hint="eastAsia" w:ascii="黑体" w:hAnsi="黑体" w:eastAsia="黑体" w:cs="黑体"/>
          <w:sz w:val="21"/>
          <w:szCs w:val="21"/>
        </w:rPr>
        <w:t xml:space="preserve"> </w:t>
      </w:r>
      <w:r>
        <w:rPr>
          <w:rFonts w:hint="eastAsia" w:ascii="黑体" w:hAnsi="黑体" w:eastAsia="黑体" w:cs="黑体"/>
          <w:sz w:val="21"/>
          <w:szCs w:val="21"/>
        </w:rPr>
        <w:t>Economy）概念的兴起为理解葡萄酒的情感维度提供了新的视角。消费者选择葡萄酒的动机远不止于口味偏好——品牌故事、酒标设计、场合意义往往扮演着同样甚至更重要的角色。一瓶在某些拍卖会上创下天价的罗曼尼·康帝（Domaine</w:t>
      </w:r>
      <w:r>
        <w:rPr>
          <w:rFonts w:hint="eastAsia" w:ascii="黑体" w:hAnsi="黑体" w:eastAsia="黑体" w:cs="黑体"/>
          <w:sz w:val="21"/>
          <w:szCs w:val="21"/>
        </w:rPr>
        <w:t xml:space="preserve"> de la </w:t>
      </w:r>
      <w:r>
        <w:rPr>
          <w:rFonts w:hint="eastAsia" w:ascii="黑体" w:hAnsi="黑体" w:eastAsia="黑体" w:cs="黑体"/>
          <w:sz w:val="21"/>
          <w:szCs w:val="21"/>
        </w:rPr>
        <w:t>Romanée-Conti），其价格中包含的远不止是瓶中的液体价值，更是一种对稀缺性、历史、传奇和身份认同的综合追逐。</w:t>
      </w:r>
    </w:p>
    <w:p w14:paraId="65019721">
      <w:pPr>
        <w:pStyle w:val="3"/>
        <w:rPr>
          <w:rFonts w:hint="eastAsia" w:ascii="黑体" w:hAnsi="黑体" w:eastAsia="黑体" w:cs="黑体"/>
          <w:sz w:val="21"/>
          <w:szCs w:val="21"/>
        </w:rPr>
      </w:pPr>
      <w:r>
        <w:rPr>
          <w:rFonts w:hint="eastAsia" w:ascii="黑体" w:hAnsi="黑体" w:eastAsia="黑体" w:cs="黑体"/>
          <w:sz w:val="21"/>
          <w:szCs w:val="21"/>
        </w:rPr>
        <w:t>在这个意义上，葡萄酒市场不仅仅是一个饮料市场，更是一个情感记忆的交易场所。每一瓶被收藏、被交易、被开启的葡萄酒，都在参与一个关于记忆、价值和意义的复杂交换。</w:t>
      </w:r>
    </w:p>
    <w:p w14:paraId="55BCA022">
      <w:pPr>
        <w:rPr>
          <w:rFonts w:hint="eastAsia" w:ascii="黑体" w:hAnsi="黑体" w:eastAsia="黑体" w:cs="黑体"/>
          <w:sz w:val="21"/>
          <w:szCs w:val="21"/>
        </w:rPr>
      </w:pPr>
      <w:r>
        <w:rPr>
          <w:rFonts w:hint="eastAsia" w:ascii="黑体" w:hAnsi="黑体" w:eastAsia="黑体" w:cs="黑体"/>
          <w:sz w:val="21"/>
          <w:szCs w:val="21"/>
        </w:rPr>
        <w:pict>
          <v:rect id="_x0000_i1029" o:spt="1" style="height:1.5pt;width:0pt;" coordsize="21600,21600" o:hr="t" o:hrstd="t" o:hralign="center">
            <v:path/>
            <v:fill focussize="0,0"/>
            <v:stroke/>
            <v:imagedata o:title=""/>
            <o:lock v:ext="edit"/>
            <w10:wrap type="none"/>
            <w10:anchorlock/>
          </v:rect>
        </w:pict>
      </w:r>
    </w:p>
    <w:bookmarkEnd w:id="10"/>
    <w:bookmarkEnd w:id="13"/>
    <w:p w14:paraId="77624A3A">
      <w:pPr>
        <w:pStyle w:val="4"/>
        <w:rPr>
          <w:rFonts w:hint="eastAsia" w:ascii="黑体" w:hAnsi="黑体" w:eastAsia="黑体" w:cs="黑体"/>
          <w:sz w:val="21"/>
          <w:szCs w:val="21"/>
        </w:rPr>
      </w:pPr>
      <w:bookmarkStart w:id="14" w:name="五结论一种新的阅读方式"/>
      <w:r>
        <w:rPr>
          <w:rFonts w:hint="eastAsia" w:ascii="黑体" w:hAnsi="黑体" w:eastAsia="黑体" w:cs="黑体"/>
          <w:sz w:val="21"/>
          <w:szCs w:val="21"/>
        </w:rPr>
        <w:t>五、结论：一种新的阅读方式</w:t>
      </w:r>
    </w:p>
    <w:p w14:paraId="3CFD59F0">
      <w:pPr>
        <w:pStyle w:val="23"/>
        <w:rPr>
          <w:rFonts w:hint="eastAsia" w:ascii="黑体" w:hAnsi="黑体" w:eastAsia="黑体" w:cs="黑体"/>
          <w:sz w:val="21"/>
          <w:szCs w:val="21"/>
        </w:rPr>
      </w:pPr>
      <w:r>
        <w:rPr>
          <w:rFonts w:hint="eastAsia" w:ascii="黑体" w:hAnsi="黑体" w:eastAsia="黑体" w:cs="黑体"/>
          <w:sz w:val="21"/>
          <w:szCs w:val="21"/>
        </w:rPr>
        <w:t>将葡萄酒视为一种”液体记忆”，迫使我们改变传统的认知框架。我们不再仅仅是品评其酸度、单宁或余味，而是学会去”阅读”它所封存的历史信息、地理特征和人文温度。</w:t>
      </w:r>
    </w:p>
    <w:p w14:paraId="68A992C2">
      <w:pPr>
        <w:pStyle w:val="3"/>
        <w:rPr>
          <w:rFonts w:hint="eastAsia" w:ascii="黑体" w:hAnsi="黑体" w:eastAsia="黑体" w:cs="黑体"/>
          <w:sz w:val="21"/>
          <w:szCs w:val="21"/>
        </w:rPr>
      </w:pPr>
      <w:r>
        <w:rPr>
          <w:rFonts w:hint="eastAsia" w:ascii="黑体" w:hAnsi="黑体" w:eastAsia="黑体" w:cs="黑体"/>
          <w:sz w:val="21"/>
          <w:szCs w:val="21"/>
        </w:rPr>
        <w:t>这一认知框架具有三重意义。从认识论层面，它挑战了感官品鉴的霸权地位，将葡萄酒的理解从纯粹的主观体验拓展为跨学科的知识实践。从方法论层面，它提供了一种整合自然科学（气候学、地质学）、人文科学（历史学、文化研究）和哲学（记忆理论、情感哲学）的分析路径。从实践层面，它赋予了品酒行为一种新的意义——每一次品鉴都是一次”阅读”，每一次阅读都是对过去的一次叩问。</w:t>
      </w:r>
    </w:p>
    <w:p w14:paraId="7A102852">
      <w:pPr>
        <w:pStyle w:val="3"/>
        <w:rPr>
          <w:rFonts w:hint="eastAsia" w:ascii="黑体" w:hAnsi="黑体" w:eastAsia="黑体" w:cs="黑体"/>
          <w:sz w:val="21"/>
          <w:szCs w:val="21"/>
        </w:rPr>
      </w:pPr>
      <w:r>
        <w:rPr>
          <w:rFonts w:hint="eastAsia" w:ascii="黑体" w:hAnsi="黑体" w:eastAsia="黑体" w:cs="黑体"/>
          <w:sz w:val="21"/>
          <w:szCs w:val="21"/>
        </w:rPr>
        <w:t>在一个日益追求数字化、即时满足的时代，葡萄酒以其缓慢的、积累的、需要耐心解读的特质，提供了一种难得的抵抗。它提醒我们，历史不仅写在书本里，躺在博物馆中，它还可以被种植、被酿造、被开启，最终在一场私密的对话中，被我们咽下。</w:t>
      </w:r>
    </w:p>
    <w:p w14:paraId="65584A29">
      <w:pPr>
        <w:pStyle w:val="3"/>
        <w:rPr>
          <w:rFonts w:hint="eastAsia" w:ascii="黑体" w:hAnsi="黑体" w:eastAsia="黑体" w:cs="黑体"/>
          <w:sz w:val="21"/>
          <w:szCs w:val="21"/>
        </w:rPr>
      </w:pPr>
      <w:r>
        <w:rPr>
          <w:rFonts w:hint="eastAsia" w:ascii="黑体" w:hAnsi="黑体" w:eastAsia="黑体" w:cs="黑体"/>
          <w:sz w:val="21"/>
          <w:szCs w:val="21"/>
        </w:rPr>
        <w:t>这，或许是葡萄酒作为人类文明产物最深刻的意义所在——它以液体的形态，保存了那些本该消逝的时间。</w:t>
      </w:r>
    </w:p>
    <w:p w14:paraId="5C937B47">
      <w:pPr>
        <w:pStyle w:val="3"/>
        <w:rPr>
          <w:rFonts w:hint="eastAsia" w:ascii="黑体" w:hAnsi="黑体" w:eastAsia="黑体" w:cs="黑体"/>
          <w:sz w:val="21"/>
          <w:szCs w:val="21"/>
        </w:rPr>
      </w:pPr>
    </w:p>
    <w:p w14:paraId="3E5F3986">
      <w:pPr>
        <w:pStyle w:val="3"/>
        <w:rPr>
          <w:rFonts w:hint="eastAsia" w:ascii="黑体" w:hAnsi="黑体" w:eastAsia="黑体" w:cs="黑体"/>
          <w:sz w:val="21"/>
          <w:szCs w:val="21"/>
        </w:rPr>
      </w:pPr>
    </w:p>
    <w:p w14:paraId="0A9C8818">
      <w:pPr>
        <w:pStyle w:val="3"/>
        <w:rPr>
          <w:rFonts w:hint="eastAsia" w:ascii="黑体" w:hAnsi="黑体" w:eastAsia="黑体" w:cs="黑体"/>
          <w:sz w:val="21"/>
          <w:szCs w:val="21"/>
        </w:rPr>
      </w:pPr>
    </w:p>
    <w:p w14:paraId="19CF7250">
      <w:pPr>
        <w:pStyle w:val="3"/>
        <w:rPr>
          <w:rFonts w:hint="eastAsia" w:ascii="黑体" w:hAnsi="黑体" w:eastAsia="黑体" w:cs="黑体"/>
          <w:sz w:val="21"/>
          <w:szCs w:val="21"/>
        </w:rPr>
      </w:pPr>
    </w:p>
    <w:p w14:paraId="4D588D40">
      <w:pPr>
        <w:pStyle w:val="3"/>
        <w:rPr>
          <w:rFonts w:hint="eastAsia" w:ascii="黑体" w:hAnsi="黑体" w:eastAsia="黑体" w:cs="黑体"/>
          <w:sz w:val="21"/>
          <w:szCs w:val="21"/>
        </w:rPr>
      </w:pPr>
    </w:p>
    <w:p w14:paraId="4478126B">
      <w:pPr>
        <w:pStyle w:val="3"/>
        <w:rPr>
          <w:rFonts w:hint="eastAsia" w:ascii="黑体" w:hAnsi="黑体" w:eastAsia="黑体" w:cs="黑体"/>
          <w:sz w:val="21"/>
          <w:szCs w:val="21"/>
        </w:rPr>
      </w:pPr>
      <w:bookmarkStart w:id="16" w:name="_GoBack"/>
      <w:bookmarkEnd w:id="16"/>
    </w:p>
    <w:p w14:paraId="7119E7F8">
      <w:pPr>
        <w:pStyle w:val="3"/>
        <w:rPr>
          <w:rFonts w:hint="eastAsia" w:ascii="黑体" w:hAnsi="黑体" w:eastAsia="黑体" w:cs="黑体"/>
          <w:sz w:val="21"/>
          <w:szCs w:val="21"/>
        </w:rPr>
      </w:pPr>
    </w:p>
    <w:p w14:paraId="2A7ABD39">
      <w:pPr>
        <w:pStyle w:val="3"/>
        <w:rPr>
          <w:rFonts w:hint="eastAsia" w:ascii="黑体" w:hAnsi="黑体" w:eastAsia="黑体" w:cs="黑体"/>
          <w:sz w:val="21"/>
          <w:szCs w:val="21"/>
        </w:rPr>
      </w:pPr>
    </w:p>
    <w:p w14:paraId="7910A5C0">
      <w:pPr>
        <w:pStyle w:val="3"/>
        <w:rPr>
          <w:rFonts w:hint="eastAsia" w:ascii="黑体" w:hAnsi="黑体" w:eastAsia="黑体" w:cs="黑体"/>
          <w:sz w:val="21"/>
          <w:szCs w:val="21"/>
        </w:rPr>
      </w:pPr>
    </w:p>
    <w:p w14:paraId="4C73EADE">
      <w:pPr>
        <w:pStyle w:val="3"/>
        <w:rPr>
          <w:rFonts w:hint="eastAsia" w:ascii="黑体" w:hAnsi="黑体" w:eastAsia="黑体" w:cs="黑体"/>
          <w:sz w:val="21"/>
          <w:szCs w:val="21"/>
        </w:rPr>
      </w:pPr>
    </w:p>
    <w:p w14:paraId="05950B6C">
      <w:pPr>
        <w:pStyle w:val="3"/>
        <w:rPr>
          <w:rFonts w:hint="eastAsia" w:ascii="黑体" w:hAnsi="黑体" w:eastAsia="黑体" w:cs="黑体"/>
          <w:sz w:val="21"/>
          <w:szCs w:val="21"/>
        </w:rPr>
      </w:pPr>
    </w:p>
    <w:p w14:paraId="6C224740">
      <w:pPr>
        <w:pStyle w:val="3"/>
        <w:rPr>
          <w:rFonts w:hint="eastAsia" w:ascii="黑体" w:hAnsi="黑体" w:eastAsia="黑体" w:cs="黑体"/>
          <w:sz w:val="21"/>
          <w:szCs w:val="21"/>
        </w:rPr>
      </w:pPr>
    </w:p>
    <w:p w14:paraId="5FCA7B46">
      <w:pPr>
        <w:pStyle w:val="3"/>
        <w:rPr>
          <w:rFonts w:hint="eastAsia" w:ascii="黑体" w:hAnsi="黑体" w:eastAsia="黑体" w:cs="黑体"/>
          <w:sz w:val="21"/>
          <w:szCs w:val="21"/>
        </w:rPr>
      </w:pPr>
    </w:p>
    <w:p w14:paraId="1F87947F">
      <w:pPr>
        <w:pStyle w:val="3"/>
        <w:rPr>
          <w:rFonts w:hint="eastAsia" w:ascii="黑体" w:hAnsi="黑体" w:eastAsia="黑体" w:cs="黑体"/>
          <w:sz w:val="21"/>
          <w:szCs w:val="21"/>
        </w:rPr>
      </w:pPr>
    </w:p>
    <w:p w14:paraId="530C15BF">
      <w:pPr>
        <w:pStyle w:val="3"/>
        <w:rPr>
          <w:rFonts w:hint="eastAsia" w:ascii="黑体" w:hAnsi="黑体" w:eastAsia="黑体" w:cs="黑体"/>
          <w:sz w:val="21"/>
          <w:szCs w:val="21"/>
        </w:rPr>
      </w:pPr>
    </w:p>
    <w:p w14:paraId="0B6963D9">
      <w:pPr>
        <w:pStyle w:val="3"/>
        <w:rPr>
          <w:rFonts w:hint="eastAsia" w:ascii="黑体" w:hAnsi="黑体" w:eastAsia="黑体" w:cs="黑体"/>
          <w:sz w:val="21"/>
          <w:szCs w:val="21"/>
        </w:rPr>
      </w:pPr>
    </w:p>
    <w:p w14:paraId="125A287F">
      <w:pPr>
        <w:pStyle w:val="3"/>
        <w:rPr>
          <w:rFonts w:hint="eastAsia" w:ascii="黑体" w:hAnsi="黑体" w:eastAsia="黑体" w:cs="黑体"/>
          <w:sz w:val="21"/>
          <w:szCs w:val="21"/>
        </w:rPr>
      </w:pPr>
    </w:p>
    <w:p w14:paraId="121EB3A4">
      <w:pPr>
        <w:pStyle w:val="3"/>
        <w:rPr>
          <w:rFonts w:hint="eastAsia" w:ascii="黑体" w:hAnsi="黑体" w:eastAsia="黑体" w:cs="黑体"/>
          <w:sz w:val="21"/>
          <w:szCs w:val="21"/>
        </w:rPr>
      </w:pPr>
    </w:p>
    <w:p w14:paraId="218F79A8">
      <w:pPr>
        <w:pStyle w:val="3"/>
        <w:rPr>
          <w:rFonts w:hint="eastAsia" w:ascii="黑体" w:hAnsi="黑体" w:eastAsia="黑体" w:cs="黑体"/>
          <w:sz w:val="21"/>
          <w:szCs w:val="21"/>
        </w:rPr>
      </w:pPr>
    </w:p>
    <w:p w14:paraId="51724616">
      <w:pPr>
        <w:pStyle w:val="3"/>
        <w:rPr>
          <w:rFonts w:hint="eastAsia" w:ascii="黑体" w:hAnsi="黑体" w:eastAsia="黑体" w:cs="黑体"/>
          <w:sz w:val="21"/>
          <w:szCs w:val="21"/>
        </w:rPr>
      </w:pPr>
    </w:p>
    <w:p w14:paraId="4CA682EA">
      <w:pPr>
        <w:pStyle w:val="3"/>
        <w:rPr>
          <w:rFonts w:hint="eastAsia" w:ascii="黑体" w:hAnsi="黑体" w:eastAsia="黑体" w:cs="黑体"/>
          <w:sz w:val="21"/>
          <w:szCs w:val="21"/>
        </w:rPr>
      </w:pPr>
    </w:p>
    <w:p w14:paraId="16353156">
      <w:pPr>
        <w:pStyle w:val="3"/>
        <w:rPr>
          <w:rFonts w:hint="eastAsia" w:ascii="黑体" w:hAnsi="黑体" w:eastAsia="黑体" w:cs="黑体"/>
          <w:sz w:val="21"/>
          <w:szCs w:val="21"/>
        </w:rPr>
      </w:pPr>
    </w:p>
    <w:p w14:paraId="1585B5B6">
      <w:pPr>
        <w:pStyle w:val="3"/>
        <w:rPr>
          <w:rFonts w:hint="eastAsia" w:ascii="黑体" w:hAnsi="黑体" w:eastAsia="黑体" w:cs="黑体"/>
          <w:sz w:val="21"/>
          <w:szCs w:val="21"/>
        </w:rPr>
      </w:pPr>
    </w:p>
    <w:p w14:paraId="66B8D4D5">
      <w:pPr>
        <w:pStyle w:val="3"/>
        <w:rPr>
          <w:rFonts w:hint="eastAsia" w:ascii="黑体" w:hAnsi="黑体" w:eastAsia="黑体" w:cs="黑体"/>
          <w:sz w:val="21"/>
          <w:szCs w:val="21"/>
        </w:rPr>
      </w:pPr>
    </w:p>
    <w:p w14:paraId="6A250AFB">
      <w:pPr>
        <w:pStyle w:val="3"/>
        <w:rPr>
          <w:rFonts w:hint="eastAsia" w:ascii="黑体" w:hAnsi="黑体" w:eastAsia="黑体" w:cs="黑体"/>
          <w:sz w:val="21"/>
          <w:szCs w:val="21"/>
        </w:rPr>
      </w:pPr>
    </w:p>
    <w:p w14:paraId="00F74B3D">
      <w:pPr>
        <w:pStyle w:val="3"/>
        <w:rPr>
          <w:rFonts w:hint="eastAsia" w:ascii="黑体" w:hAnsi="黑体" w:eastAsia="黑体" w:cs="黑体"/>
          <w:sz w:val="21"/>
          <w:szCs w:val="21"/>
        </w:rPr>
      </w:pPr>
    </w:p>
    <w:p w14:paraId="67EED624">
      <w:pPr>
        <w:pStyle w:val="3"/>
        <w:rPr>
          <w:rFonts w:hint="eastAsia" w:ascii="黑体" w:hAnsi="黑体" w:eastAsia="黑体" w:cs="黑体"/>
          <w:sz w:val="21"/>
          <w:szCs w:val="21"/>
        </w:rPr>
      </w:pPr>
    </w:p>
    <w:p w14:paraId="785FD4AC">
      <w:pPr>
        <w:pStyle w:val="3"/>
        <w:rPr>
          <w:rFonts w:hint="eastAsia" w:ascii="黑体" w:hAnsi="黑体" w:eastAsia="黑体" w:cs="黑体"/>
          <w:sz w:val="21"/>
          <w:szCs w:val="21"/>
        </w:rPr>
      </w:pPr>
    </w:p>
    <w:p w14:paraId="7D3631FF">
      <w:pPr>
        <w:rPr>
          <w:rFonts w:hint="eastAsia" w:ascii="黑体" w:hAnsi="黑体" w:eastAsia="黑体" w:cs="黑体"/>
          <w:sz w:val="21"/>
          <w:szCs w:val="21"/>
        </w:rPr>
      </w:pPr>
      <w:r>
        <w:rPr>
          <w:rFonts w:hint="eastAsia" w:ascii="黑体" w:hAnsi="黑体" w:eastAsia="黑体" w:cs="黑体"/>
          <w:sz w:val="21"/>
          <w:szCs w:val="21"/>
        </w:rPr>
        <w:pict>
          <v:rect id="_x0000_i1030" o:spt="1" style="height:1.5pt;width:0pt;" coordsize="21600,21600" o:hr="t" o:hrstd="t" o:hralign="center">
            <v:path/>
            <v:fill focussize="0,0"/>
            <v:stroke/>
            <v:imagedata o:title=""/>
            <o:lock v:ext="edit"/>
            <w10:wrap type="none"/>
            <w10:anchorlock/>
          </v:rect>
        </w:pict>
      </w:r>
    </w:p>
    <w:bookmarkEnd w:id="14"/>
    <w:p w14:paraId="4B6F8EAA">
      <w:pPr>
        <w:pStyle w:val="4"/>
        <w:rPr>
          <w:rFonts w:hint="eastAsia" w:ascii="黑体" w:hAnsi="黑体" w:eastAsia="黑体" w:cs="黑体"/>
          <w:sz w:val="21"/>
          <w:szCs w:val="21"/>
        </w:rPr>
      </w:pPr>
      <w:bookmarkStart w:id="15" w:name="参考文献"/>
      <w:r>
        <w:rPr>
          <w:rFonts w:hint="eastAsia" w:ascii="黑体" w:hAnsi="黑体" w:eastAsia="黑体" w:cs="黑体"/>
          <w:sz w:val="21"/>
          <w:szCs w:val="21"/>
        </w:rPr>
        <w:t>参考文献</w:t>
      </w:r>
    </w:p>
    <w:p w14:paraId="3177C403">
      <w:pPr>
        <w:pStyle w:val="23"/>
        <w:rPr>
          <w:rFonts w:hint="eastAsia" w:ascii="黑体" w:hAnsi="黑体" w:eastAsia="黑体" w:cs="黑体"/>
          <w:sz w:val="21"/>
          <w:szCs w:val="21"/>
        </w:rPr>
      </w:pPr>
      <w:r>
        <w:rPr>
          <w:rFonts w:hint="eastAsia" w:ascii="黑体" w:hAnsi="黑体" w:eastAsia="黑体" w:cs="黑体"/>
          <w:sz w:val="21"/>
          <w:szCs w:val="21"/>
        </w:rPr>
        <w:t xml:space="preserve">[1] Barthes, R. (1957). </w:t>
      </w:r>
      <w:r>
        <w:rPr>
          <w:rFonts w:hint="eastAsia" w:ascii="黑体" w:hAnsi="黑体" w:eastAsia="黑体" w:cs="黑体"/>
          <w:i/>
          <w:iCs/>
          <w:sz w:val="21"/>
          <w:szCs w:val="21"/>
        </w:rPr>
        <w:t>Mythologies</w:t>
      </w:r>
      <w:r>
        <w:rPr>
          <w:rFonts w:hint="eastAsia" w:ascii="黑体" w:hAnsi="黑体" w:eastAsia="黑体" w:cs="黑体"/>
          <w:sz w:val="21"/>
          <w:szCs w:val="21"/>
        </w:rPr>
        <w:t>. Paris: Éditions du Seuil.</w:t>
      </w:r>
    </w:p>
    <w:p w14:paraId="134D6CB7">
      <w:pPr>
        <w:pStyle w:val="3"/>
        <w:rPr>
          <w:rFonts w:hint="eastAsia" w:ascii="黑体" w:hAnsi="黑体" w:eastAsia="黑体" w:cs="黑体"/>
          <w:sz w:val="21"/>
          <w:szCs w:val="21"/>
        </w:rPr>
      </w:pPr>
      <w:r>
        <w:rPr>
          <w:rFonts w:hint="eastAsia" w:ascii="黑体" w:hAnsi="黑体" w:eastAsia="黑体" w:cs="黑体"/>
          <w:sz w:val="21"/>
          <w:szCs w:val="21"/>
        </w:rPr>
        <w:t xml:space="preserve">[2] Bergson, H. (1896). </w:t>
      </w:r>
      <w:r>
        <w:rPr>
          <w:rFonts w:hint="eastAsia" w:ascii="黑体" w:hAnsi="黑体" w:eastAsia="黑体" w:cs="黑体"/>
          <w:i/>
          <w:iCs/>
          <w:sz w:val="21"/>
          <w:szCs w:val="21"/>
        </w:rPr>
        <w:t>Matière et mémoire</w:t>
      </w:r>
      <w:r>
        <w:rPr>
          <w:rFonts w:hint="eastAsia" w:ascii="黑体" w:hAnsi="黑体" w:eastAsia="黑体" w:cs="黑体"/>
          <w:sz w:val="21"/>
          <w:szCs w:val="21"/>
        </w:rPr>
        <w:t>. Paris: Félix Alcan.</w:t>
      </w:r>
    </w:p>
    <w:p w14:paraId="76DA25C2">
      <w:pPr>
        <w:pStyle w:val="3"/>
        <w:rPr>
          <w:rFonts w:hint="eastAsia" w:ascii="黑体" w:hAnsi="黑体" w:eastAsia="黑体" w:cs="黑体"/>
          <w:sz w:val="21"/>
          <w:szCs w:val="21"/>
        </w:rPr>
      </w:pPr>
      <w:r>
        <w:rPr>
          <w:rFonts w:hint="eastAsia" w:ascii="黑体" w:hAnsi="黑体" w:eastAsia="黑体" w:cs="黑体"/>
          <w:sz w:val="21"/>
          <w:szCs w:val="21"/>
        </w:rPr>
        <w:t xml:space="preserve">[3] Nora, P. (Ed.). (1984-1992). </w:t>
      </w:r>
      <w:r>
        <w:rPr>
          <w:rFonts w:hint="eastAsia" w:ascii="黑体" w:hAnsi="黑体" w:eastAsia="黑体" w:cs="黑体"/>
          <w:i/>
          <w:iCs/>
          <w:sz w:val="21"/>
          <w:szCs w:val="21"/>
        </w:rPr>
        <w:t>Les lieux de mémoire</w:t>
      </w:r>
      <w:r>
        <w:rPr>
          <w:rFonts w:hint="eastAsia" w:ascii="黑体" w:hAnsi="黑体" w:eastAsia="黑体" w:cs="黑体"/>
          <w:sz w:val="21"/>
          <w:szCs w:val="21"/>
        </w:rPr>
        <w:t xml:space="preserve"> (3 vols.). Paris: Gallimard.</w:t>
      </w:r>
    </w:p>
    <w:p w14:paraId="3C084434">
      <w:pPr>
        <w:pStyle w:val="3"/>
        <w:rPr>
          <w:rFonts w:hint="eastAsia" w:ascii="黑体" w:hAnsi="黑体" w:eastAsia="黑体" w:cs="黑体"/>
          <w:sz w:val="21"/>
          <w:szCs w:val="21"/>
        </w:rPr>
      </w:pPr>
      <w:r>
        <w:rPr>
          <w:rFonts w:hint="eastAsia" w:ascii="黑体" w:hAnsi="黑体" w:eastAsia="黑体" w:cs="黑体"/>
          <w:sz w:val="21"/>
          <w:szCs w:val="21"/>
        </w:rPr>
        <w:t xml:space="preserve">[4] Proust, M. (1913-1927). </w:t>
      </w:r>
      <w:r>
        <w:rPr>
          <w:rFonts w:hint="eastAsia" w:ascii="黑体" w:hAnsi="黑体" w:eastAsia="黑体" w:cs="黑体"/>
          <w:i/>
          <w:iCs/>
          <w:sz w:val="21"/>
          <w:szCs w:val="21"/>
        </w:rPr>
        <w:t>À la recherche du temps perdu</w:t>
      </w:r>
      <w:r>
        <w:rPr>
          <w:rFonts w:hint="eastAsia" w:ascii="黑体" w:hAnsi="黑体" w:eastAsia="黑体" w:cs="黑体"/>
          <w:sz w:val="21"/>
          <w:szCs w:val="21"/>
        </w:rPr>
        <w:t>. Paris: Grasset/Gallimard.</w:t>
      </w:r>
    </w:p>
    <w:p w14:paraId="6E13F9EE">
      <w:pPr>
        <w:pStyle w:val="3"/>
        <w:rPr>
          <w:rFonts w:hint="eastAsia" w:ascii="黑体" w:hAnsi="黑体" w:eastAsia="黑体" w:cs="黑体"/>
          <w:sz w:val="21"/>
          <w:szCs w:val="21"/>
        </w:rPr>
      </w:pPr>
      <w:r>
        <w:rPr>
          <w:rFonts w:hint="eastAsia" w:ascii="黑体" w:hAnsi="黑体" w:eastAsia="黑体" w:cs="黑体"/>
          <w:sz w:val="21"/>
          <w:szCs w:val="21"/>
        </w:rPr>
        <w:t xml:space="preserve">[5] Wilson, J. E. (1998). </w:t>
      </w:r>
      <w:r>
        <w:rPr>
          <w:rFonts w:hint="eastAsia" w:ascii="黑体" w:hAnsi="黑体" w:eastAsia="黑体" w:cs="黑体"/>
          <w:i/>
          <w:iCs/>
          <w:sz w:val="21"/>
          <w:szCs w:val="21"/>
        </w:rPr>
        <w:t>Terroir: The Role of Geology, Climate, and Culture in the Making of French Wines</w:t>
      </w:r>
      <w:r>
        <w:rPr>
          <w:rFonts w:hint="eastAsia" w:ascii="黑体" w:hAnsi="黑体" w:eastAsia="黑体" w:cs="黑体"/>
          <w:sz w:val="21"/>
          <w:szCs w:val="21"/>
        </w:rPr>
        <w:t>. Berkeley: University of California Press.</w:t>
      </w:r>
    </w:p>
    <w:p w14:paraId="73306908">
      <w:pPr>
        <w:pStyle w:val="3"/>
        <w:rPr>
          <w:rFonts w:hint="eastAsia" w:ascii="黑体" w:hAnsi="黑体" w:eastAsia="黑体" w:cs="黑体"/>
          <w:sz w:val="21"/>
          <w:szCs w:val="21"/>
        </w:rPr>
      </w:pPr>
      <w:r>
        <w:rPr>
          <w:rFonts w:hint="eastAsia" w:ascii="黑体" w:hAnsi="黑体" w:eastAsia="黑体" w:cs="黑体"/>
          <w:sz w:val="21"/>
          <w:szCs w:val="21"/>
        </w:rPr>
        <w:t xml:space="preserve">[6] Robinson, J., &amp; Harding, J. (Eds.). (2015). </w:t>
      </w:r>
      <w:r>
        <w:rPr>
          <w:rFonts w:hint="eastAsia" w:ascii="黑体" w:hAnsi="黑体" w:eastAsia="黑体" w:cs="黑体"/>
          <w:i/>
          <w:iCs/>
          <w:sz w:val="21"/>
          <w:szCs w:val="21"/>
        </w:rPr>
        <w:t>The Oxford Companion to Wine</w:t>
      </w:r>
      <w:r>
        <w:rPr>
          <w:rFonts w:hint="eastAsia" w:ascii="黑体" w:hAnsi="黑体" w:eastAsia="黑体" w:cs="黑体"/>
          <w:sz w:val="21"/>
          <w:szCs w:val="21"/>
        </w:rPr>
        <w:t xml:space="preserve"> (4th ed.). Oxford: Oxford University Press.</w:t>
      </w:r>
    </w:p>
    <w:p w14:paraId="7C6289A7">
      <w:pPr>
        <w:pStyle w:val="3"/>
        <w:rPr>
          <w:rFonts w:hint="eastAsia" w:ascii="黑体" w:hAnsi="黑体" w:eastAsia="黑体" w:cs="黑体"/>
          <w:sz w:val="21"/>
          <w:szCs w:val="21"/>
        </w:rPr>
      </w:pPr>
      <w:r>
        <w:rPr>
          <w:rFonts w:hint="eastAsia" w:ascii="黑体" w:hAnsi="黑体" w:eastAsia="黑体" w:cs="黑体"/>
          <w:sz w:val="21"/>
          <w:szCs w:val="21"/>
        </w:rPr>
        <w:t xml:space="preserve">[7] Goode, J. (2005). </w:t>
      </w:r>
      <w:r>
        <w:rPr>
          <w:rFonts w:hint="eastAsia" w:ascii="黑体" w:hAnsi="黑体" w:eastAsia="黑体" w:cs="黑体"/>
          <w:i/>
          <w:iCs/>
          <w:sz w:val="21"/>
          <w:szCs w:val="21"/>
        </w:rPr>
        <w:t>The Science of Wine: From Vine to Glass</w:t>
      </w:r>
      <w:r>
        <w:rPr>
          <w:rFonts w:hint="eastAsia" w:ascii="黑体" w:hAnsi="黑体" w:eastAsia="黑体" w:cs="黑体"/>
          <w:sz w:val="21"/>
          <w:szCs w:val="21"/>
        </w:rPr>
        <w:t>. Berkeley: University of California Press.</w:t>
      </w:r>
    </w:p>
    <w:p w14:paraId="67A8A2DC">
      <w:pPr>
        <w:pStyle w:val="3"/>
        <w:rPr>
          <w:rFonts w:hint="eastAsia" w:ascii="黑体" w:hAnsi="黑体" w:eastAsia="黑体" w:cs="黑体"/>
          <w:sz w:val="21"/>
          <w:szCs w:val="21"/>
        </w:rPr>
      </w:pPr>
      <w:r>
        <w:rPr>
          <w:rFonts w:hint="eastAsia" w:ascii="黑体" w:hAnsi="黑体" w:eastAsia="黑体" w:cs="黑体"/>
          <w:sz w:val="21"/>
          <w:szCs w:val="21"/>
        </w:rPr>
        <w:t xml:space="preserve">[8] Loubere, L. A. (1978). </w:t>
      </w:r>
      <w:r>
        <w:rPr>
          <w:rFonts w:hint="eastAsia" w:ascii="黑体" w:hAnsi="黑体" w:eastAsia="黑体" w:cs="黑体"/>
          <w:i/>
          <w:iCs/>
          <w:sz w:val="21"/>
          <w:szCs w:val="21"/>
        </w:rPr>
        <w:t>The Red and the White: A History of Wine in France and Italy in the Nineteenth Century</w:t>
      </w:r>
      <w:r>
        <w:rPr>
          <w:rFonts w:hint="eastAsia" w:ascii="黑体" w:hAnsi="黑体" w:eastAsia="黑体" w:cs="黑体"/>
          <w:sz w:val="21"/>
          <w:szCs w:val="21"/>
        </w:rPr>
        <w:t>. Albany: State University of New York Press.</w:t>
      </w:r>
    </w:p>
    <w:p w14:paraId="4841C3BB">
      <w:pPr>
        <w:pStyle w:val="3"/>
        <w:rPr>
          <w:rFonts w:hint="eastAsia" w:ascii="黑体" w:hAnsi="黑体" w:eastAsia="黑体" w:cs="黑体"/>
          <w:sz w:val="21"/>
          <w:szCs w:val="21"/>
        </w:rPr>
      </w:pPr>
      <w:r>
        <w:rPr>
          <w:rFonts w:hint="eastAsia" w:ascii="黑体" w:hAnsi="黑体" w:eastAsia="黑体" w:cs="黑体"/>
          <w:sz w:val="21"/>
          <w:szCs w:val="21"/>
        </w:rPr>
        <w:t xml:space="preserve">[9] Phillips, R. (2000). </w:t>
      </w:r>
      <w:r>
        <w:rPr>
          <w:rFonts w:hint="eastAsia" w:ascii="黑体" w:hAnsi="黑体" w:eastAsia="黑体" w:cs="黑体"/>
          <w:i/>
          <w:iCs/>
          <w:sz w:val="21"/>
          <w:szCs w:val="21"/>
        </w:rPr>
        <w:t>A Short History of Wine</w:t>
      </w:r>
      <w:r>
        <w:rPr>
          <w:rFonts w:hint="eastAsia" w:ascii="黑体" w:hAnsi="黑体" w:eastAsia="黑体" w:cs="黑体"/>
          <w:sz w:val="21"/>
          <w:szCs w:val="21"/>
        </w:rPr>
        <w:t>. London: Allen Lane.</w:t>
      </w:r>
    </w:p>
    <w:p w14:paraId="47FBB335">
      <w:pPr>
        <w:pStyle w:val="3"/>
        <w:rPr>
          <w:rFonts w:hint="eastAsia" w:ascii="黑体" w:hAnsi="黑体" w:eastAsia="黑体" w:cs="黑体"/>
          <w:sz w:val="21"/>
          <w:szCs w:val="21"/>
        </w:rPr>
      </w:pPr>
      <w:r>
        <w:rPr>
          <w:rFonts w:hint="eastAsia" w:ascii="黑体" w:hAnsi="黑体" w:eastAsia="黑体" w:cs="黑体"/>
          <w:sz w:val="21"/>
          <w:szCs w:val="21"/>
        </w:rPr>
        <w:t xml:space="preserve">[10] Sicard, G., &amp; Royet, J. P. (2001). “Olfaction and Emotion: The Role of the Amygdala and Orbitofrontal Cortex.” </w:t>
      </w:r>
      <w:r>
        <w:rPr>
          <w:rFonts w:hint="eastAsia" w:ascii="黑体" w:hAnsi="黑体" w:eastAsia="黑体" w:cs="黑体"/>
          <w:i/>
          <w:iCs/>
          <w:sz w:val="21"/>
          <w:szCs w:val="21"/>
        </w:rPr>
        <w:t>Neuropsychologia</w:t>
      </w:r>
      <w:r>
        <w:rPr>
          <w:rFonts w:hint="eastAsia" w:ascii="黑体" w:hAnsi="黑体" w:eastAsia="黑体" w:cs="黑体"/>
          <w:sz w:val="21"/>
          <w:szCs w:val="21"/>
        </w:rPr>
        <w:t>, 39(8), 792-800.</w:t>
      </w:r>
    </w:p>
    <w:p w14:paraId="18F1EDC0">
      <w:pPr>
        <w:pStyle w:val="3"/>
        <w:rPr>
          <w:rFonts w:hint="eastAsia" w:ascii="黑体" w:hAnsi="黑体" w:eastAsia="黑体" w:cs="黑体"/>
          <w:sz w:val="21"/>
          <w:szCs w:val="21"/>
        </w:rPr>
      </w:pPr>
      <w:r>
        <w:rPr>
          <w:rFonts w:hint="eastAsia" w:ascii="黑体" w:hAnsi="黑体" w:eastAsia="黑体" w:cs="黑体"/>
          <w:sz w:val="21"/>
          <w:szCs w:val="21"/>
        </w:rPr>
        <w:t xml:space="preserve">[11] Narloch, T. (2023). “Qvevri Wine: The Revival of an Ancient Tradition.” </w:t>
      </w:r>
      <w:r>
        <w:rPr>
          <w:rFonts w:hint="eastAsia" w:ascii="黑体" w:hAnsi="黑体" w:eastAsia="黑体" w:cs="黑体"/>
          <w:i/>
          <w:iCs/>
          <w:sz w:val="21"/>
          <w:szCs w:val="21"/>
        </w:rPr>
        <w:t>Journal of Wine Research</w:t>
      </w:r>
      <w:r>
        <w:rPr>
          <w:rFonts w:hint="eastAsia" w:ascii="黑体" w:hAnsi="黑体" w:eastAsia="黑体" w:cs="黑体"/>
          <w:sz w:val="21"/>
          <w:szCs w:val="21"/>
        </w:rPr>
        <w:t>, 34(2), 117-133.</w:t>
      </w:r>
    </w:p>
    <w:p w14:paraId="70CCFFA9">
      <w:pPr>
        <w:pStyle w:val="3"/>
        <w:rPr>
          <w:rFonts w:hint="eastAsia" w:ascii="黑体" w:hAnsi="黑体" w:eastAsia="黑体" w:cs="黑体"/>
          <w:sz w:val="21"/>
          <w:szCs w:val="21"/>
        </w:rPr>
      </w:pPr>
      <w:r>
        <w:rPr>
          <w:rFonts w:hint="eastAsia" w:ascii="黑体" w:hAnsi="黑体" w:eastAsia="黑体" w:cs="黑体"/>
          <w:sz w:val="21"/>
          <w:szCs w:val="21"/>
        </w:rPr>
        <w:t xml:space="preserve">[12] Ashenfelter, O. (2008). “Predicting the Quality and Prices of Bordeaux Wine.” </w:t>
      </w:r>
      <w:r>
        <w:rPr>
          <w:rFonts w:hint="eastAsia" w:ascii="黑体" w:hAnsi="黑体" w:eastAsia="黑体" w:cs="黑体"/>
          <w:i/>
          <w:iCs/>
          <w:sz w:val="21"/>
          <w:szCs w:val="21"/>
        </w:rPr>
        <w:t>Journal of Wine Economics</w:t>
      </w:r>
      <w:r>
        <w:rPr>
          <w:rFonts w:hint="eastAsia" w:ascii="黑体" w:hAnsi="黑体" w:eastAsia="黑体" w:cs="黑体"/>
          <w:sz w:val="21"/>
          <w:szCs w:val="21"/>
        </w:rPr>
        <w:t>, 3(1), 60-71.</w:t>
      </w:r>
    </w:p>
    <w:p w14:paraId="7786B2E1">
      <w:pPr>
        <w:pStyle w:val="3"/>
        <w:rPr>
          <w:rFonts w:hint="eastAsia" w:ascii="黑体" w:hAnsi="黑体" w:eastAsia="黑体" w:cs="黑体"/>
          <w:sz w:val="21"/>
          <w:szCs w:val="21"/>
        </w:rPr>
      </w:pPr>
      <w:r>
        <w:rPr>
          <w:rFonts w:hint="eastAsia" w:ascii="黑体" w:hAnsi="黑体" w:eastAsia="黑体" w:cs="黑体"/>
          <w:sz w:val="21"/>
          <w:szCs w:val="21"/>
        </w:rPr>
        <w:t xml:space="preserve">[13] Prial, F. J. (2001). </w:t>
      </w:r>
      <w:r>
        <w:rPr>
          <w:rFonts w:hint="eastAsia" w:ascii="黑体" w:hAnsi="黑体" w:eastAsia="黑体" w:cs="黑体"/>
          <w:i/>
          <w:iCs/>
          <w:sz w:val="21"/>
          <w:szCs w:val="21"/>
        </w:rPr>
        <w:t>The New York Times Guide to Wine</w:t>
      </w:r>
      <w:r>
        <w:rPr>
          <w:rFonts w:hint="eastAsia" w:ascii="黑体" w:hAnsi="黑体" w:eastAsia="黑体" w:cs="黑体"/>
          <w:sz w:val="21"/>
          <w:szCs w:val="21"/>
        </w:rPr>
        <w:t>. New York: The New York Times Company.</w:t>
      </w:r>
    </w:p>
    <w:p w14:paraId="0371B1F9">
      <w:pPr>
        <w:pStyle w:val="3"/>
        <w:rPr>
          <w:rFonts w:hint="eastAsia" w:ascii="黑体" w:hAnsi="黑体" w:eastAsia="黑体" w:cs="黑体"/>
          <w:sz w:val="21"/>
          <w:szCs w:val="21"/>
        </w:rPr>
      </w:pPr>
      <w:r>
        <w:rPr>
          <w:rFonts w:hint="eastAsia" w:ascii="黑体" w:hAnsi="黑体" w:eastAsia="黑体" w:cs="黑体"/>
          <w:sz w:val="21"/>
          <w:szCs w:val="21"/>
        </w:rPr>
        <w:t xml:space="preserve">[14] Whalen, P. J. (2007). “The Uncertainty of It All.” </w:t>
      </w:r>
      <w:r>
        <w:rPr>
          <w:rFonts w:hint="eastAsia" w:ascii="黑体" w:hAnsi="黑体" w:eastAsia="黑体" w:cs="黑体"/>
          <w:i/>
          <w:iCs/>
          <w:sz w:val="21"/>
          <w:szCs w:val="21"/>
        </w:rPr>
        <w:t>Trends in Cognitive Sciences</w:t>
      </w:r>
      <w:r>
        <w:rPr>
          <w:rFonts w:hint="eastAsia" w:ascii="黑体" w:hAnsi="黑体" w:eastAsia="黑体" w:cs="黑体"/>
          <w:sz w:val="21"/>
          <w:szCs w:val="21"/>
        </w:rPr>
        <w:t>, 11(12), 499-500.</w:t>
      </w:r>
    </w:p>
    <w:p w14:paraId="1AA84706">
      <w:pPr>
        <w:pStyle w:val="3"/>
        <w:rPr>
          <w:rFonts w:hint="eastAsia" w:ascii="黑体" w:hAnsi="黑体" w:eastAsia="黑体" w:cs="黑体"/>
          <w:sz w:val="21"/>
          <w:szCs w:val="21"/>
        </w:rPr>
      </w:pPr>
      <w:r>
        <w:rPr>
          <w:rFonts w:hint="eastAsia" w:ascii="黑体" w:hAnsi="黑体" w:eastAsia="黑体" w:cs="黑体"/>
          <w:sz w:val="21"/>
          <w:szCs w:val="21"/>
        </w:rPr>
        <w:t xml:space="preserve">[15] Velikova, N., &amp; Charters, S. (2021). “Wine and Emotion: A Review.” In </w:t>
      </w:r>
      <w:r>
        <w:rPr>
          <w:rFonts w:hint="eastAsia" w:ascii="黑体" w:hAnsi="黑体" w:eastAsia="黑体" w:cs="黑体"/>
          <w:i/>
          <w:iCs/>
          <w:sz w:val="21"/>
          <w:szCs w:val="21"/>
        </w:rPr>
        <w:t>The Routledge Handbook of Wine and Culture</w:t>
      </w:r>
      <w:r>
        <w:rPr>
          <w:rFonts w:hint="eastAsia" w:ascii="黑体" w:hAnsi="黑体" w:eastAsia="黑体" w:cs="黑体"/>
          <w:sz w:val="21"/>
          <w:szCs w:val="21"/>
        </w:rPr>
        <w:t>. London: Routledge.</w:t>
      </w:r>
    </w:p>
    <w:p w14:paraId="320F2B66">
      <w:pPr>
        <w:pStyle w:val="3"/>
        <w:rPr>
          <w:rFonts w:hint="eastAsia" w:ascii="黑体" w:hAnsi="黑体" w:eastAsia="黑体" w:cs="黑体"/>
          <w:sz w:val="21"/>
          <w:szCs w:val="21"/>
        </w:rPr>
      </w:pPr>
      <w:r>
        <w:rPr>
          <w:rFonts w:hint="eastAsia" w:ascii="黑体" w:hAnsi="黑体" w:eastAsia="黑体" w:cs="黑体"/>
          <w:sz w:val="21"/>
          <w:szCs w:val="21"/>
        </w:rPr>
        <w:t xml:space="preserve">[16] Hebbard, G. (1999). “The Relationship Between Wine and Memory.” </w:t>
      </w:r>
      <w:r>
        <w:rPr>
          <w:rFonts w:hint="eastAsia" w:ascii="黑体" w:hAnsi="黑体" w:eastAsia="黑体" w:cs="黑体"/>
          <w:i/>
          <w:iCs/>
          <w:sz w:val="21"/>
          <w:szCs w:val="21"/>
        </w:rPr>
        <w:t>International Journal of Wine Marketing</w:t>
      </w:r>
      <w:r>
        <w:rPr>
          <w:rFonts w:hint="eastAsia" w:ascii="黑体" w:hAnsi="黑体" w:eastAsia="黑体" w:cs="黑体"/>
          <w:sz w:val="21"/>
          <w:szCs w:val="21"/>
        </w:rPr>
        <w:t>, 11(3), 22-32.</w:t>
      </w:r>
    </w:p>
    <w:p w14:paraId="475857E9">
      <w:pPr>
        <w:pStyle w:val="3"/>
        <w:rPr>
          <w:rFonts w:hint="eastAsia" w:ascii="黑体" w:hAnsi="黑体" w:eastAsia="黑体" w:cs="黑体"/>
          <w:sz w:val="21"/>
          <w:szCs w:val="21"/>
        </w:rPr>
      </w:pPr>
      <w:r>
        <w:rPr>
          <w:rFonts w:hint="eastAsia" w:ascii="黑体" w:hAnsi="黑体" w:eastAsia="黑体" w:cs="黑体"/>
          <w:sz w:val="21"/>
          <w:szCs w:val="21"/>
        </w:rPr>
        <w:t xml:space="preserve">[17] Loubere, L. A. (1985). </w:t>
      </w:r>
      <w:r>
        <w:rPr>
          <w:rFonts w:hint="eastAsia" w:ascii="黑体" w:hAnsi="黑体" w:eastAsia="黑体" w:cs="黑体"/>
          <w:i/>
          <w:iCs/>
          <w:sz w:val="21"/>
          <w:szCs w:val="21"/>
        </w:rPr>
        <w:t>The Wine Revolution in France: The Twentieth Century</w:t>
      </w:r>
      <w:r>
        <w:rPr>
          <w:rFonts w:hint="eastAsia" w:ascii="黑体" w:hAnsi="黑体" w:eastAsia="黑体" w:cs="黑体"/>
          <w:sz w:val="21"/>
          <w:szCs w:val="21"/>
        </w:rPr>
        <w:t>. Princeton: Princeton University Press.</w:t>
      </w:r>
    </w:p>
    <w:p w14:paraId="27666479">
      <w:pPr>
        <w:pStyle w:val="3"/>
        <w:rPr>
          <w:rFonts w:hint="eastAsia" w:ascii="黑体" w:hAnsi="黑体" w:eastAsia="黑体" w:cs="黑体"/>
          <w:sz w:val="21"/>
          <w:szCs w:val="21"/>
        </w:rPr>
      </w:pPr>
      <w:r>
        <w:rPr>
          <w:rFonts w:hint="eastAsia" w:ascii="黑体" w:hAnsi="黑体" w:eastAsia="黑体" w:cs="黑体"/>
          <w:sz w:val="21"/>
          <w:szCs w:val="21"/>
        </w:rPr>
        <w:t xml:space="preserve">[18] Taber, G. M. (2005). </w:t>
      </w:r>
      <w:r>
        <w:rPr>
          <w:rFonts w:hint="eastAsia" w:ascii="黑体" w:hAnsi="黑体" w:eastAsia="黑体" w:cs="黑体"/>
          <w:i/>
          <w:iCs/>
          <w:sz w:val="21"/>
          <w:szCs w:val="21"/>
        </w:rPr>
        <w:t>Judgment of Paris: California vs. France and the Historic 1976 Paris Tasting That Revolutionized Wine</w:t>
      </w:r>
      <w:r>
        <w:rPr>
          <w:rFonts w:hint="eastAsia" w:ascii="黑体" w:hAnsi="黑体" w:eastAsia="黑体" w:cs="黑体"/>
          <w:sz w:val="21"/>
          <w:szCs w:val="21"/>
        </w:rPr>
        <w:t>. New York: Scribner.</w:t>
      </w:r>
    </w:p>
    <w:bookmarkEnd w:id="0"/>
    <w:bookmarkEnd w:id="1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B5F50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4931</Words>
  <Characters>6718</Characters>
  <Lines>12</Lines>
  <Paragraphs>8</Paragraphs>
  <TotalTime>10</TotalTime>
  <ScaleCrop>false</ScaleCrop>
  <LinksUpToDate>false</LinksUpToDate>
  <CharactersWithSpaces>7057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2026-06-12T11:10:00Z</dcterms:created>
  <dc:creator>液体记忆研究</dc:creator>
  <cp:lastModifiedBy/>
  <dcterms:modified xsi:type="dcterms:W3CDTF">2026-06-12T11:18:38Z</dcterms:modified>
  <dc:title>液体记忆：论葡萄酒作为历史、风土与情感的复合载体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2052-12.1.0.24034</vt:lpwstr>
  </property>
  <property fmtid="{D5CDD505-2E9C-101B-9397-08002B2CF9AE}" pid="4" name="ICV">
    <vt:lpwstr>94EF3B63F47D4B6A9F27F1D3D1E616ED_12</vt:lpwstr>
  </property>
</Properties>
</file>