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4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5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通信系统网络实验     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实验四 5G业务规划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</w:p>
    <w:p w14:paraId="3E38F41B">
      <w:pPr>
        <w:spacing w:line="312" w:lineRule="auto"/>
        <w:rPr>
          <w:rFonts w:eastAsia="隶书" w:cs="Times New Roman"/>
          <w:sz w:val="32"/>
        </w:rPr>
      </w:pP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通信3班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</w:p>
    <w:p w14:paraId="0D3D1FCD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>20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年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3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月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30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p w14:paraId="7CF9A820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21"/>
            <w:jc w:val="center"/>
            <w:rPr>
              <w:lang w:val="zh-CN"/>
            </w:rPr>
          </w:pPr>
          <w:bookmarkStart w:id="4" w:name="_GoBack"/>
          <w:bookmarkEnd w:id="4"/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4835506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_Toc16194 </w:instrText>
          </w:r>
          <w:r>
            <w:fldChar w:fldCharType="separate"/>
          </w:r>
          <w:r>
            <w:rPr>
              <w:rFonts w:hint="default"/>
              <w:szCs w:val="36"/>
              <w:lang w:val="zh-CN"/>
            </w:rPr>
            <w:t xml:space="preserve">一、 </w:t>
          </w:r>
          <w:r>
            <w:rPr>
              <w:rFonts w:hint="eastAsia"/>
              <w:szCs w:val="36"/>
              <w:lang w:val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_Toc16194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61552C">
          <w:pPr>
            <w:pStyle w:val="10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_Toc9161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二、 </w:t>
          </w:r>
          <w:r>
            <w:rPr>
              <w:rFonts w:hint="eastAsia"/>
            </w:rPr>
            <w:t>实验过程截图</w:t>
          </w:r>
          <w:r>
            <w:tab/>
          </w:r>
          <w:r>
            <w:fldChar w:fldCharType="begin"/>
          </w:r>
          <w:r>
            <w:instrText xml:space="preserve"> PAGEREF _Toc9161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427EDB79">
          <w:pPr>
            <w:pStyle w:val="10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_Toc12053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三、 </w:t>
          </w:r>
          <w:r>
            <w:rPr>
              <w:rFonts w:hint="eastAsia"/>
            </w:rPr>
            <w:t>实验感想</w:t>
          </w:r>
          <w:r>
            <w:tab/>
          </w:r>
          <w:r>
            <w:fldChar w:fldCharType="begin"/>
          </w:r>
          <w:r>
            <w:instrText xml:space="preserve"> PAGEREF _Toc12053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2EA165CB">
          <w:pPr>
            <w:rPr>
              <w:b/>
              <w:bCs/>
              <w:lang w:val="zh-CN"/>
            </w:rPr>
          </w:pPr>
          <w:r>
            <w:rPr>
              <w:bCs/>
              <w:szCs w:val="32"/>
              <w:lang w:val="zh-CN"/>
            </w:rPr>
            <w:fldChar w:fldCharType="end"/>
          </w:r>
        </w:p>
      </w:sdtContent>
    </w:sdt>
    <w:p w14:paraId="40EF79EE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300ABC">
      <w:pPr>
        <w:pStyle w:val="3"/>
        <w:numPr>
          <w:ilvl w:val="0"/>
          <w:numId w:val="1"/>
        </w:numPr>
        <w:rPr>
          <w:sz w:val="36"/>
          <w:szCs w:val="36"/>
          <w:lang w:val="zh-CN"/>
        </w:rPr>
      </w:pPr>
      <w:bookmarkStart w:id="1" w:name="_Toc16194"/>
      <w:r>
        <w:rPr>
          <w:rFonts w:hint="eastAsia"/>
          <w:sz w:val="36"/>
          <w:szCs w:val="36"/>
          <w:lang w:val="zh-CN"/>
        </w:rPr>
        <w:t>实验目的</w:t>
      </w:r>
      <w:bookmarkEnd w:id="1"/>
    </w:p>
    <w:p w14:paraId="496BBF99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zh-CN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本次5G业务测试虚拟仿真实验，理解5G核心网基于服务化架构（SBA）的设计理念，掌握核心网关键网元（AMF、SMF、UDM、UPF）以及接入网（gNB）、承载网（gateway）和手机终端（UE）的功能定位与参数配置逻辑。熟悉各网元参数之间的约束关系（如IP地址同网段、TAC与GlobalID一致、IMSI/OPC/KEY的端到端匹配等），能够根据工参表补全缺失参数并完成端到端链路调试。了解5G SA模式下终端从RRC连接、上下文建立到PDU会话建立的完整接入信令流程，借助虚拟仿真软件的信令图表与动画演示，加深对移动通信系统整体工作过程的理解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3C502FD1">
      <w:pPr>
        <w:pStyle w:val="3"/>
        <w:numPr>
          <w:ilvl w:val="0"/>
          <w:numId w:val="1"/>
        </w:numPr>
      </w:pPr>
      <w:bookmarkStart w:id="2" w:name="_Toc9161"/>
      <w:r>
        <w:rPr>
          <w:rFonts w:hint="eastAsia"/>
        </w:rPr>
        <w:t>实验过程截图</w:t>
      </w:r>
      <w:bookmarkEnd w:id="2"/>
    </w:p>
    <w:p w14:paraId="0322815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</w:pP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根据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补全后的工参表，依次完成如下实验环节，并截图：</w:t>
      </w:r>
    </w:p>
    <w:p w14:paraId="146377AF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完成核心网AMF网元设置，保存后截图；</w:t>
      </w:r>
    </w:p>
    <w:p w14:paraId="1556F15D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01285" cy="2926080"/>
            <wp:effectExtent l="0" t="0" r="18415" b="762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31D37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AMF网元设置</w:t>
      </w:r>
    </w:p>
    <w:p w14:paraId="05B31FCE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完成核心网SMF网元设置，保存后截图；</w:t>
      </w:r>
    </w:p>
    <w:p w14:paraId="6458C835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91505" cy="3202305"/>
            <wp:effectExtent l="0" t="0" r="4445" b="1714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3202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8F835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SMF网元设置</w:t>
      </w:r>
    </w:p>
    <w:p w14:paraId="08492887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完成核心网UDM网元设置，保存后截图；</w:t>
      </w:r>
    </w:p>
    <w:p w14:paraId="4DF9BBB2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81650" cy="3133725"/>
            <wp:effectExtent l="0" t="0" r="0" b="9525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141C4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UDM网元设置</w:t>
      </w:r>
    </w:p>
    <w:p w14:paraId="5849ED0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完成核心网UPF网元设置，保存后截图；</w:t>
      </w:r>
    </w:p>
    <w:p w14:paraId="0B699F43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70170" cy="2908300"/>
            <wp:effectExtent l="0" t="0" r="11430" b="635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17017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168A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UPF网元设置</w:t>
      </w:r>
    </w:p>
    <w:p w14:paraId="53B2CA3D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完成接入网节点设置，保存后截图；</w:t>
      </w:r>
    </w:p>
    <w:p w14:paraId="33943C10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3820" cy="2905125"/>
            <wp:effectExtent l="0" t="0" r="17780" b="9525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5CE6C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接入网节点设置</w:t>
      </w:r>
    </w:p>
    <w:p w14:paraId="737A422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完成手机终端设置，保存后截图；</w:t>
      </w:r>
    </w:p>
    <w:p w14:paraId="13C93FF6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25720" cy="2870200"/>
            <wp:effectExtent l="0" t="0" r="17780" b="635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125720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2F0846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手机终端设置</w:t>
      </w:r>
    </w:p>
    <w:p w14:paraId="0569398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完成承载网设置，保存后截图；</w:t>
      </w:r>
    </w:p>
    <w:p w14:paraId="56BA7DA3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9000" cy="2643505"/>
            <wp:effectExtent l="0" t="0" r="6350" b="444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8A92F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承载网设置</w:t>
      </w:r>
    </w:p>
    <w:p w14:paraId="16F1A6A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在所有参数设置成功后，在用户界面上显示信令流程图，并截图；</w:t>
      </w:r>
    </w:p>
    <w:p w14:paraId="3047B9B5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84495" cy="3084195"/>
            <wp:effectExtent l="0" t="0" r="1905" b="1905"/>
            <wp:docPr id="10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084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04ECC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信令流程</w:t>
      </w:r>
      <w:r>
        <w:rPr>
          <w:rFonts w:hint="eastAsia"/>
          <w:lang w:val="en-US" w:eastAsia="zh-CN"/>
        </w:rPr>
        <w:t>图</w:t>
      </w:r>
    </w:p>
    <w:p w14:paraId="688CF406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1080" w:right="0" w:hanging="360"/>
        <w:jc w:val="both"/>
      </w:pPr>
      <w:r>
        <w:t xml:space="preserve"> 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在所有参数设置成功后，观看学习信令传输的全过程，并在最后一个步骤完成后截图。</w:t>
      </w:r>
    </w:p>
    <w:p w14:paraId="13FDEF90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72760" cy="3134995"/>
            <wp:effectExtent l="0" t="0" r="8890" b="8255"/>
            <wp:docPr id="11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3134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E31FD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宋体" w:hAnsi="宋体" w:cs="宋体" w:eastAsiaTheme="minorEastAsia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信令流程传输</w:t>
      </w:r>
    </w:p>
    <w:p w14:paraId="71AD0FBB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</w:pPr>
    </w:p>
    <w:p w14:paraId="06EAC91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center"/>
        <w:rPr>
          <w:rFonts w:ascii="宋体" w:hAnsi="宋体" w:eastAsia="宋体" w:cs="宋体"/>
          <w:sz w:val="24"/>
          <w:szCs w:val="24"/>
        </w:rPr>
      </w:pPr>
    </w:p>
    <w:tbl>
      <w:tblPr>
        <w:tblW w:w="906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1126"/>
        <w:gridCol w:w="2034"/>
        <w:gridCol w:w="2368"/>
        <w:gridCol w:w="2835"/>
      </w:tblGrid>
      <w:tr w14:paraId="7E932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6A9DE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编号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9DBEE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网元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64444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参数名称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8B782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参数值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8F15C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设置说明</w:t>
            </w:r>
          </w:p>
        </w:tc>
      </w:tr>
      <w:tr w14:paraId="6ADA2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BBEBC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1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1CA31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7221D3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AMF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F79BF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IP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90015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178.178.178.178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63B8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04105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0B40F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7DD9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769B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TAC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B975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2567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2D340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416C1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6CA3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4027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97793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GlobalID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D4C64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188123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17D3C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2F883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98750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0F842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FA5E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1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08627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SMF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FF2BE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StartIPAddress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CE22B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166.166.166.166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B031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61795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0AAE2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0BC9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BA0C1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EndIPAddress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7DC0F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177.177.177.177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BFFDC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2307F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30618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74582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A6CE7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795A9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DFFDF0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DBEA74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UDM</w:t>
            </w:r>
          </w:p>
          <w:p w14:paraId="6FD90EE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（只设置一个用户）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EA8A6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PLMN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76107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46050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ECA8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6E25B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25C53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3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6D77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61F2A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IMSI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1D0C3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460501234567890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6AFB7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4AFF7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06A0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4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72F6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C82A2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OPC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D554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B36EF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自己的学号重复一次，如：</w:t>
            </w:r>
          </w:p>
          <w:p w14:paraId="36A5AFB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2021045630220210456302</w:t>
            </w:r>
          </w:p>
        </w:tc>
      </w:tr>
      <w:tr w14:paraId="43F3F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48685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BF17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A26B3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KEY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801C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B2DC0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自己的学号重复两次，如</w:t>
            </w:r>
          </w:p>
          <w:p w14:paraId="5CBD52F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202104563022021045630220</w:t>
            </w:r>
          </w:p>
          <w:p w14:paraId="6B8FF1A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210456302</w:t>
            </w:r>
          </w:p>
        </w:tc>
      </w:tr>
      <w:tr w14:paraId="0BA4B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8C581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6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584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7C4EE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IP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40BF1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CC"/>
                <w:spacing w:val="0"/>
                <w:w w:val="100"/>
                <w:sz w:val="21"/>
                <w:szCs w:val="21"/>
                <w:vertAlign w:val="baseline"/>
              </w:rPr>
              <w:t>168.168.168.168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FD8A5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296D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B92C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52F41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E990A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8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45180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UPF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1FFF2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IP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B9DAA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180.180.180.180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EA611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26D69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12CC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0441F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5257A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10</w:t>
            </w:r>
          </w:p>
        </w:tc>
        <w:tc>
          <w:tcPr>
            <w:tcW w:w="1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AE4B8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E00BD8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696157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1ACBA5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A04910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4DC1D7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3127453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FE6E71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4D3CFB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218583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68D741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6EF1AB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gNB1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FED18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CenterFrequency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EA6C6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2565MHz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FEBDE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68A52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CAAAE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11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1BCC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05D86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Format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90738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C7600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601C9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1DB00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12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775F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BD665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SSBPower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6DA6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-20dBm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4CD99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386A0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1131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13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88F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9EFFA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BandWidth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CF922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50MHz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4A602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1B39C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A825D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14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BE1D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6441C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Modulation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55994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128QAM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A4F27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22754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4ECE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4C33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805E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PCI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EAECF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798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BB5CE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380EB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54F20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16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77C9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3AE9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AntennaPort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A59F3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0B7D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64284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94842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17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603C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AE7A8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SubCarr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6BD8D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15KHz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72249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41BA4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63943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BEAF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4906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48FE4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90EF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18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2C3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5C15B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LocalIP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47E89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198.198.198.198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F9A33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547FF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8949E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19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DFB5E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3EA9A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LinkEndPoint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8F214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FF"/>
                <w:sz w:val="21"/>
                <w:szCs w:val="21"/>
                <w:lang w:val="en-US" w:eastAsia="zh-CN"/>
              </w:rPr>
              <w:t>178.178.178.178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13797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对端IP，需要与AMF的IP地址一致</w:t>
            </w:r>
          </w:p>
        </w:tc>
      </w:tr>
      <w:tr w14:paraId="61BC6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5B9B6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20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35CE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9DC58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PLMN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DFF50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46050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9F839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公共陆地移动网络代码，需要与IMSI码的前五位一致，且全局一致</w:t>
            </w:r>
          </w:p>
        </w:tc>
      </w:tr>
      <w:tr w14:paraId="05544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0C64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21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D3B7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F819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TAC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C4F4B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2567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08ED3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地区跟踪码，与工参表的AMF设定的一致</w:t>
            </w:r>
          </w:p>
        </w:tc>
      </w:tr>
      <w:tr w14:paraId="68A2C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98430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22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8E6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49D8E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GlobalID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9B6A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FF"/>
                <w:spacing w:val="0"/>
                <w:w w:val="100"/>
                <w:sz w:val="21"/>
                <w:szCs w:val="21"/>
                <w:vertAlign w:val="baseline"/>
              </w:rPr>
              <w:t>188123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6FC0A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核心网识别码，全局应该一致</w:t>
            </w:r>
          </w:p>
        </w:tc>
      </w:tr>
      <w:tr w14:paraId="54451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78E4D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23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97C5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6BC48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Route-N2(</w:t>
            </w:r>
          </w:p>
          <w:p w14:paraId="26EF725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Destination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30B7E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黑体" w:hAnsi="黑体" w:eastAsia="黑体" w:cs="黑体"/>
                <w:b/>
                <w:bCs/>
                <w:color w:val="0000FF"/>
                <w:sz w:val="21"/>
                <w:szCs w:val="21"/>
                <w:lang w:val="en-US" w:eastAsia="zh-CN"/>
              </w:rPr>
              <w:t>178.178.178.178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144B4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N2为链接AMF的路由，目的应为AMF的IP地址</w:t>
            </w:r>
          </w:p>
        </w:tc>
      </w:tr>
      <w:tr w14:paraId="45C7F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96169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24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0052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6335E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Route-N2(GateWay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B9798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198.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198.198.1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DBBFA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N2为链接AMF的路由，网关应为本IP下的同网段地址</w:t>
            </w:r>
          </w:p>
        </w:tc>
      </w:tr>
      <w:tr w14:paraId="439CC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0F9BB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25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3337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8CAFB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Route-N2(Mask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D071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24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75A63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763EB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5B2F5B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26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24F0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10EC2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Route-N3(</w:t>
            </w:r>
          </w:p>
          <w:p w14:paraId="724D62F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Destination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C1059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FF"/>
                <w:spacing w:val="0"/>
                <w:w w:val="100"/>
                <w:sz w:val="21"/>
                <w:szCs w:val="21"/>
                <w:vertAlign w:val="baseline"/>
              </w:rPr>
              <w:t>180.180.180.180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465CD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N3为链接UPF的路由，目的应为UPF的IP地址</w:t>
            </w:r>
          </w:p>
        </w:tc>
      </w:tr>
      <w:tr w14:paraId="24F98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CABCF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27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AFD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DDBA1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Route-N3(GateWay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072CC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198.198.198.2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F6E82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N3为链接AMF的路由，网关应为本IP下的同网段地址</w:t>
            </w:r>
          </w:p>
        </w:tc>
      </w:tr>
      <w:tr w14:paraId="53003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3AEA5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28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DE0D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82FD1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Route-N3(Mask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11833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24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FAB2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------------------------</w:t>
            </w:r>
          </w:p>
        </w:tc>
      </w:tr>
      <w:tr w14:paraId="11C6B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21E392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77AEA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4E8EC6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DA61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手机终端UE1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85EF7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SIMCardSet(IMSI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41749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FF"/>
                <w:spacing w:val="0"/>
                <w:w w:val="100"/>
                <w:sz w:val="21"/>
                <w:szCs w:val="21"/>
                <w:vertAlign w:val="baseline"/>
              </w:rPr>
              <w:t>460501234567890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D227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与UDM设置的IMSI码保持一致，此为全局标识</w:t>
            </w:r>
          </w:p>
        </w:tc>
      </w:tr>
      <w:tr w14:paraId="06B98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BEBF8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B88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1B284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SIMCardSet(OPC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03468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DBE97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与UDM的设置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OPC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保持一致</w:t>
            </w:r>
          </w:p>
        </w:tc>
      </w:tr>
      <w:tr w14:paraId="48429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5F04D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9875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CA8EA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SIMCardSet(KEY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A196C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  <w:b/>
                <w:bCs/>
                <w:color w:val="0000FF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FE5BD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与UDM的设置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KEY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保持一致</w:t>
            </w:r>
          </w:p>
        </w:tc>
      </w:tr>
      <w:tr w14:paraId="30D6B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90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F419B9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04283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06136E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0DF18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承载网网关GateWay1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BBC0D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Port1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D78D4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178.178.178.1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336D3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与AMF相连，应与AMF地址同网段</w:t>
            </w:r>
          </w:p>
        </w:tc>
      </w:tr>
      <w:tr w14:paraId="469E6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1330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3CBF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AE52D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Port2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2F53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180.180.180.1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5E5CE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与UPF相连，应与UPF地址同网段</w:t>
            </w:r>
          </w:p>
        </w:tc>
      </w:tr>
      <w:tr w14:paraId="5828D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2EFBA5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50D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358F91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Port3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D1E54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/>
                <w:b/>
                <w:bCs/>
                <w:color w:val="0000FF"/>
                <w:sz w:val="21"/>
                <w:szCs w:val="21"/>
                <w:lang w:val="en-US" w:eastAsia="zh-CN"/>
              </w:rPr>
              <w:t>198.198.198.1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CBE07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gNB1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相连，应与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gNB1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的网关地址一致。</w:t>
            </w:r>
          </w:p>
        </w:tc>
      </w:tr>
      <w:tr w14:paraId="7A632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24352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1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CEA63F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CE80A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4E4E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E691B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</w:tbl>
    <w:p w14:paraId="628B57A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E666B4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6294A8C6">
      <w:pPr>
        <w:jc w:val="both"/>
        <w:rPr>
          <w:rFonts w:hint="eastAsia"/>
          <w:lang w:val="en-US" w:eastAsia="zh-CN"/>
        </w:rPr>
      </w:pPr>
    </w:p>
    <w:p w14:paraId="44447B2B">
      <w:pPr>
        <w:pStyle w:val="3"/>
        <w:numPr>
          <w:ilvl w:val="0"/>
          <w:numId w:val="1"/>
        </w:numPr>
      </w:pPr>
      <w:bookmarkStart w:id="3" w:name="_Toc12053"/>
      <w:r>
        <w:rPr>
          <w:rFonts w:hint="eastAsia"/>
        </w:rPr>
        <w:t>实验感想</w:t>
      </w:r>
      <w:bookmarkEnd w:id="3"/>
    </w:p>
    <w:p w14:paraId="70070E3E">
      <w:pPr>
        <w:pStyle w:val="11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本次实验让我对5G网络从抽象概念走向了可配置、可调试的实践层面，收获深刻。</w:t>
      </w:r>
    </w:p>
    <w:p w14:paraId="0EDDF199">
      <w:pPr>
        <w:pStyle w:val="11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先，深入理解了5G核心网的服务化架构及各网元的分工。AMF负责接入与移动性管理，SMF管理会话及UE的IP地址池，UDM存储用户签约数据，UPF处理用户面数据转发。通过亲手配置参数，我真正体会到网元之间各司其职、协同工作的逻辑。</w:t>
      </w:r>
    </w:p>
    <w:p w14:paraId="7457AC3D">
      <w:pPr>
        <w:pStyle w:val="11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其次，建立了5G端到端网络的参数约束框架。从UE的IMSI/OPC/KEY与UDM一致，到gNB的TAC、GlobalID与AMF匹配，再到承载网网关实现跨网段路由——任何一个参数错配都会导致注册失败。当最终看到“Registration Completed！”绿色提示时，我对网络规划的系统性有了深刻认识。</w:t>
      </w:r>
    </w:p>
    <w:p w14:paraId="3A7961F0">
      <w:pPr>
        <w:pStyle w:val="11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第三，直观感知了5G SA终端的完整接入信令流程。通过信令图表和动画演示，我清晰观察了RRC连接建立、初始上下文建立、PDU会话建立共18个步骤，理解了终端从开机到获得数据传输能力所需的控制面交互过程。</w:t>
      </w:r>
    </w:p>
    <w:p w14:paraId="08AD98EB">
      <w:pPr>
        <w:pStyle w:val="11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最后，实验锻炼了我的故障排查能力。面对“No Service！”红色提示，通过逐项核对IP网段、标识码、地址池等约束，最终定位问题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为IP网段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。虚拟仿真平台提供了低成本的试错环境，让我建立起从分域配置到全局联调的整体思维框架，为今后学习5G网络规划与业务测试奠定了扎实基础。</w:t>
      </w:r>
    </w:p>
    <w:p w14:paraId="4F145237">
      <w:pPr>
        <w:keepNext w:val="0"/>
        <w:keepLines w:val="0"/>
        <w:widowControl/>
        <w:suppressLineNumbers w:val="0"/>
        <w:spacing w:before="0" w:beforeAutospacing="0" w:after="0" w:afterAutospacing="0"/>
        <w:ind w:left="-120" w:leftChars="0" w:right="0" w:rightChars="0" w:firstLine="420" w:firstLineChars="200"/>
        <w:jc w:val="both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8499385"/>
      <w:docPartObj>
        <w:docPartGallery w:val="autotext"/>
      </w:docPartObj>
    </w:sdtPr>
    <w:sdtContent>
      <w:p w14:paraId="63DA6CCE">
        <w:pPr>
          <w:pStyle w:val="7"/>
          <w:jc w:val="center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2</w:t>
        </w:r>
        <w:r>
          <w:rPr>
            <w:sz w:val="24"/>
          </w:rPr>
          <w:fldChar w:fldCharType="end"/>
        </w:r>
      </w:p>
    </w:sdtContent>
  </w:sdt>
  <w:p w14:paraId="690C1356">
    <w:pPr>
      <w:pStyle w:val="7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8957E"/>
    <w:multiLevelType w:val="multilevel"/>
    <w:tmpl w:val="9768957E"/>
    <w:lvl w:ilvl="0" w:tentative="0">
      <w:start w:val="1"/>
      <w:numFmt w:val="decimal"/>
      <w:lvlText w:val="%1）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."/>
      <w:lvlJc w:val="left"/>
      <w:pPr>
        <w:ind w:left="6480"/>
      </w:pPr>
    </w:lvl>
  </w:abstractNum>
  <w:abstractNum w:abstractNumId="1">
    <w:nsid w:val="40803CF0"/>
    <w:multiLevelType w:val="multilevel"/>
    <w:tmpl w:val="40803CF0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66A60"/>
    <w:rsid w:val="00081EC1"/>
    <w:rsid w:val="00096A8A"/>
    <w:rsid w:val="00097E1F"/>
    <w:rsid w:val="000A2D33"/>
    <w:rsid w:val="000A6E0D"/>
    <w:rsid w:val="000B1BE6"/>
    <w:rsid w:val="000C5E13"/>
    <w:rsid w:val="000D0529"/>
    <w:rsid w:val="000E0231"/>
    <w:rsid w:val="000F6620"/>
    <w:rsid w:val="00103832"/>
    <w:rsid w:val="00112292"/>
    <w:rsid w:val="001124C0"/>
    <w:rsid w:val="00117193"/>
    <w:rsid w:val="0013081C"/>
    <w:rsid w:val="001360B1"/>
    <w:rsid w:val="00161C38"/>
    <w:rsid w:val="00173F75"/>
    <w:rsid w:val="00175A99"/>
    <w:rsid w:val="001A77A8"/>
    <w:rsid w:val="001B6EE2"/>
    <w:rsid w:val="001E2710"/>
    <w:rsid w:val="001E3C78"/>
    <w:rsid w:val="00200E2E"/>
    <w:rsid w:val="00201BBF"/>
    <w:rsid w:val="00230158"/>
    <w:rsid w:val="00245C40"/>
    <w:rsid w:val="0026358E"/>
    <w:rsid w:val="00263FD2"/>
    <w:rsid w:val="00267AB5"/>
    <w:rsid w:val="002944F6"/>
    <w:rsid w:val="002A45C5"/>
    <w:rsid w:val="002B6100"/>
    <w:rsid w:val="002D20FC"/>
    <w:rsid w:val="002D2C79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96350"/>
    <w:rsid w:val="003A409A"/>
    <w:rsid w:val="003A48F4"/>
    <w:rsid w:val="003B2179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313AA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500C8"/>
    <w:rsid w:val="005556FF"/>
    <w:rsid w:val="00557F1D"/>
    <w:rsid w:val="00571DCE"/>
    <w:rsid w:val="00594503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B1AF0"/>
    <w:rsid w:val="006B2C22"/>
    <w:rsid w:val="006C230E"/>
    <w:rsid w:val="006D7218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2D6E"/>
    <w:rsid w:val="007C3D92"/>
    <w:rsid w:val="007E2A44"/>
    <w:rsid w:val="007F541D"/>
    <w:rsid w:val="00817C83"/>
    <w:rsid w:val="008202AA"/>
    <w:rsid w:val="008206F3"/>
    <w:rsid w:val="00821962"/>
    <w:rsid w:val="00823635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1830"/>
    <w:rsid w:val="009F25DC"/>
    <w:rsid w:val="00A01AD7"/>
    <w:rsid w:val="00A11BCA"/>
    <w:rsid w:val="00A12BE0"/>
    <w:rsid w:val="00A208BE"/>
    <w:rsid w:val="00A338FA"/>
    <w:rsid w:val="00A33F09"/>
    <w:rsid w:val="00A36EAC"/>
    <w:rsid w:val="00A51EAE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12107"/>
    <w:rsid w:val="00B208E1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D3EA1"/>
    <w:rsid w:val="00BD5058"/>
    <w:rsid w:val="00BE6B3D"/>
    <w:rsid w:val="00BF092E"/>
    <w:rsid w:val="00C11964"/>
    <w:rsid w:val="00C13D18"/>
    <w:rsid w:val="00C17028"/>
    <w:rsid w:val="00C21C12"/>
    <w:rsid w:val="00C21D29"/>
    <w:rsid w:val="00C2275E"/>
    <w:rsid w:val="00C451D8"/>
    <w:rsid w:val="00C62B48"/>
    <w:rsid w:val="00C71CBE"/>
    <w:rsid w:val="00C85313"/>
    <w:rsid w:val="00C93DAB"/>
    <w:rsid w:val="00CA23B7"/>
    <w:rsid w:val="00CA6996"/>
    <w:rsid w:val="00CB0389"/>
    <w:rsid w:val="00CB142B"/>
    <w:rsid w:val="00CB4DD2"/>
    <w:rsid w:val="00CE303E"/>
    <w:rsid w:val="00CE51FF"/>
    <w:rsid w:val="00CE682C"/>
    <w:rsid w:val="00CF4EF0"/>
    <w:rsid w:val="00CF6F64"/>
    <w:rsid w:val="00D03054"/>
    <w:rsid w:val="00D072C2"/>
    <w:rsid w:val="00D20F5A"/>
    <w:rsid w:val="00D21A4A"/>
    <w:rsid w:val="00D30002"/>
    <w:rsid w:val="00D54375"/>
    <w:rsid w:val="00D805CD"/>
    <w:rsid w:val="00D83901"/>
    <w:rsid w:val="00D862DC"/>
    <w:rsid w:val="00D92A0E"/>
    <w:rsid w:val="00DA4DDE"/>
    <w:rsid w:val="00DC218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B422E"/>
    <w:rsid w:val="00EC59DD"/>
    <w:rsid w:val="00ED55F2"/>
    <w:rsid w:val="00F07A69"/>
    <w:rsid w:val="00F12280"/>
    <w:rsid w:val="00F56D30"/>
    <w:rsid w:val="00F87E20"/>
    <w:rsid w:val="00FB46CA"/>
    <w:rsid w:val="00FE443D"/>
    <w:rsid w:val="0FB6788B"/>
    <w:rsid w:val="26747E2C"/>
    <w:rsid w:val="2AB5325B"/>
    <w:rsid w:val="306453B6"/>
    <w:rsid w:val="37C46D75"/>
    <w:rsid w:val="51E27C06"/>
    <w:rsid w:val="54806D6E"/>
    <w:rsid w:val="5F174917"/>
    <w:rsid w:val="6020648B"/>
    <w:rsid w:val="7131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32"/>
      <w:szCs w:val="32"/>
    </w:rPr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rPr>
      <w:sz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9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2">
    <w:name w:val="mord"/>
    <w:basedOn w:val="14"/>
    <w:qFormat/>
    <w:uiPriority w:val="0"/>
  </w:style>
  <w:style w:type="character" w:customStyle="1" w:styleId="23">
    <w:name w:val="vlist-s"/>
    <w:basedOn w:val="14"/>
    <w:qFormat/>
    <w:uiPriority w:val="0"/>
  </w:style>
  <w:style w:type="character" w:customStyle="1" w:styleId="24">
    <w:name w:val="container-x_whzc"/>
    <w:basedOn w:val="14"/>
    <w:qFormat/>
    <w:uiPriority w:val="0"/>
  </w:style>
  <w:style w:type="character" w:customStyle="1" w:styleId="25">
    <w:name w:val="semi-button-content-right"/>
    <w:basedOn w:val="14"/>
    <w:qFormat/>
    <w:uiPriority w:val="0"/>
  </w:style>
  <w:style w:type="character" w:customStyle="1" w:styleId="26">
    <w:name w:val="title-ftnj7n"/>
    <w:basedOn w:val="14"/>
    <w:qFormat/>
    <w:uiPriority w:val="0"/>
  </w:style>
  <w:style w:type="character" w:customStyle="1" w:styleId="27">
    <w:name w:val="标题 3 字符"/>
    <w:basedOn w:val="14"/>
    <w:link w:val="4"/>
    <w:qFormat/>
    <w:uiPriority w:val="9"/>
    <w:rPr>
      <w:b/>
      <w:bCs/>
      <w:sz w:val="32"/>
      <w:szCs w:val="32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923-C5DE-4C97-AE7A-75E2A020A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391</Words>
  <Characters>424</Characters>
  <Lines>10</Lines>
  <Paragraphs>2</Paragraphs>
  <TotalTime>0</TotalTime>
  <ScaleCrop>false</ScaleCrop>
  <LinksUpToDate>false</LinksUpToDate>
  <CharactersWithSpaces>571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2025-03-28T16:03:00Z</dcterms:created>
  <dc:creator>唐琮嘉</dc:creator>
  <cp:lastModifiedBy/>
  <cp:lastPrinted>2025-04-13T11:01:00Z</cp:lastPrinted>
  <dcterms:modified xsi:type="dcterms:W3CDTF">2026-03-31T07:59:19Z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201E7B21B3F742988EB19185F1DB6CB8_12</vt:lpwstr>
  </property>
</Properties>
</file>