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1877F" w14:textId="77777777" w:rsidR="00E26F86" w:rsidRDefault="00E26F86"/>
    <w:p w14:paraId="38A80255" w14:textId="77777777" w:rsidR="00E26F86" w:rsidRDefault="00E26F86"/>
    <w:tbl>
      <w:tblPr>
        <w:tblStyle w:val="TableGrid"/>
        <w:tblpPr w:leftFromText="180" w:rightFromText="180" w:vertAnchor="page" w:horzAnchor="page" w:tblpX="1450" w:tblpY="2345"/>
        <w:tblW w:w="9408" w:type="dxa"/>
        <w:tblLook w:val="04A0" w:firstRow="1" w:lastRow="0" w:firstColumn="1" w:lastColumn="0" w:noHBand="0" w:noVBand="1"/>
      </w:tblPr>
      <w:tblGrid>
        <w:gridCol w:w="1568"/>
        <w:gridCol w:w="1568"/>
        <w:gridCol w:w="1568"/>
        <w:gridCol w:w="1568"/>
        <w:gridCol w:w="1568"/>
        <w:gridCol w:w="1568"/>
      </w:tblGrid>
      <w:tr w:rsidR="00A33E83" w:rsidRPr="007E40AD" w14:paraId="694B46FF" w14:textId="77777777" w:rsidTr="00A33E83">
        <w:trPr>
          <w:trHeight w:val="1826"/>
        </w:trPr>
        <w:tc>
          <w:tcPr>
            <w:tcW w:w="1568" w:type="dxa"/>
          </w:tcPr>
          <w:p w14:paraId="206E3FA3" w14:textId="77777777" w:rsidR="00E26F86" w:rsidRPr="007E40AD" w:rsidRDefault="00E26F86" w:rsidP="0031637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1568" w:type="dxa"/>
          </w:tcPr>
          <w:p w14:paraId="408C1201" w14:textId="77777777" w:rsidR="00E26F86" w:rsidRPr="007E40AD" w:rsidRDefault="00E26F86" w:rsidP="0031637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DF</w:t>
            </w:r>
          </w:p>
        </w:tc>
        <w:tc>
          <w:tcPr>
            <w:tcW w:w="1568" w:type="dxa"/>
          </w:tcPr>
          <w:p w14:paraId="589B7645" w14:textId="77777777" w:rsidR="00E26F86" w:rsidRPr="007E40AD" w:rsidRDefault="00E26F86" w:rsidP="0031637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Sum of Squares</w:t>
            </w:r>
          </w:p>
        </w:tc>
        <w:tc>
          <w:tcPr>
            <w:tcW w:w="1568" w:type="dxa"/>
          </w:tcPr>
          <w:p w14:paraId="5F1520F6" w14:textId="77777777" w:rsidR="00E26F86" w:rsidRPr="007E40AD" w:rsidRDefault="00E26F86" w:rsidP="0031637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Mean Square</w:t>
            </w:r>
          </w:p>
        </w:tc>
        <w:tc>
          <w:tcPr>
            <w:tcW w:w="1568" w:type="dxa"/>
          </w:tcPr>
          <w:p w14:paraId="489E6CC9" w14:textId="77777777" w:rsidR="00E26F86" w:rsidRPr="007E40AD" w:rsidRDefault="00E26F86" w:rsidP="0031637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 Value</w:t>
            </w:r>
          </w:p>
        </w:tc>
        <w:tc>
          <w:tcPr>
            <w:tcW w:w="1568" w:type="dxa"/>
          </w:tcPr>
          <w:p w14:paraId="00C038AF" w14:textId="77777777" w:rsidR="00E26F86" w:rsidRPr="007E40AD" w:rsidRDefault="00E26F86" w:rsidP="0031637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</w:t>
            </w:r>
            <w:proofErr w:type="spellEnd"/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&gt; F</w:t>
            </w:r>
          </w:p>
        </w:tc>
      </w:tr>
      <w:tr w:rsidR="00A33E83" w:rsidRPr="007E40AD" w14:paraId="37A16729" w14:textId="77777777" w:rsidTr="00A33E83">
        <w:trPr>
          <w:trHeight w:val="855"/>
        </w:trPr>
        <w:tc>
          <w:tcPr>
            <w:tcW w:w="1568" w:type="dxa"/>
          </w:tcPr>
          <w:p w14:paraId="07EF9209" w14:textId="77777777" w:rsidR="00E26F86" w:rsidRPr="007E40AD" w:rsidRDefault="00E26F86" w:rsidP="0031637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568" w:type="dxa"/>
          </w:tcPr>
          <w:p w14:paraId="0CC229B5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68" w:type="dxa"/>
          </w:tcPr>
          <w:p w14:paraId="0FC6AE58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4555.400000</w:t>
            </w:r>
          </w:p>
        </w:tc>
        <w:tc>
          <w:tcPr>
            <w:tcW w:w="1568" w:type="dxa"/>
          </w:tcPr>
          <w:p w14:paraId="541B122D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1138.850000</w:t>
            </w:r>
          </w:p>
        </w:tc>
        <w:tc>
          <w:tcPr>
            <w:tcW w:w="1568" w:type="dxa"/>
          </w:tcPr>
          <w:p w14:paraId="2D9528A2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126.60</w:t>
            </w:r>
          </w:p>
        </w:tc>
        <w:tc>
          <w:tcPr>
            <w:tcW w:w="1568" w:type="dxa"/>
          </w:tcPr>
          <w:p w14:paraId="4E4491FD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&lt;.0001</w:t>
            </w:r>
          </w:p>
        </w:tc>
      </w:tr>
      <w:tr w:rsidR="00A33E83" w:rsidRPr="007E40AD" w14:paraId="542336FF" w14:textId="77777777" w:rsidTr="00A33E83">
        <w:trPr>
          <w:trHeight w:val="921"/>
        </w:trPr>
        <w:tc>
          <w:tcPr>
            <w:tcW w:w="1568" w:type="dxa"/>
          </w:tcPr>
          <w:p w14:paraId="45FF57FA" w14:textId="77777777" w:rsidR="00E26F86" w:rsidRPr="007E40AD" w:rsidRDefault="00E26F86" w:rsidP="0031637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Error</w:t>
            </w:r>
          </w:p>
        </w:tc>
        <w:tc>
          <w:tcPr>
            <w:tcW w:w="1568" w:type="dxa"/>
          </w:tcPr>
          <w:p w14:paraId="6FDEE19E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1568" w:type="dxa"/>
          </w:tcPr>
          <w:p w14:paraId="54825565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854.600000</w:t>
            </w:r>
          </w:p>
        </w:tc>
        <w:tc>
          <w:tcPr>
            <w:tcW w:w="1568" w:type="dxa"/>
          </w:tcPr>
          <w:p w14:paraId="2712EC38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8.995789</w:t>
            </w:r>
          </w:p>
        </w:tc>
        <w:tc>
          <w:tcPr>
            <w:tcW w:w="1568" w:type="dxa"/>
          </w:tcPr>
          <w:p w14:paraId="1BFCE2BC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68" w:type="dxa"/>
          </w:tcPr>
          <w:p w14:paraId="4F92F739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A33E83" w:rsidRPr="007E40AD" w14:paraId="1304B507" w14:textId="77777777" w:rsidTr="00A33E83">
        <w:trPr>
          <w:trHeight w:val="1767"/>
        </w:trPr>
        <w:tc>
          <w:tcPr>
            <w:tcW w:w="1568" w:type="dxa"/>
          </w:tcPr>
          <w:p w14:paraId="6601C70D" w14:textId="77777777" w:rsidR="00E26F86" w:rsidRPr="007E40AD" w:rsidRDefault="00E26F86" w:rsidP="0031637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E40A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Corrected Total</w:t>
            </w:r>
          </w:p>
        </w:tc>
        <w:tc>
          <w:tcPr>
            <w:tcW w:w="1568" w:type="dxa"/>
          </w:tcPr>
          <w:p w14:paraId="6D3E2592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1568" w:type="dxa"/>
          </w:tcPr>
          <w:p w14:paraId="043448CE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5410.000000</w:t>
            </w:r>
          </w:p>
        </w:tc>
        <w:tc>
          <w:tcPr>
            <w:tcW w:w="1568" w:type="dxa"/>
          </w:tcPr>
          <w:p w14:paraId="64D9B690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68" w:type="dxa"/>
          </w:tcPr>
          <w:p w14:paraId="0F3DA734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68" w:type="dxa"/>
          </w:tcPr>
          <w:p w14:paraId="4B443727" w14:textId="77777777" w:rsidR="00E26F86" w:rsidRPr="002115D6" w:rsidRDefault="00E26F86" w:rsidP="0031637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36A18990" w14:textId="77777777" w:rsidR="00E26F86" w:rsidRDefault="00BD12B8">
      <w:r>
        <w:t>Table 1.0, ANOVA</w:t>
      </w:r>
    </w:p>
    <w:p w14:paraId="302E1ED7" w14:textId="77777777" w:rsidR="00E4279E" w:rsidRDefault="00E4279E" w:rsidP="005845E5">
      <w:pPr>
        <w:rPr>
          <w:sz w:val="22"/>
          <w:szCs w:val="22"/>
        </w:rPr>
      </w:pPr>
    </w:p>
    <w:p w14:paraId="78B72B8D" w14:textId="388AFF4C" w:rsidR="005845E5" w:rsidRPr="005845E5" w:rsidRDefault="00F71623" w:rsidP="005845E5">
      <w:pPr>
        <w:rPr>
          <w:sz w:val="22"/>
          <w:szCs w:val="22"/>
        </w:rPr>
      </w:pPr>
      <w:r w:rsidRPr="005845E5">
        <w:rPr>
          <w:sz w:val="22"/>
          <w:szCs w:val="22"/>
        </w:rPr>
        <w:t xml:space="preserve">Based on </w:t>
      </w:r>
      <w:r w:rsidRPr="005845E5">
        <w:rPr>
          <w:b/>
          <w:sz w:val="22"/>
          <w:szCs w:val="22"/>
        </w:rPr>
        <w:t>Table1.0</w:t>
      </w:r>
      <w:r w:rsidRPr="005845E5">
        <w:rPr>
          <w:sz w:val="22"/>
          <w:szCs w:val="22"/>
        </w:rPr>
        <w:t>, conducted a hypothesis test (with a 0.05 significanc</w:t>
      </w:r>
      <w:r w:rsidR="00960BAD" w:rsidRPr="005845E5">
        <w:rPr>
          <w:sz w:val="22"/>
          <w:szCs w:val="22"/>
        </w:rPr>
        <w:t>e level) to determine whether size(length) of carabid beetles varies among local populations</w:t>
      </w:r>
      <w:r w:rsidRPr="005845E5">
        <w:rPr>
          <w:sz w:val="22"/>
          <w:szCs w:val="22"/>
        </w:rPr>
        <w:t xml:space="preserve">. The output source shows source of variances, where models means effects of all the independent variables. </w:t>
      </w:r>
      <w:r w:rsidR="0080548B">
        <w:rPr>
          <w:sz w:val="22"/>
          <w:szCs w:val="22"/>
        </w:rPr>
        <w:t xml:space="preserve">The </w:t>
      </w:r>
      <w:r w:rsidR="0080548B" w:rsidRPr="005845E5">
        <w:rPr>
          <w:sz w:val="22"/>
          <w:szCs w:val="22"/>
        </w:rPr>
        <w:t>beetles</w:t>
      </w:r>
      <w:r w:rsidR="005845E5" w:rsidRPr="005845E5">
        <w:rPr>
          <w:sz w:val="22"/>
          <w:szCs w:val="22"/>
        </w:rPr>
        <w:t xml:space="preserve"> were selected</w:t>
      </w:r>
      <w:r w:rsidR="00051554">
        <w:rPr>
          <w:sz w:val="22"/>
          <w:szCs w:val="22"/>
        </w:rPr>
        <w:t xml:space="preserve"> at random </w:t>
      </w:r>
      <w:r w:rsidR="005845E5" w:rsidRPr="005845E5">
        <w:rPr>
          <w:sz w:val="22"/>
          <w:szCs w:val="22"/>
        </w:rPr>
        <w:t>from each population was collected and measured in length. The question</w:t>
      </w:r>
      <w:r w:rsidR="0080548B">
        <w:rPr>
          <w:sz w:val="22"/>
          <w:szCs w:val="22"/>
        </w:rPr>
        <w:t xml:space="preserve"> for this</w:t>
      </w:r>
      <w:r w:rsidR="00E04FED">
        <w:rPr>
          <w:sz w:val="22"/>
          <w:szCs w:val="22"/>
        </w:rPr>
        <w:t xml:space="preserve"> particular </w:t>
      </w:r>
      <w:bookmarkStart w:id="0" w:name="_GoBack"/>
      <w:bookmarkEnd w:id="0"/>
      <w:r w:rsidR="00E52946">
        <w:rPr>
          <w:sz w:val="22"/>
          <w:szCs w:val="22"/>
        </w:rPr>
        <w:t xml:space="preserve">study </w:t>
      </w:r>
      <w:r w:rsidR="00E52946" w:rsidRPr="005845E5">
        <w:rPr>
          <w:sz w:val="22"/>
          <w:szCs w:val="22"/>
        </w:rPr>
        <w:t>at</w:t>
      </w:r>
      <w:r w:rsidR="005845E5" w:rsidRPr="005845E5">
        <w:rPr>
          <w:sz w:val="22"/>
          <w:szCs w:val="22"/>
        </w:rPr>
        <w:t xml:space="preserve"> hand is whether size of carabid beetles varies among local populations. </w:t>
      </w:r>
    </w:p>
    <w:p w14:paraId="7268769E" w14:textId="2395D123" w:rsidR="00A25ACF" w:rsidRPr="007E40AD" w:rsidRDefault="00F71623" w:rsidP="00A25ACF">
      <w:pPr>
        <w:rPr>
          <w:sz w:val="22"/>
          <w:szCs w:val="22"/>
        </w:rPr>
      </w:pPr>
      <w:r w:rsidRPr="005845E5">
        <w:rPr>
          <w:sz w:val="22"/>
          <w:szCs w:val="22"/>
        </w:rPr>
        <w:t>This one way ANOVA is based on F-distribution and the F test st</w:t>
      </w:r>
      <w:r w:rsidR="00DF58DC" w:rsidRPr="005845E5">
        <w:rPr>
          <w:sz w:val="22"/>
          <w:szCs w:val="22"/>
        </w:rPr>
        <w:t xml:space="preserve">atistics value is 126.60 </w:t>
      </w:r>
      <w:r w:rsidRPr="005845E5">
        <w:rPr>
          <w:sz w:val="22"/>
          <w:szCs w:val="22"/>
        </w:rPr>
        <w:t xml:space="preserve">with a P-value of 0. 0001.Since the P-value is less than 0.05, we reject the null hypothesis and conclude that there is enough evidence to support the null </w:t>
      </w:r>
      <w:r w:rsidR="00B43CDE" w:rsidRPr="005845E5">
        <w:rPr>
          <w:sz w:val="22"/>
          <w:szCs w:val="22"/>
        </w:rPr>
        <w:t>hypothes</w:t>
      </w:r>
      <w:r w:rsidR="00B43CDE">
        <w:rPr>
          <w:sz w:val="22"/>
          <w:szCs w:val="22"/>
        </w:rPr>
        <w:t>is.</w:t>
      </w:r>
      <w:r w:rsidR="00B43CDE" w:rsidRPr="005845E5">
        <w:rPr>
          <w:sz w:val="22"/>
          <w:szCs w:val="22"/>
        </w:rPr>
        <w:t xml:space="preserve"> The</w:t>
      </w:r>
      <w:r w:rsidR="00A25ACF" w:rsidRPr="005845E5">
        <w:rPr>
          <w:sz w:val="22"/>
          <w:szCs w:val="22"/>
        </w:rPr>
        <w:t xml:space="preserve"> experiment is as follows</w:t>
      </w:r>
      <w:r w:rsidR="0080548B">
        <w:rPr>
          <w:sz w:val="22"/>
          <w:szCs w:val="22"/>
        </w:rPr>
        <w:t xml:space="preserve">; </w:t>
      </w:r>
      <w:r w:rsidR="00A25ACF" w:rsidRPr="005845E5">
        <w:rPr>
          <w:sz w:val="22"/>
          <w:szCs w:val="22"/>
        </w:rPr>
        <w:t>H</w:t>
      </w:r>
      <w:r w:rsidR="00A25ACF" w:rsidRPr="005845E5">
        <w:rPr>
          <w:sz w:val="22"/>
          <w:szCs w:val="22"/>
          <w:vertAlign w:val="subscript"/>
        </w:rPr>
        <w:t>0</w:t>
      </w:r>
      <w:r w:rsidR="00A25ACF" w:rsidRPr="005845E5">
        <w:rPr>
          <w:sz w:val="22"/>
          <w:szCs w:val="22"/>
        </w:rPr>
        <w:t xml:space="preserve">: There is no difference </w:t>
      </w:r>
      <w:r w:rsidR="00126FA9" w:rsidRPr="005845E5">
        <w:rPr>
          <w:sz w:val="22"/>
          <w:szCs w:val="22"/>
        </w:rPr>
        <w:t>between the population</w:t>
      </w:r>
      <w:r w:rsidR="00B43CDE">
        <w:rPr>
          <w:sz w:val="22"/>
          <w:szCs w:val="22"/>
        </w:rPr>
        <w:t xml:space="preserve"> groups, </w:t>
      </w:r>
      <w:proofErr w:type="gramStart"/>
      <w:r w:rsidR="00E04FED">
        <w:rPr>
          <w:sz w:val="22"/>
          <w:szCs w:val="22"/>
        </w:rPr>
        <w:t xml:space="preserve">therefore </w:t>
      </w:r>
      <w:r w:rsidR="00A25ACF" w:rsidRPr="005845E5">
        <w:rPr>
          <w:sz w:val="22"/>
          <w:szCs w:val="22"/>
        </w:rPr>
        <w:t xml:space="preserve"> </w:t>
      </w:r>
      <w:r w:rsidR="00F87437" w:rsidRPr="005845E5">
        <w:rPr>
          <w:rFonts w:cs="Lucida Grande"/>
          <w:sz w:val="22"/>
          <w:szCs w:val="22"/>
        </w:rPr>
        <w:t>σ</w:t>
      </w:r>
      <w:proofErr w:type="gramEnd"/>
      <w:r w:rsidR="00F87437" w:rsidRPr="005845E5">
        <w:rPr>
          <w:sz w:val="22"/>
          <w:szCs w:val="22"/>
          <w:vertAlign w:val="subscript"/>
        </w:rPr>
        <w:t>A</w:t>
      </w:r>
      <w:r w:rsidR="00F87437" w:rsidRPr="005845E5">
        <w:rPr>
          <w:sz w:val="22"/>
          <w:szCs w:val="22"/>
          <w:vertAlign w:val="superscript"/>
        </w:rPr>
        <w:t>2</w:t>
      </w:r>
      <w:r w:rsidR="00A25ACF" w:rsidRPr="005845E5">
        <w:rPr>
          <w:sz w:val="22"/>
          <w:szCs w:val="22"/>
        </w:rPr>
        <w:t xml:space="preserve"> will equal zero</w:t>
      </w:r>
      <w:r w:rsidR="0080548B">
        <w:rPr>
          <w:sz w:val="22"/>
          <w:szCs w:val="22"/>
        </w:rPr>
        <w:t xml:space="preserve">, </w:t>
      </w:r>
      <w:r w:rsidR="00A25ACF" w:rsidRPr="005845E5">
        <w:rPr>
          <w:sz w:val="22"/>
          <w:szCs w:val="22"/>
        </w:rPr>
        <w:t>H</w:t>
      </w:r>
      <w:r w:rsidR="00A25ACF" w:rsidRPr="005845E5">
        <w:rPr>
          <w:sz w:val="22"/>
          <w:szCs w:val="22"/>
          <w:vertAlign w:val="subscript"/>
        </w:rPr>
        <w:t>A</w:t>
      </w:r>
      <w:r w:rsidR="00A25ACF" w:rsidRPr="005845E5">
        <w:rPr>
          <w:sz w:val="22"/>
          <w:szCs w:val="22"/>
        </w:rPr>
        <w:t xml:space="preserve">: There is a difference </w:t>
      </w:r>
      <w:r w:rsidR="00126FA9" w:rsidRPr="005845E5">
        <w:rPr>
          <w:sz w:val="22"/>
          <w:szCs w:val="22"/>
        </w:rPr>
        <w:t>between the individual population</w:t>
      </w:r>
      <w:r w:rsidR="00B43CDE">
        <w:rPr>
          <w:sz w:val="22"/>
          <w:szCs w:val="22"/>
        </w:rPr>
        <w:t xml:space="preserve"> groups, </w:t>
      </w:r>
      <w:r w:rsidR="00E04FED">
        <w:rPr>
          <w:sz w:val="22"/>
          <w:szCs w:val="22"/>
        </w:rPr>
        <w:t xml:space="preserve">therefore </w:t>
      </w:r>
      <w:r w:rsidR="00E04FED" w:rsidRPr="005845E5">
        <w:rPr>
          <w:sz w:val="22"/>
          <w:szCs w:val="22"/>
        </w:rPr>
        <w:t>σ</w:t>
      </w:r>
      <w:r w:rsidR="00F87437" w:rsidRPr="005845E5">
        <w:rPr>
          <w:sz w:val="22"/>
          <w:szCs w:val="22"/>
          <w:vertAlign w:val="subscript"/>
        </w:rPr>
        <w:t>A</w:t>
      </w:r>
      <w:r w:rsidR="00A33E83" w:rsidRPr="005845E5">
        <w:rPr>
          <w:sz w:val="22"/>
          <w:szCs w:val="22"/>
          <w:vertAlign w:val="superscript"/>
        </w:rPr>
        <w:t>2</w:t>
      </w:r>
      <w:r w:rsidR="00A33E83" w:rsidRPr="005845E5">
        <w:rPr>
          <w:sz w:val="22"/>
          <w:szCs w:val="22"/>
        </w:rPr>
        <w:t xml:space="preserve"> </w:t>
      </w:r>
      <w:r w:rsidR="00A33E83">
        <w:rPr>
          <w:sz w:val="22"/>
          <w:szCs w:val="22"/>
        </w:rPr>
        <w:t>do</w:t>
      </w:r>
      <w:r w:rsidR="00A25ACF" w:rsidRPr="005845E5">
        <w:rPr>
          <w:sz w:val="22"/>
          <w:szCs w:val="22"/>
        </w:rPr>
        <w:t xml:space="preserve"> not equal zero. In performing this experiment</w:t>
      </w:r>
      <w:r w:rsidR="00F87437">
        <w:rPr>
          <w:sz w:val="22"/>
          <w:szCs w:val="22"/>
        </w:rPr>
        <w:t xml:space="preserve"> given</w:t>
      </w:r>
      <w:r w:rsidR="00A25ACF" w:rsidRPr="005845E5">
        <w:rPr>
          <w:sz w:val="22"/>
          <w:szCs w:val="22"/>
        </w:rPr>
        <w:t xml:space="preserve">, some assumptions were made. These assumptions include that our </w:t>
      </w:r>
      <w:r w:rsidR="00A25ACF" w:rsidRPr="007E40AD">
        <w:rPr>
          <w:sz w:val="22"/>
          <w:szCs w:val="22"/>
        </w:rPr>
        <w:t>observations are randomly selected and</w:t>
      </w:r>
      <w:r w:rsidR="001459A4">
        <w:rPr>
          <w:sz w:val="22"/>
          <w:szCs w:val="22"/>
        </w:rPr>
        <w:t xml:space="preserve"> are</w:t>
      </w:r>
      <w:r w:rsidR="00A25ACF" w:rsidRPr="007E40AD">
        <w:rPr>
          <w:sz w:val="22"/>
          <w:szCs w:val="22"/>
        </w:rPr>
        <w:t xml:space="preserve"> independent from one another, all of our random variation among individuals (</w:t>
      </w:r>
      <w:r w:rsidR="00E4279E" w:rsidRPr="005845E5">
        <w:rPr>
          <w:rFonts w:cs="Lucida Grande"/>
          <w:sz w:val="22"/>
          <w:szCs w:val="22"/>
        </w:rPr>
        <w:t>σ</w:t>
      </w:r>
      <w:r w:rsidR="00E4279E" w:rsidRPr="005845E5">
        <w:rPr>
          <w:sz w:val="22"/>
          <w:szCs w:val="22"/>
          <w:vertAlign w:val="subscript"/>
        </w:rPr>
        <w:t>A</w:t>
      </w:r>
      <w:r w:rsidR="00E4279E" w:rsidRPr="005845E5">
        <w:rPr>
          <w:sz w:val="22"/>
          <w:szCs w:val="22"/>
          <w:vertAlign w:val="superscript"/>
        </w:rPr>
        <w:t>2</w:t>
      </w:r>
      <w:r w:rsidR="00A25ACF" w:rsidRPr="007E40AD">
        <w:rPr>
          <w:rFonts w:cstheme="minorHAnsi"/>
          <w:sz w:val="22"/>
          <w:szCs w:val="22"/>
        </w:rPr>
        <w:t>) is randomly distributed, and our variance is the same for all</w:t>
      </w:r>
      <w:r w:rsidR="003C6946">
        <w:rPr>
          <w:rFonts w:cstheme="minorHAnsi"/>
          <w:sz w:val="22"/>
          <w:szCs w:val="22"/>
        </w:rPr>
        <w:t xml:space="preserve"> population</w:t>
      </w:r>
      <w:r w:rsidR="00A25ACF" w:rsidRPr="007E40AD">
        <w:rPr>
          <w:rFonts w:cstheme="minorHAnsi"/>
          <w:sz w:val="22"/>
          <w:szCs w:val="22"/>
        </w:rPr>
        <w:t xml:space="preserve"> groups</w:t>
      </w:r>
      <w:r w:rsidR="001459A4">
        <w:rPr>
          <w:rFonts w:cstheme="minorHAnsi"/>
          <w:sz w:val="22"/>
          <w:szCs w:val="22"/>
        </w:rPr>
        <w:t xml:space="preserve"> at all levels.</w:t>
      </w:r>
    </w:p>
    <w:p w14:paraId="2C9B8FCC" w14:textId="77777777" w:rsidR="00A25ACF" w:rsidRDefault="00A25ACF" w:rsidP="00F71623">
      <w:pPr>
        <w:rPr>
          <w:sz w:val="22"/>
          <w:szCs w:val="22"/>
        </w:rPr>
      </w:pPr>
    </w:p>
    <w:p w14:paraId="51752FC4" w14:textId="6DBABE94" w:rsidR="00A25ACF" w:rsidRPr="007E40AD" w:rsidRDefault="00A25ACF" w:rsidP="00A25ACF">
      <w:pPr>
        <w:rPr>
          <w:sz w:val="22"/>
          <w:szCs w:val="22"/>
        </w:rPr>
      </w:pPr>
    </w:p>
    <w:p w14:paraId="17B640CE" w14:textId="7332B953" w:rsidR="0023621A" w:rsidRDefault="0023621A"/>
    <w:p w14:paraId="7BFCA833" w14:textId="77777777" w:rsidR="0023621A" w:rsidRDefault="0023621A">
      <w:r>
        <w:br w:type="page"/>
      </w:r>
    </w:p>
    <w:tbl>
      <w:tblPr>
        <w:tblStyle w:val="TableGrid"/>
        <w:tblpPr w:leftFromText="180" w:rightFromText="180" w:vertAnchor="page" w:horzAnchor="page" w:tblpX="1090" w:tblpY="2165"/>
        <w:tblW w:w="10150" w:type="dxa"/>
        <w:tblLayout w:type="fixed"/>
        <w:tblLook w:val="04A0" w:firstRow="1" w:lastRow="0" w:firstColumn="1" w:lastColumn="0" w:noHBand="0" w:noVBand="1"/>
      </w:tblPr>
      <w:tblGrid>
        <w:gridCol w:w="2037"/>
        <w:gridCol w:w="734"/>
        <w:gridCol w:w="2012"/>
        <w:gridCol w:w="1652"/>
        <w:gridCol w:w="3715"/>
      </w:tblGrid>
      <w:tr w:rsidR="00E4279E" w:rsidRPr="004273A5" w14:paraId="202E8D7C" w14:textId="77777777" w:rsidTr="00E4279E">
        <w:trPr>
          <w:trHeight w:val="650"/>
        </w:trPr>
        <w:tc>
          <w:tcPr>
            <w:tcW w:w="2037" w:type="dxa"/>
          </w:tcPr>
          <w:p w14:paraId="44A5140A" w14:textId="77777777" w:rsidR="00715450" w:rsidRPr="004273A5" w:rsidRDefault="00715450" w:rsidP="00715450">
            <w:r w:rsidRPr="004273A5">
              <w:lastRenderedPageBreak/>
              <w:t>Source</w:t>
            </w:r>
          </w:p>
        </w:tc>
        <w:tc>
          <w:tcPr>
            <w:tcW w:w="734" w:type="dxa"/>
          </w:tcPr>
          <w:p w14:paraId="0BFE9D7A" w14:textId="77777777" w:rsidR="00715450" w:rsidRPr="004273A5" w:rsidRDefault="00715450" w:rsidP="00715450">
            <w:r w:rsidRPr="004273A5">
              <w:t>DF</w:t>
            </w:r>
          </w:p>
        </w:tc>
        <w:tc>
          <w:tcPr>
            <w:tcW w:w="2012" w:type="dxa"/>
          </w:tcPr>
          <w:p w14:paraId="41EBFCA1" w14:textId="77777777" w:rsidR="00715450" w:rsidRPr="004273A5" w:rsidRDefault="00715450" w:rsidP="00715450">
            <w:r w:rsidRPr="004273A5">
              <w:t>Sum of Squares</w:t>
            </w:r>
          </w:p>
        </w:tc>
        <w:tc>
          <w:tcPr>
            <w:tcW w:w="1652" w:type="dxa"/>
          </w:tcPr>
          <w:p w14:paraId="154785E1" w14:textId="77777777" w:rsidR="00715450" w:rsidRPr="004273A5" w:rsidRDefault="00715450" w:rsidP="00715450">
            <w:r w:rsidRPr="004273A5">
              <w:t>Mean Square</w:t>
            </w:r>
          </w:p>
        </w:tc>
        <w:tc>
          <w:tcPr>
            <w:tcW w:w="3715" w:type="dxa"/>
          </w:tcPr>
          <w:p w14:paraId="73E7D6F6" w14:textId="77777777" w:rsidR="00715450" w:rsidRPr="004273A5" w:rsidRDefault="00715450" w:rsidP="00715450">
            <w:r w:rsidRPr="004273A5">
              <w:t>Expected Mean Square</w:t>
            </w:r>
          </w:p>
        </w:tc>
      </w:tr>
      <w:tr w:rsidR="00E4279E" w:rsidRPr="004273A5" w14:paraId="2D134922" w14:textId="77777777" w:rsidTr="00E4279E">
        <w:trPr>
          <w:trHeight w:val="604"/>
        </w:trPr>
        <w:tc>
          <w:tcPr>
            <w:tcW w:w="2037" w:type="dxa"/>
          </w:tcPr>
          <w:p w14:paraId="34F69A1A" w14:textId="77777777" w:rsidR="00715450" w:rsidRPr="004273A5" w:rsidRDefault="00715450" w:rsidP="00715450">
            <w:r w:rsidRPr="004273A5">
              <w:t>Population</w:t>
            </w:r>
          </w:p>
        </w:tc>
        <w:tc>
          <w:tcPr>
            <w:tcW w:w="734" w:type="dxa"/>
          </w:tcPr>
          <w:p w14:paraId="738298EE" w14:textId="77777777" w:rsidR="00715450" w:rsidRPr="004273A5" w:rsidRDefault="00715450" w:rsidP="00715450">
            <w:r w:rsidRPr="004273A5">
              <w:t>4</w:t>
            </w:r>
          </w:p>
        </w:tc>
        <w:tc>
          <w:tcPr>
            <w:tcW w:w="2012" w:type="dxa"/>
          </w:tcPr>
          <w:p w14:paraId="7431D938" w14:textId="77777777" w:rsidR="00715450" w:rsidRPr="004273A5" w:rsidRDefault="00715450" w:rsidP="00715450">
            <w:r w:rsidRPr="004273A5">
              <w:t>4555.4</w:t>
            </w:r>
          </w:p>
        </w:tc>
        <w:tc>
          <w:tcPr>
            <w:tcW w:w="1652" w:type="dxa"/>
          </w:tcPr>
          <w:p w14:paraId="376735CD" w14:textId="77777777" w:rsidR="00715450" w:rsidRPr="004273A5" w:rsidRDefault="00715450" w:rsidP="00715450">
            <w:r w:rsidRPr="004273A5">
              <w:t>1138.85</w:t>
            </w:r>
          </w:p>
        </w:tc>
        <w:tc>
          <w:tcPr>
            <w:tcW w:w="3715" w:type="dxa"/>
          </w:tcPr>
          <w:p w14:paraId="0D87C813" w14:textId="77777777" w:rsidR="00715450" w:rsidRPr="004273A5" w:rsidRDefault="00715450" w:rsidP="00715450">
            <w:proofErr w:type="spellStart"/>
            <w:r w:rsidRPr="004273A5">
              <w:t>Var</w:t>
            </w:r>
            <w:proofErr w:type="spellEnd"/>
            <w:r w:rsidRPr="004273A5">
              <w:t xml:space="preserve">(Error) + 20 </w:t>
            </w:r>
            <w:proofErr w:type="spellStart"/>
            <w:r w:rsidRPr="004273A5">
              <w:t>Var</w:t>
            </w:r>
            <w:proofErr w:type="spellEnd"/>
            <w:r w:rsidRPr="004273A5">
              <w:t>(Population)</w:t>
            </w:r>
          </w:p>
        </w:tc>
      </w:tr>
      <w:tr w:rsidR="00E4279E" w:rsidRPr="004273A5" w14:paraId="5D1AF781" w14:textId="77777777" w:rsidTr="00E4279E">
        <w:trPr>
          <w:trHeight w:val="739"/>
        </w:trPr>
        <w:tc>
          <w:tcPr>
            <w:tcW w:w="2037" w:type="dxa"/>
          </w:tcPr>
          <w:p w14:paraId="57E97B16" w14:textId="77777777" w:rsidR="00715450" w:rsidRPr="004273A5" w:rsidRDefault="00715450" w:rsidP="00715450">
            <w:r w:rsidRPr="004273A5">
              <w:t>Error</w:t>
            </w:r>
          </w:p>
        </w:tc>
        <w:tc>
          <w:tcPr>
            <w:tcW w:w="734" w:type="dxa"/>
          </w:tcPr>
          <w:p w14:paraId="3323DDC0" w14:textId="77777777" w:rsidR="00715450" w:rsidRPr="004273A5" w:rsidRDefault="00715450" w:rsidP="00715450">
            <w:r w:rsidRPr="004273A5">
              <w:t>95</w:t>
            </w:r>
          </w:p>
        </w:tc>
        <w:tc>
          <w:tcPr>
            <w:tcW w:w="2012" w:type="dxa"/>
          </w:tcPr>
          <w:p w14:paraId="01FED1AA" w14:textId="77777777" w:rsidR="00715450" w:rsidRPr="004273A5" w:rsidRDefault="00715450" w:rsidP="00715450">
            <w:r w:rsidRPr="004273A5">
              <w:t>845.6</w:t>
            </w:r>
          </w:p>
        </w:tc>
        <w:tc>
          <w:tcPr>
            <w:tcW w:w="1652" w:type="dxa"/>
          </w:tcPr>
          <w:p w14:paraId="27BE221A" w14:textId="77777777" w:rsidR="00715450" w:rsidRPr="004273A5" w:rsidRDefault="00715450" w:rsidP="00715450">
            <w:r w:rsidRPr="004273A5">
              <w:t>8.995789</w:t>
            </w:r>
          </w:p>
        </w:tc>
        <w:tc>
          <w:tcPr>
            <w:tcW w:w="3715" w:type="dxa"/>
          </w:tcPr>
          <w:p w14:paraId="442F13E4" w14:textId="77777777" w:rsidR="00715450" w:rsidRPr="004273A5" w:rsidRDefault="00715450" w:rsidP="00715450">
            <w:proofErr w:type="spellStart"/>
            <w:r w:rsidRPr="004273A5">
              <w:t>Var</w:t>
            </w:r>
            <w:proofErr w:type="spellEnd"/>
            <w:r w:rsidRPr="004273A5">
              <w:t>(Error)</w:t>
            </w:r>
          </w:p>
        </w:tc>
      </w:tr>
      <w:tr w:rsidR="00E4279E" w:rsidRPr="004273A5" w14:paraId="50E6A44B" w14:textId="77777777" w:rsidTr="00E4279E">
        <w:trPr>
          <w:trHeight w:val="604"/>
        </w:trPr>
        <w:tc>
          <w:tcPr>
            <w:tcW w:w="2037" w:type="dxa"/>
          </w:tcPr>
          <w:p w14:paraId="6E95FC5B" w14:textId="77777777" w:rsidR="00715450" w:rsidRPr="004273A5" w:rsidRDefault="00715450" w:rsidP="00715450">
            <w:r w:rsidRPr="004273A5">
              <w:t>Corrected Total</w:t>
            </w:r>
          </w:p>
        </w:tc>
        <w:tc>
          <w:tcPr>
            <w:tcW w:w="734" w:type="dxa"/>
          </w:tcPr>
          <w:p w14:paraId="0AFF2FDD" w14:textId="77777777" w:rsidR="00715450" w:rsidRPr="004273A5" w:rsidRDefault="00715450" w:rsidP="00715450">
            <w:r w:rsidRPr="004273A5">
              <w:t>99</w:t>
            </w:r>
          </w:p>
        </w:tc>
        <w:tc>
          <w:tcPr>
            <w:tcW w:w="2012" w:type="dxa"/>
          </w:tcPr>
          <w:p w14:paraId="7ADBEE0C" w14:textId="77777777" w:rsidR="00715450" w:rsidRPr="004273A5" w:rsidRDefault="00715450" w:rsidP="00715450">
            <w:r w:rsidRPr="004273A5">
              <w:t>5410</w:t>
            </w:r>
          </w:p>
        </w:tc>
        <w:tc>
          <w:tcPr>
            <w:tcW w:w="1652" w:type="dxa"/>
          </w:tcPr>
          <w:p w14:paraId="62484E79" w14:textId="77777777" w:rsidR="00715450" w:rsidRPr="004273A5" w:rsidRDefault="00715450" w:rsidP="00715450"/>
        </w:tc>
        <w:tc>
          <w:tcPr>
            <w:tcW w:w="3715" w:type="dxa"/>
          </w:tcPr>
          <w:p w14:paraId="0AF76B93" w14:textId="77777777" w:rsidR="00715450" w:rsidRPr="004273A5" w:rsidRDefault="00715450" w:rsidP="00715450"/>
        </w:tc>
      </w:tr>
    </w:tbl>
    <w:p w14:paraId="332024DB" w14:textId="77A4F444" w:rsidR="001C3ED7" w:rsidRPr="004273A5" w:rsidRDefault="00E94E71">
      <w:r w:rsidRPr="004273A5">
        <w:t xml:space="preserve"> </w:t>
      </w:r>
    </w:p>
    <w:p w14:paraId="18463B28" w14:textId="28F94D3B" w:rsidR="00A72C20" w:rsidRPr="002115D6" w:rsidRDefault="00715450" w:rsidP="00A72C2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273A5">
        <w:rPr>
          <w:sz w:val="22"/>
          <w:szCs w:val="22"/>
        </w:rPr>
        <w:t>Table 1.2</w:t>
      </w:r>
      <w:r w:rsidR="00A72C20">
        <w:rPr>
          <w:sz w:val="22"/>
          <w:szCs w:val="22"/>
        </w:rPr>
        <w:t>,</w:t>
      </w:r>
      <w:r w:rsidR="00A72C20" w:rsidRPr="00A72C2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72C20" w:rsidRPr="002115D6">
        <w:rPr>
          <w:rFonts w:ascii="Arial" w:eastAsia="Times New Roman" w:hAnsi="Arial" w:cs="Arial"/>
          <w:color w:val="000000"/>
          <w:sz w:val="20"/>
          <w:szCs w:val="20"/>
        </w:rPr>
        <w:t>Tests of Hypotheses for Random Model Analysis of Variance</w:t>
      </w:r>
    </w:p>
    <w:p w14:paraId="259CD17B" w14:textId="77777777" w:rsidR="001459A4" w:rsidRDefault="001459A4" w:rsidP="001459A4">
      <w:pPr>
        <w:jc w:val="center"/>
        <w:rPr>
          <w:sz w:val="22"/>
          <w:szCs w:val="22"/>
        </w:rPr>
      </w:pPr>
    </w:p>
    <w:p w14:paraId="55D21BEA" w14:textId="7885BC77" w:rsidR="001459A4" w:rsidRDefault="001459A4" w:rsidP="001459A4">
      <w:pPr>
        <w:rPr>
          <w:sz w:val="22"/>
          <w:szCs w:val="22"/>
        </w:rPr>
      </w:pPr>
      <w:r>
        <w:rPr>
          <w:sz w:val="22"/>
          <w:szCs w:val="22"/>
        </w:rPr>
        <w:t>Formula 1.0,</w:t>
      </w:r>
    </w:p>
    <w:p w14:paraId="0C1D299D" w14:textId="43DAF4DD" w:rsidR="001459A4" w:rsidRPr="004273A5" w:rsidRDefault="001459A4" w:rsidP="001459A4">
      <w:pPr>
        <w:rPr>
          <w:sz w:val="22"/>
          <w:szCs w:val="22"/>
        </w:rPr>
      </w:pPr>
      <w:r w:rsidRPr="005F70DE">
        <w:rPr>
          <w:i/>
          <w:sz w:val="22"/>
          <w:szCs w:val="22"/>
        </w:rPr>
        <w:t>S</w:t>
      </w:r>
      <w:r w:rsidRPr="005F70DE">
        <w:rPr>
          <w:i/>
          <w:sz w:val="22"/>
          <w:szCs w:val="22"/>
          <w:vertAlign w:val="subscript"/>
        </w:rPr>
        <w:t>A</w:t>
      </w:r>
      <w:r w:rsidRPr="005F70DE">
        <w:rPr>
          <w:i/>
          <w:sz w:val="22"/>
          <w:szCs w:val="22"/>
          <w:vertAlign w:val="superscript"/>
        </w:rPr>
        <w:t>2</w:t>
      </w:r>
      <w:r w:rsidR="005F70DE">
        <w:rPr>
          <w:sz w:val="22"/>
          <w:szCs w:val="22"/>
        </w:rPr>
        <w:t>=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MST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>-MSE)/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proofErr w:type="gramStart"/>
      <w:r w:rsidRPr="004273A5">
        <w:rPr>
          <w:sz w:val="22"/>
          <w:szCs w:val="22"/>
          <w:vertAlign w:val="subscript"/>
        </w:rPr>
        <w:t xml:space="preserve">j </w:t>
      </w:r>
      <w:r>
        <w:rPr>
          <w:sz w:val="22"/>
          <w:szCs w:val="22"/>
        </w:rPr>
        <w:t xml:space="preserve"> ,</w:t>
      </w:r>
      <w:proofErr w:type="gramEnd"/>
      <w:r w:rsidR="001073C8">
        <w:rPr>
          <w:sz w:val="22"/>
          <w:szCs w:val="22"/>
        </w:rPr>
        <w:t xml:space="preserve"> </w:t>
      </w:r>
      <w:r w:rsidRPr="004273A5">
        <w:rPr>
          <w:sz w:val="22"/>
          <w:szCs w:val="22"/>
        </w:rPr>
        <w:t>where MST</w:t>
      </w:r>
      <w:r w:rsidRPr="004273A5">
        <w:rPr>
          <w:sz w:val="22"/>
          <w:szCs w:val="22"/>
          <w:vertAlign w:val="subscript"/>
        </w:rPr>
        <w:t>R</w:t>
      </w:r>
      <w:r>
        <w:rPr>
          <w:sz w:val="22"/>
          <w:szCs w:val="22"/>
        </w:rPr>
        <w:t xml:space="preserve"> is </w:t>
      </w:r>
      <w:r w:rsidRPr="004273A5">
        <w:rPr>
          <w:sz w:val="22"/>
          <w:szCs w:val="22"/>
        </w:rPr>
        <w:t>Mean Square value</w:t>
      </w:r>
      <w:r>
        <w:rPr>
          <w:sz w:val="22"/>
          <w:szCs w:val="22"/>
        </w:rPr>
        <w:t xml:space="preserve"> for the population, MSE is </w:t>
      </w:r>
      <w:r w:rsidRPr="004273A5">
        <w:rPr>
          <w:sz w:val="22"/>
          <w:szCs w:val="22"/>
        </w:rPr>
        <w:t xml:space="preserve">Mean Square Error, and the parameter </w:t>
      </w:r>
      <w:proofErr w:type="spellStart"/>
      <w:r w:rsidRPr="004273A5">
        <w:rPr>
          <w:sz w:val="22"/>
          <w:szCs w:val="22"/>
        </w:rPr>
        <w:t>n</w:t>
      </w:r>
      <w:r w:rsidRPr="004273A5">
        <w:rPr>
          <w:sz w:val="22"/>
          <w:szCs w:val="22"/>
          <w:vertAlign w:val="subscript"/>
        </w:rPr>
        <w:t>j</w:t>
      </w:r>
      <w:proofErr w:type="spellEnd"/>
      <w:r w:rsidRPr="004273A5">
        <w:rPr>
          <w:sz w:val="22"/>
          <w:szCs w:val="22"/>
        </w:rPr>
        <w:t xml:space="preserve"> is our population size in each group</w:t>
      </w:r>
      <w:r>
        <w:rPr>
          <w:sz w:val="22"/>
          <w:szCs w:val="22"/>
        </w:rPr>
        <w:t>.</w:t>
      </w:r>
    </w:p>
    <w:p w14:paraId="477F121C" w14:textId="0C4EE0C6" w:rsidR="001459A4" w:rsidRDefault="001459A4" w:rsidP="00715450">
      <w:pPr>
        <w:rPr>
          <w:sz w:val="22"/>
          <w:szCs w:val="22"/>
        </w:rPr>
      </w:pPr>
      <w:r>
        <w:rPr>
          <w:sz w:val="22"/>
          <w:szCs w:val="22"/>
        </w:rPr>
        <w:t>Formula 1.1</w:t>
      </w:r>
    </w:p>
    <w:p w14:paraId="70E6A645" w14:textId="33D83968" w:rsidR="001459A4" w:rsidRDefault="00096503" w:rsidP="0071545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/(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1073C8">
        <w:rPr>
          <w:rFonts w:eastAsiaTheme="minorEastAsia"/>
          <w:sz w:val="22"/>
          <w:szCs w:val="22"/>
        </w:rPr>
        <w:t xml:space="preserve">), 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1073C8">
        <w:rPr>
          <w:rFonts w:eastAsiaTheme="minorEastAsia"/>
          <w:sz w:val="22"/>
          <w:szCs w:val="22"/>
        </w:rPr>
        <w:t xml:space="preserve"> is coefficient of interclass correlation,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is variance</m:t>
        </m:r>
      </m:oMath>
    </w:p>
    <w:p w14:paraId="6DA04836" w14:textId="77777777" w:rsidR="00F0685A" w:rsidRDefault="00F0685A" w:rsidP="00715450">
      <w:pPr>
        <w:rPr>
          <w:sz w:val="22"/>
          <w:szCs w:val="22"/>
        </w:rPr>
      </w:pPr>
    </w:p>
    <w:p w14:paraId="71A2E0D1" w14:textId="0646F3A9" w:rsidR="00715450" w:rsidRPr="001459A4" w:rsidRDefault="001459A4" w:rsidP="00715450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sz w:val="22"/>
          <w:szCs w:val="22"/>
        </w:rPr>
        <w:t>Since we derived that</w:t>
      </w:r>
      <w:r w:rsidR="00715450" w:rsidRPr="004273A5">
        <w:rPr>
          <w:sz w:val="22"/>
          <w:szCs w:val="22"/>
        </w:rPr>
        <w:t xml:space="preserve"> F-test is significant, </w:t>
      </w:r>
      <w:r w:rsidR="00A33E83">
        <w:rPr>
          <w:sz w:val="22"/>
          <w:szCs w:val="22"/>
        </w:rPr>
        <w:t xml:space="preserve">we will perform </w:t>
      </w:r>
      <w:r w:rsidR="00715450" w:rsidRPr="004273A5">
        <w:rPr>
          <w:sz w:val="22"/>
          <w:szCs w:val="22"/>
        </w:rPr>
        <w:t>more</w:t>
      </w:r>
      <w:r>
        <w:rPr>
          <w:sz w:val="22"/>
          <w:szCs w:val="22"/>
        </w:rPr>
        <w:t xml:space="preserve"> detailed analysis on our data. However,</w:t>
      </w:r>
      <w:r w:rsidR="00A33E83">
        <w:rPr>
          <w:sz w:val="22"/>
          <w:szCs w:val="22"/>
        </w:rPr>
        <w:t xml:space="preserve"> we do not know the</w:t>
      </w:r>
      <w:r w:rsidR="00715450" w:rsidRPr="004273A5">
        <w:rPr>
          <w:sz w:val="22"/>
          <w:szCs w:val="22"/>
        </w:rPr>
        <w:t xml:space="preserve"> exact population variance</w:t>
      </w:r>
      <w:r w:rsidR="004B454D">
        <w:rPr>
          <w:sz w:val="22"/>
          <w:szCs w:val="22"/>
        </w:rPr>
        <w:t xml:space="preserve"> in this scenario given</w:t>
      </w:r>
      <w:r w:rsidR="00715450" w:rsidRPr="004273A5">
        <w:rPr>
          <w:sz w:val="22"/>
          <w:szCs w:val="22"/>
        </w:rPr>
        <w:t>, we will estimate it us</w:t>
      </w:r>
      <w:r w:rsidR="00F6399B">
        <w:rPr>
          <w:sz w:val="22"/>
          <w:szCs w:val="22"/>
        </w:rPr>
        <w:t>ing our</w:t>
      </w:r>
      <w:r>
        <w:rPr>
          <w:sz w:val="22"/>
          <w:szCs w:val="22"/>
        </w:rPr>
        <w:t xml:space="preserve"> Mean Square Error(MSE)</w:t>
      </w:r>
      <w:r w:rsidR="00F6399B">
        <w:rPr>
          <w:sz w:val="22"/>
          <w:szCs w:val="22"/>
        </w:rPr>
        <w:t xml:space="preserve"> value that is seen from</w:t>
      </w:r>
      <w:r w:rsidR="00715450" w:rsidRPr="004273A5">
        <w:rPr>
          <w:b/>
          <w:sz w:val="22"/>
          <w:szCs w:val="22"/>
        </w:rPr>
        <w:t xml:space="preserve"> Table 1.2. </w:t>
      </w:r>
      <w:r w:rsidR="00715450" w:rsidRPr="004273A5">
        <w:rPr>
          <w:sz w:val="22"/>
          <w:szCs w:val="22"/>
        </w:rPr>
        <w:t xml:space="preserve">So, </w:t>
      </w:r>
      <w:r w:rsidR="00D90379" w:rsidRPr="004273A5">
        <w:rPr>
          <w:sz w:val="22"/>
          <w:szCs w:val="22"/>
        </w:rPr>
        <w:t>to</w:t>
      </w:r>
      <w:r w:rsidR="00715450" w:rsidRPr="004273A5">
        <w:rPr>
          <w:sz w:val="22"/>
          <w:szCs w:val="22"/>
        </w:rPr>
        <w:t xml:space="preserve"> estimate our variance among groups, S</w:t>
      </w:r>
      <w:r w:rsidR="00715450" w:rsidRPr="004273A5">
        <w:rPr>
          <w:sz w:val="22"/>
          <w:szCs w:val="22"/>
          <w:vertAlign w:val="subscript"/>
        </w:rPr>
        <w:t>A</w:t>
      </w:r>
      <w:r w:rsidR="00715450" w:rsidRPr="004273A5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, we will use the </w:t>
      </w:r>
      <w:r w:rsidRPr="001459A4">
        <w:rPr>
          <w:b/>
          <w:sz w:val="22"/>
          <w:szCs w:val="22"/>
        </w:rPr>
        <w:t>F</w:t>
      </w:r>
      <w:r w:rsidR="00715450" w:rsidRPr="001459A4">
        <w:rPr>
          <w:b/>
          <w:sz w:val="22"/>
          <w:szCs w:val="22"/>
        </w:rPr>
        <w:t>ormula</w:t>
      </w:r>
      <w:r w:rsidRPr="001459A4">
        <w:rPr>
          <w:b/>
          <w:sz w:val="22"/>
          <w:szCs w:val="22"/>
        </w:rPr>
        <w:t>1.0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073C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15450" w:rsidRPr="004273A5">
        <w:rPr>
          <w:sz w:val="22"/>
          <w:szCs w:val="22"/>
        </w:rPr>
        <w:t xml:space="preserve">All of these values can be found in </w:t>
      </w:r>
      <w:r w:rsidR="00715450" w:rsidRPr="004273A5">
        <w:rPr>
          <w:b/>
          <w:sz w:val="22"/>
          <w:szCs w:val="22"/>
        </w:rPr>
        <w:t xml:space="preserve">Table </w:t>
      </w:r>
      <w:r w:rsidR="001073C8" w:rsidRPr="004273A5">
        <w:rPr>
          <w:b/>
          <w:sz w:val="22"/>
          <w:szCs w:val="22"/>
        </w:rPr>
        <w:t>1.2</w:t>
      </w:r>
      <w:r w:rsidR="001073C8">
        <w:rPr>
          <w:b/>
          <w:sz w:val="22"/>
          <w:szCs w:val="22"/>
        </w:rPr>
        <w:t xml:space="preserve"> </w:t>
      </w:r>
      <w:r w:rsidR="001073C8" w:rsidRPr="001073C8">
        <w:rPr>
          <w:sz w:val="22"/>
          <w:szCs w:val="22"/>
        </w:rPr>
        <w:t>above</w:t>
      </w:r>
      <w:r w:rsidR="00715450" w:rsidRPr="004273A5">
        <w:rPr>
          <w:b/>
          <w:sz w:val="22"/>
          <w:szCs w:val="22"/>
        </w:rPr>
        <w:t xml:space="preserve">. </w:t>
      </w:r>
      <w:r w:rsidR="00715450" w:rsidRPr="004273A5">
        <w:rPr>
          <w:sz w:val="22"/>
          <w:szCs w:val="22"/>
        </w:rPr>
        <w:t xml:space="preserve">Using this </w:t>
      </w:r>
      <w:r w:rsidR="00715450" w:rsidRPr="001459A4">
        <w:rPr>
          <w:b/>
          <w:sz w:val="22"/>
          <w:szCs w:val="22"/>
        </w:rPr>
        <w:t>formula</w:t>
      </w:r>
      <w:r w:rsidR="00D90379" w:rsidRPr="001459A4">
        <w:rPr>
          <w:b/>
          <w:sz w:val="22"/>
          <w:szCs w:val="22"/>
        </w:rPr>
        <w:t>1.0</w:t>
      </w:r>
      <w:r w:rsidR="00715450" w:rsidRPr="001459A4">
        <w:rPr>
          <w:b/>
          <w:sz w:val="22"/>
          <w:szCs w:val="22"/>
        </w:rPr>
        <w:t>,</w:t>
      </w:r>
      <w:r w:rsidR="00715450" w:rsidRPr="004273A5">
        <w:rPr>
          <w:sz w:val="22"/>
          <w:szCs w:val="22"/>
        </w:rPr>
        <w:t xml:space="preserve"> we obtain an estimation of S</w:t>
      </w:r>
      <w:r w:rsidR="00715450" w:rsidRPr="004273A5">
        <w:rPr>
          <w:sz w:val="22"/>
          <w:szCs w:val="22"/>
          <w:vertAlign w:val="subscript"/>
        </w:rPr>
        <w:t>A</w:t>
      </w:r>
      <w:r w:rsidR="00715450" w:rsidRPr="004273A5">
        <w:rPr>
          <w:sz w:val="22"/>
          <w:szCs w:val="22"/>
          <w:vertAlign w:val="superscript"/>
        </w:rPr>
        <w:t xml:space="preserve">2 </w:t>
      </w:r>
      <w:r w:rsidR="00F71145">
        <w:rPr>
          <w:sz w:val="22"/>
          <w:szCs w:val="22"/>
        </w:rPr>
        <w:t xml:space="preserve"> </w:t>
      </w:r>
      <w:r w:rsidR="001073C8">
        <w:rPr>
          <w:sz w:val="22"/>
          <w:szCs w:val="22"/>
        </w:rPr>
        <w:t xml:space="preserve"> </w:t>
      </w:r>
      <w:r w:rsidR="00715450" w:rsidRPr="004273A5">
        <w:rPr>
          <w:sz w:val="22"/>
          <w:szCs w:val="22"/>
        </w:rPr>
        <w:t>to</w:t>
      </w:r>
      <w:r w:rsidR="00D90379">
        <w:rPr>
          <w:sz w:val="22"/>
          <w:szCs w:val="22"/>
        </w:rPr>
        <w:t xml:space="preserve"> be</w:t>
      </w:r>
      <w:r w:rsidR="00715450" w:rsidRPr="004273A5">
        <w:rPr>
          <w:sz w:val="22"/>
          <w:szCs w:val="22"/>
        </w:rPr>
        <w:t xml:space="preserve"> </w:t>
      </w:r>
      <w:r w:rsidR="001073C8">
        <w:rPr>
          <w:sz w:val="22"/>
          <w:szCs w:val="22"/>
        </w:rPr>
        <w:t>56.492 meaning</w:t>
      </w:r>
      <w:r w:rsidR="00715450" w:rsidRPr="004273A5">
        <w:rPr>
          <w:sz w:val="22"/>
          <w:szCs w:val="22"/>
        </w:rPr>
        <w:t>, the estimation for Total Variation of our population, s</w:t>
      </w:r>
      <w:r w:rsidR="00715450" w:rsidRPr="004273A5">
        <w:rPr>
          <w:sz w:val="22"/>
          <w:szCs w:val="22"/>
          <w:vertAlign w:val="superscript"/>
        </w:rPr>
        <w:t>2</w:t>
      </w:r>
      <w:r w:rsidR="00715450" w:rsidRPr="004273A5">
        <w:rPr>
          <w:sz w:val="22"/>
          <w:szCs w:val="22"/>
        </w:rPr>
        <w:t>+ S</w:t>
      </w:r>
      <w:r w:rsidR="00715450" w:rsidRPr="004273A5">
        <w:rPr>
          <w:sz w:val="22"/>
          <w:szCs w:val="22"/>
          <w:vertAlign w:val="subscript"/>
        </w:rPr>
        <w:t>A</w:t>
      </w:r>
      <w:r w:rsidR="00715450" w:rsidRPr="004273A5">
        <w:rPr>
          <w:sz w:val="22"/>
          <w:szCs w:val="22"/>
          <w:vertAlign w:val="superscript"/>
        </w:rPr>
        <w:t>2</w:t>
      </w:r>
      <w:r w:rsidR="00715450" w:rsidRPr="004273A5">
        <w:rPr>
          <w:sz w:val="22"/>
          <w:szCs w:val="22"/>
        </w:rPr>
        <w:t xml:space="preserve">, is </w:t>
      </w:r>
      <w:r w:rsidR="009B7404">
        <w:rPr>
          <w:sz w:val="22"/>
          <w:szCs w:val="22"/>
        </w:rPr>
        <w:t xml:space="preserve">equal to </w:t>
      </w:r>
      <w:r w:rsidR="001073C8">
        <w:rPr>
          <w:sz w:val="22"/>
          <w:szCs w:val="22"/>
        </w:rPr>
        <w:t>65.488.</w:t>
      </w:r>
    </w:p>
    <w:p w14:paraId="011A36EB" w14:textId="7D34A36E" w:rsidR="00715450" w:rsidRPr="001073C8" w:rsidRDefault="00F71145" w:rsidP="00715450">
      <w:pPr>
        <w:rPr>
          <w:sz w:val="22"/>
          <w:szCs w:val="22"/>
        </w:rPr>
      </w:pPr>
      <w:r>
        <w:rPr>
          <w:sz w:val="22"/>
          <w:szCs w:val="22"/>
        </w:rPr>
        <w:t>Additionally,</w:t>
      </w:r>
      <w:r w:rsidRPr="004273A5">
        <w:rPr>
          <w:sz w:val="22"/>
          <w:szCs w:val="22"/>
        </w:rPr>
        <w:t xml:space="preserve"> </w:t>
      </w:r>
      <w:r w:rsidR="00E83872" w:rsidRPr="004273A5">
        <w:rPr>
          <w:sz w:val="22"/>
          <w:szCs w:val="22"/>
        </w:rPr>
        <w:t>using</w:t>
      </w:r>
      <w:r w:rsidR="00715450" w:rsidRPr="004273A5">
        <w:rPr>
          <w:sz w:val="22"/>
          <w:szCs w:val="22"/>
        </w:rPr>
        <w:t xml:space="preserve"> this value, we can find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715450" w:rsidRPr="004273A5">
        <w:rPr>
          <w:sz w:val="22"/>
          <w:szCs w:val="22"/>
        </w:rPr>
        <w:t xml:space="preserve"> , our coefficient of intraclass correlation</w:t>
      </w:r>
      <w:r w:rsidR="001073C8">
        <w:rPr>
          <w:sz w:val="22"/>
          <w:szCs w:val="22"/>
        </w:rPr>
        <w:t xml:space="preserve"> by using </w:t>
      </w:r>
      <w:r w:rsidR="001073C8" w:rsidRPr="001073C8">
        <w:rPr>
          <w:b/>
          <w:sz w:val="22"/>
          <w:szCs w:val="22"/>
        </w:rPr>
        <w:t>Formula1.1</w:t>
      </w:r>
      <w:r w:rsidR="001073C8">
        <w:rPr>
          <w:rFonts w:cs="Lucida Grande"/>
          <w:sz w:val="22"/>
          <w:szCs w:val="22"/>
        </w:rPr>
        <w:t xml:space="preserve"> to find to obtain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715450" w:rsidRPr="004273A5">
        <w:rPr>
          <w:rFonts w:cs="Lucida Grande"/>
          <w:sz w:val="22"/>
          <w:szCs w:val="22"/>
          <w:vertAlign w:val="subscript"/>
        </w:rPr>
        <w:t>I</w:t>
      </w:r>
      <w:r w:rsidR="00715450" w:rsidRPr="004273A5">
        <w:rPr>
          <w:rFonts w:cs="Lucida Grande"/>
          <w:sz w:val="22"/>
          <w:szCs w:val="22"/>
        </w:rPr>
        <w:t>=</w:t>
      </w:r>
      <w:r w:rsidR="00715450" w:rsidRPr="004273A5">
        <w:rPr>
          <w:rFonts w:cs="Lucida Grande"/>
          <w:b/>
          <w:sz w:val="22"/>
          <w:szCs w:val="22"/>
        </w:rPr>
        <w:t>0.86263559</w:t>
      </w:r>
      <w:r w:rsidR="004273A5" w:rsidRPr="004273A5">
        <w:rPr>
          <w:rFonts w:cs="Lucida Grande"/>
          <w:sz w:val="22"/>
          <w:szCs w:val="22"/>
        </w:rPr>
        <w:t>. This is a</w:t>
      </w:r>
      <w:r w:rsidR="00715450" w:rsidRPr="004273A5">
        <w:rPr>
          <w:rFonts w:cs="Lucida Grande"/>
          <w:sz w:val="22"/>
          <w:szCs w:val="22"/>
        </w:rPr>
        <w:t xml:space="preserve"> large coe</w:t>
      </w:r>
      <w:r w:rsidR="001073C8">
        <w:rPr>
          <w:rFonts w:cs="Lucida Grande"/>
          <w:sz w:val="22"/>
          <w:szCs w:val="22"/>
        </w:rPr>
        <w:t>fficient of correlation, because</w:t>
      </w:r>
      <w:r w:rsidR="001073C8" w:rsidRPr="004273A5">
        <w:rPr>
          <w:rFonts w:cs="Lucida Grande"/>
          <w:sz w:val="22"/>
          <w:szCs w:val="22"/>
        </w:rPr>
        <w:t xml:space="preserve"> as</w:t>
      </w:r>
      <w:r w:rsidR="00715450" w:rsidRPr="004273A5">
        <w:rPr>
          <w:rFonts w:cs="Lucida Grande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1073C8">
        <w:rPr>
          <w:rFonts w:cs="Lucida Grande"/>
          <w:sz w:val="22"/>
          <w:szCs w:val="22"/>
        </w:rPr>
        <w:t>ranges from 0 to 1 as per its assumption and obviously it falls at the upper end of the range close to 1</w:t>
      </w:r>
    </w:p>
    <w:p w14:paraId="0DBB526B" w14:textId="3043A948" w:rsidR="00715450" w:rsidRPr="004273A5" w:rsidRDefault="004273A5">
      <w:r>
        <w:t xml:space="preserve">     </w:t>
      </w:r>
    </w:p>
    <w:tbl>
      <w:tblPr>
        <w:tblStyle w:val="TableGrid"/>
        <w:tblpPr w:leftFromText="180" w:rightFromText="180" w:vertAnchor="text" w:horzAnchor="page" w:tblpX="1450" w:tblpY="698"/>
        <w:tblW w:w="8895" w:type="dxa"/>
        <w:tblLook w:val="04A0" w:firstRow="1" w:lastRow="0" w:firstColumn="1" w:lastColumn="0" w:noHBand="0" w:noVBand="1"/>
      </w:tblPr>
      <w:tblGrid>
        <w:gridCol w:w="2820"/>
        <w:gridCol w:w="1898"/>
        <w:gridCol w:w="1952"/>
        <w:gridCol w:w="2225"/>
      </w:tblGrid>
      <w:tr w:rsidR="00E4279E" w:rsidRPr="004273A5" w14:paraId="1F00DD96" w14:textId="77777777" w:rsidTr="00E4279E">
        <w:trPr>
          <w:trHeight w:val="661"/>
        </w:trPr>
        <w:tc>
          <w:tcPr>
            <w:tcW w:w="2820" w:type="dxa"/>
          </w:tcPr>
          <w:p w14:paraId="6F973253" w14:textId="77777777" w:rsidR="004273A5" w:rsidRPr="004273A5" w:rsidRDefault="004273A5" w:rsidP="004273A5">
            <w:r w:rsidRPr="004273A5">
              <w:t>Variance Component</w:t>
            </w:r>
          </w:p>
        </w:tc>
        <w:tc>
          <w:tcPr>
            <w:tcW w:w="1898" w:type="dxa"/>
          </w:tcPr>
          <w:p w14:paraId="16727BF0" w14:textId="77777777" w:rsidR="004273A5" w:rsidRPr="004273A5" w:rsidRDefault="004273A5" w:rsidP="004273A5">
            <w:r w:rsidRPr="004273A5">
              <w:t>Estimate</w:t>
            </w:r>
          </w:p>
        </w:tc>
        <w:tc>
          <w:tcPr>
            <w:tcW w:w="4177" w:type="dxa"/>
            <w:gridSpan w:val="2"/>
          </w:tcPr>
          <w:p w14:paraId="41095B50" w14:textId="77777777" w:rsidR="004273A5" w:rsidRPr="004273A5" w:rsidRDefault="004273A5" w:rsidP="004273A5">
            <w:r w:rsidRPr="004273A5">
              <w:t>95% Confidence Limits</w:t>
            </w:r>
          </w:p>
        </w:tc>
      </w:tr>
      <w:tr w:rsidR="00E4279E" w:rsidRPr="004273A5" w14:paraId="1C3E4107" w14:textId="77777777" w:rsidTr="00E4279E">
        <w:trPr>
          <w:trHeight w:val="697"/>
        </w:trPr>
        <w:tc>
          <w:tcPr>
            <w:tcW w:w="2820" w:type="dxa"/>
          </w:tcPr>
          <w:p w14:paraId="7F418EF1" w14:textId="77777777" w:rsidR="004273A5" w:rsidRPr="004273A5" w:rsidRDefault="004273A5" w:rsidP="004273A5">
            <w:proofErr w:type="spellStart"/>
            <w:r w:rsidRPr="004273A5">
              <w:t>Var</w:t>
            </w:r>
            <w:proofErr w:type="spellEnd"/>
            <w:r w:rsidRPr="004273A5">
              <w:t>(Population)</w:t>
            </w:r>
          </w:p>
        </w:tc>
        <w:tc>
          <w:tcPr>
            <w:tcW w:w="1898" w:type="dxa"/>
          </w:tcPr>
          <w:p w14:paraId="1115B062" w14:textId="77777777" w:rsidR="004273A5" w:rsidRPr="004273A5" w:rsidRDefault="004273A5" w:rsidP="004273A5">
            <w:r w:rsidRPr="004273A5">
              <w:t>56.49271</w:t>
            </w:r>
          </w:p>
        </w:tc>
        <w:tc>
          <w:tcPr>
            <w:tcW w:w="1952" w:type="dxa"/>
          </w:tcPr>
          <w:p w14:paraId="081C6AC2" w14:textId="77777777" w:rsidR="004273A5" w:rsidRPr="004273A5" w:rsidRDefault="004273A5" w:rsidP="004273A5">
            <w:r w:rsidRPr="004273A5">
              <w:t>19.98285</w:t>
            </w:r>
          </w:p>
        </w:tc>
        <w:tc>
          <w:tcPr>
            <w:tcW w:w="2225" w:type="dxa"/>
          </w:tcPr>
          <w:p w14:paraId="45384F12" w14:textId="77777777" w:rsidR="004273A5" w:rsidRPr="004273A5" w:rsidRDefault="004273A5" w:rsidP="004273A5">
            <w:r w:rsidRPr="004273A5">
              <w:t>469.73233</w:t>
            </w:r>
          </w:p>
        </w:tc>
      </w:tr>
      <w:tr w:rsidR="00E4279E" w:rsidRPr="004273A5" w14:paraId="273F9DC0" w14:textId="77777777" w:rsidTr="00E4279E">
        <w:trPr>
          <w:trHeight w:val="661"/>
        </w:trPr>
        <w:tc>
          <w:tcPr>
            <w:tcW w:w="2820" w:type="dxa"/>
          </w:tcPr>
          <w:p w14:paraId="1B517B11" w14:textId="77777777" w:rsidR="004273A5" w:rsidRPr="004273A5" w:rsidRDefault="004273A5" w:rsidP="004273A5">
            <w:proofErr w:type="spellStart"/>
            <w:r w:rsidRPr="004273A5">
              <w:t>Var</w:t>
            </w:r>
            <w:proofErr w:type="spellEnd"/>
            <w:r w:rsidRPr="004273A5">
              <w:t>(Error)</w:t>
            </w:r>
          </w:p>
        </w:tc>
        <w:tc>
          <w:tcPr>
            <w:tcW w:w="1898" w:type="dxa"/>
          </w:tcPr>
          <w:p w14:paraId="1FEB06A1" w14:textId="77777777" w:rsidR="004273A5" w:rsidRPr="004273A5" w:rsidRDefault="004273A5" w:rsidP="004273A5">
            <w:r w:rsidRPr="004273A5">
              <w:t>8.99579</w:t>
            </w:r>
          </w:p>
        </w:tc>
        <w:tc>
          <w:tcPr>
            <w:tcW w:w="1952" w:type="dxa"/>
          </w:tcPr>
          <w:p w14:paraId="166A24F5" w14:textId="77777777" w:rsidR="004273A5" w:rsidRPr="004273A5" w:rsidRDefault="004273A5" w:rsidP="004273A5">
            <w:r w:rsidRPr="004273A5">
              <w:t>6.89984</w:t>
            </w:r>
          </w:p>
        </w:tc>
        <w:tc>
          <w:tcPr>
            <w:tcW w:w="2225" w:type="dxa"/>
          </w:tcPr>
          <w:p w14:paraId="01189603" w14:textId="77777777" w:rsidR="004273A5" w:rsidRPr="004273A5" w:rsidRDefault="004273A5" w:rsidP="004273A5">
            <w:r w:rsidRPr="004273A5">
              <w:t>12.22169</w:t>
            </w:r>
          </w:p>
        </w:tc>
      </w:tr>
    </w:tbl>
    <w:p w14:paraId="66558AC4" w14:textId="77777777" w:rsidR="00715450" w:rsidRPr="004273A5" w:rsidRDefault="00715450"/>
    <w:p w14:paraId="4E938C1E" w14:textId="6BE00A52" w:rsidR="004273A5" w:rsidRDefault="004273A5" w:rsidP="004273A5">
      <w:r>
        <w:t>Table 1.3,</w:t>
      </w:r>
      <w:r w:rsidR="00A72C20">
        <w:t xml:space="preserve"> Variance components with confidence Intervals</w:t>
      </w:r>
    </w:p>
    <w:p w14:paraId="2D124090" w14:textId="6675DF4F" w:rsidR="004273A5" w:rsidRPr="004273A5" w:rsidRDefault="00A72C20" w:rsidP="004273A5">
      <w:pPr>
        <w:rPr>
          <w:sz w:val="22"/>
          <w:szCs w:val="22"/>
        </w:rPr>
      </w:pPr>
      <w:r>
        <w:rPr>
          <w:b/>
          <w:sz w:val="22"/>
          <w:szCs w:val="22"/>
        </w:rPr>
        <w:t>Table 1.3</w:t>
      </w:r>
      <w:r w:rsidR="004273A5" w:rsidRPr="004273A5">
        <w:rPr>
          <w:b/>
          <w:sz w:val="22"/>
          <w:szCs w:val="22"/>
        </w:rPr>
        <w:t>,</w:t>
      </w:r>
      <w:r w:rsidR="004B454D" w:rsidRPr="004B454D">
        <w:rPr>
          <w:sz w:val="22"/>
          <w:szCs w:val="22"/>
        </w:rPr>
        <w:t xml:space="preserve"> </w:t>
      </w:r>
      <w:r w:rsidR="004B454D" w:rsidRPr="004273A5">
        <w:rPr>
          <w:sz w:val="22"/>
          <w:szCs w:val="22"/>
        </w:rPr>
        <w:t>The confidence</w:t>
      </w:r>
      <w:r w:rsidR="004B454D">
        <w:rPr>
          <w:sz w:val="22"/>
          <w:szCs w:val="22"/>
        </w:rPr>
        <w:t xml:space="preserve"> interval for our data can be found in</w:t>
      </w:r>
      <w:r w:rsidR="004273A5" w:rsidRPr="004273A5">
        <w:rPr>
          <w:b/>
          <w:sz w:val="22"/>
          <w:szCs w:val="22"/>
        </w:rPr>
        <w:t xml:space="preserve"> </w:t>
      </w:r>
      <w:r w:rsidR="004273A5" w:rsidRPr="004273A5">
        <w:rPr>
          <w:sz w:val="22"/>
          <w:szCs w:val="22"/>
        </w:rPr>
        <w:t>which gives us the proportion of the total variance if the respon</w:t>
      </w:r>
      <w:r w:rsidR="009B7404">
        <w:rPr>
          <w:sz w:val="22"/>
          <w:szCs w:val="22"/>
        </w:rPr>
        <w:t>se</w:t>
      </w:r>
      <w:r w:rsidR="001073C8">
        <w:rPr>
          <w:sz w:val="22"/>
          <w:szCs w:val="22"/>
        </w:rPr>
        <w:t xml:space="preserve"> is attributed</w:t>
      </w:r>
      <w:r w:rsidR="009B7404">
        <w:rPr>
          <w:sz w:val="22"/>
          <w:szCs w:val="22"/>
        </w:rPr>
        <w:t xml:space="preserve"> to the population</w:t>
      </w:r>
      <w:r w:rsidR="004273A5" w:rsidRPr="004273A5">
        <w:rPr>
          <w:sz w:val="22"/>
          <w:szCs w:val="22"/>
        </w:rPr>
        <w:t xml:space="preserve"> level. </w:t>
      </w:r>
      <w:r w:rsidR="00FC5EC0">
        <w:rPr>
          <w:sz w:val="22"/>
          <w:szCs w:val="22"/>
        </w:rPr>
        <w:t>Our intervals obtained are</w:t>
      </w:r>
      <w:r w:rsidR="009B7404">
        <w:rPr>
          <w:sz w:val="22"/>
          <w:szCs w:val="22"/>
        </w:rPr>
        <w:t xml:space="preserve"> (19</w:t>
      </w:r>
      <w:r w:rsidR="00FC5EC0">
        <w:rPr>
          <w:sz w:val="22"/>
          <w:szCs w:val="22"/>
        </w:rPr>
        <w:t xml:space="preserve">.98285,469.73233), which is comparatively </w:t>
      </w:r>
      <w:r w:rsidR="001073C8">
        <w:rPr>
          <w:sz w:val="22"/>
          <w:szCs w:val="22"/>
        </w:rPr>
        <w:t>feasible because</w:t>
      </w:r>
      <w:r w:rsidR="004273A5" w:rsidRPr="004273A5">
        <w:rPr>
          <w:sz w:val="22"/>
          <w:szCs w:val="22"/>
        </w:rPr>
        <w:t xml:space="preserve"> we don’t expect to see </w:t>
      </w:r>
      <w:r w:rsidR="009B7404">
        <w:rPr>
          <w:sz w:val="22"/>
          <w:szCs w:val="22"/>
        </w:rPr>
        <w:t>any values below 0</w:t>
      </w:r>
      <w:r w:rsidR="00FC5EC0">
        <w:rPr>
          <w:sz w:val="22"/>
          <w:szCs w:val="22"/>
        </w:rPr>
        <w:t xml:space="preserve"> in our model</w:t>
      </w:r>
      <w:r w:rsidR="004273A5" w:rsidRPr="004273A5">
        <w:rPr>
          <w:sz w:val="22"/>
          <w:szCs w:val="22"/>
        </w:rPr>
        <w:t xml:space="preserve">. </w:t>
      </w:r>
    </w:p>
    <w:p w14:paraId="6BE66F20" w14:textId="77777777" w:rsidR="00715450" w:rsidRPr="004273A5" w:rsidRDefault="00715450"/>
    <w:p w14:paraId="02421CE2" w14:textId="77777777" w:rsidR="00715450" w:rsidRDefault="00715450"/>
    <w:p w14:paraId="0FC94696" w14:textId="77777777" w:rsidR="00DC1C55" w:rsidRDefault="00DC1C55"/>
    <w:p w14:paraId="16E88C5E" w14:textId="28EDDFCC" w:rsidR="00F3527B" w:rsidRDefault="007E51ED">
      <w:r>
        <w:t>Figure 2.</w:t>
      </w:r>
      <w:r w:rsidR="00D2404C">
        <w:t>0,</w:t>
      </w:r>
      <w:r w:rsidR="00B51057">
        <w:t xml:space="preserve"> </w:t>
      </w:r>
      <w:r w:rsidR="00D2404C">
        <w:t xml:space="preserve">Scatter plot </w:t>
      </w:r>
      <w:r w:rsidR="00391CD9">
        <w:t>representation (r</w:t>
      </w:r>
      <w:r w:rsidR="00D2404C">
        <w:t>esidual vs predict</w:t>
      </w:r>
      <w:r w:rsidR="00F91A4C">
        <w:t>ed</w:t>
      </w:r>
      <w:r w:rsidR="00D2404C">
        <w:t>)</w:t>
      </w:r>
    </w:p>
    <w:p w14:paraId="072ADE16" w14:textId="05661CAB" w:rsidR="00992A68" w:rsidRDefault="00992A68"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9667B67" wp14:editId="26D17AD5">
            <wp:extent cx="5083388" cy="3812540"/>
            <wp:effectExtent l="0" t="0" r="0" b="0"/>
            <wp:docPr id="10" name="Picture 10" descr="Plot of res by 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res by p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59" cy="39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9ADE" w14:textId="77777777" w:rsidR="00992A68" w:rsidRDefault="00992A68"/>
    <w:p w14:paraId="2137307A" w14:textId="058D415C" w:rsidR="00992A68" w:rsidRDefault="00633117">
      <w:r>
        <w:t>Figure 2.1</w:t>
      </w:r>
      <w:r w:rsidR="00391CD9">
        <w:t xml:space="preserve">, Scatter plot </w:t>
      </w:r>
      <w:r w:rsidR="00F91A4C">
        <w:t>representation (</w:t>
      </w:r>
      <w:r w:rsidR="00391CD9">
        <w:t>residual vs order)</w:t>
      </w:r>
    </w:p>
    <w:p w14:paraId="0FC7E9B7" w14:textId="04CCF13E" w:rsidR="00F3527B" w:rsidRDefault="00992A68"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54F7BF0" wp14:editId="615EC353">
            <wp:extent cx="5080635" cy="3810475"/>
            <wp:effectExtent l="0" t="0" r="0" b="0"/>
            <wp:docPr id="12" name="Picture 12" descr="Plot of res by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res by or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42" cy="38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27B">
        <w:br w:type="page"/>
      </w:r>
    </w:p>
    <w:p w14:paraId="763F85B1" w14:textId="77777777" w:rsidR="00633117" w:rsidRDefault="00633117"/>
    <w:p w14:paraId="7DF8DE9E" w14:textId="0D357348" w:rsidR="00633117" w:rsidRDefault="00FF770D">
      <w:r>
        <w:t>Figure 2.2</w:t>
      </w:r>
      <w:r w:rsidR="00A72C20">
        <w:t>, N</w:t>
      </w:r>
      <w:r w:rsidR="00F91A4C">
        <w:t>ormality plot for residual</w:t>
      </w:r>
    </w:p>
    <w:p w14:paraId="4F815566" w14:textId="2FB60997" w:rsidR="00633117" w:rsidRDefault="00633117">
      <w:r w:rsidRPr="002115D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59AB008" wp14:editId="5EDC948F">
            <wp:extent cx="6109335" cy="4091940"/>
            <wp:effectExtent l="0" t="0" r="12065" b="0"/>
            <wp:docPr id="14" name="Picture 14" descr="Plots for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s for 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4" cy="41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7E16" w14:textId="77777777" w:rsidR="00633117" w:rsidRDefault="00633117"/>
    <w:tbl>
      <w:tblPr>
        <w:tblStyle w:val="TableGrid"/>
        <w:tblpPr w:leftFromText="180" w:rightFromText="180" w:vertAnchor="text" w:horzAnchor="page" w:tblpX="1450" w:tblpY="414"/>
        <w:tblW w:w="0" w:type="auto"/>
        <w:tblLook w:val="04A0" w:firstRow="1" w:lastRow="0" w:firstColumn="1" w:lastColumn="0" w:noHBand="0" w:noVBand="1"/>
      </w:tblPr>
      <w:tblGrid>
        <w:gridCol w:w="1586"/>
        <w:gridCol w:w="1171"/>
        <w:gridCol w:w="1929"/>
        <w:gridCol w:w="1668"/>
        <w:gridCol w:w="1444"/>
        <w:gridCol w:w="1552"/>
      </w:tblGrid>
      <w:tr w:rsidR="00633117" w:rsidRPr="007E40AD" w14:paraId="1EF4A5A8" w14:textId="77777777" w:rsidTr="00291B2C">
        <w:tc>
          <w:tcPr>
            <w:tcW w:w="1586" w:type="dxa"/>
          </w:tcPr>
          <w:p w14:paraId="3CA14A2C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7E40AD">
              <w:rPr>
                <w:sz w:val="22"/>
                <w:szCs w:val="22"/>
              </w:rPr>
              <w:t>Source</w:t>
            </w:r>
          </w:p>
        </w:tc>
        <w:tc>
          <w:tcPr>
            <w:tcW w:w="1171" w:type="dxa"/>
          </w:tcPr>
          <w:p w14:paraId="12A76117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7E40AD">
              <w:rPr>
                <w:sz w:val="22"/>
                <w:szCs w:val="22"/>
              </w:rPr>
              <w:t>DF</w:t>
            </w:r>
          </w:p>
        </w:tc>
        <w:tc>
          <w:tcPr>
            <w:tcW w:w="1929" w:type="dxa"/>
          </w:tcPr>
          <w:p w14:paraId="3A44606F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7E40AD">
              <w:rPr>
                <w:sz w:val="22"/>
                <w:szCs w:val="22"/>
              </w:rPr>
              <w:t>Sum of Squares</w:t>
            </w:r>
          </w:p>
        </w:tc>
        <w:tc>
          <w:tcPr>
            <w:tcW w:w="1668" w:type="dxa"/>
          </w:tcPr>
          <w:p w14:paraId="6C345B30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7E40AD">
              <w:rPr>
                <w:sz w:val="22"/>
                <w:szCs w:val="22"/>
              </w:rPr>
              <w:t xml:space="preserve"> Mean Square</w:t>
            </w:r>
          </w:p>
        </w:tc>
        <w:tc>
          <w:tcPr>
            <w:tcW w:w="1444" w:type="dxa"/>
          </w:tcPr>
          <w:p w14:paraId="2F9B2A9D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7E40AD">
              <w:rPr>
                <w:sz w:val="22"/>
                <w:szCs w:val="22"/>
              </w:rPr>
              <w:t>F Value</w:t>
            </w:r>
          </w:p>
        </w:tc>
        <w:tc>
          <w:tcPr>
            <w:tcW w:w="1552" w:type="dxa"/>
          </w:tcPr>
          <w:p w14:paraId="6EBE8B58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proofErr w:type="spellStart"/>
            <w:r w:rsidRPr="007E40AD">
              <w:rPr>
                <w:sz w:val="22"/>
                <w:szCs w:val="22"/>
              </w:rPr>
              <w:t>Pr</w:t>
            </w:r>
            <w:proofErr w:type="spellEnd"/>
            <w:r w:rsidRPr="007E40AD">
              <w:rPr>
                <w:sz w:val="22"/>
                <w:szCs w:val="22"/>
              </w:rPr>
              <w:t>&gt;F</w:t>
            </w:r>
          </w:p>
        </w:tc>
      </w:tr>
      <w:tr w:rsidR="00633117" w:rsidRPr="007E40AD" w14:paraId="4B4A56C8" w14:textId="77777777" w:rsidTr="00291B2C">
        <w:tc>
          <w:tcPr>
            <w:tcW w:w="1586" w:type="dxa"/>
          </w:tcPr>
          <w:p w14:paraId="2A83ED15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Population</w:t>
            </w:r>
          </w:p>
        </w:tc>
        <w:tc>
          <w:tcPr>
            <w:tcW w:w="1171" w:type="dxa"/>
          </w:tcPr>
          <w:p w14:paraId="222B0A4F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29" w:type="dxa"/>
          </w:tcPr>
          <w:p w14:paraId="68373DB5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9.8000</w:t>
            </w:r>
          </w:p>
        </w:tc>
        <w:tc>
          <w:tcPr>
            <w:tcW w:w="1668" w:type="dxa"/>
          </w:tcPr>
          <w:p w14:paraId="2A472DC2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2.4500</w:t>
            </w:r>
          </w:p>
        </w:tc>
        <w:tc>
          <w:tcPr>
            <w:tcW w:w="1444" w:type="dxa"/>
          </w:tcPr>
          <w:p w14:paraId="07B33FA0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0.72</w:t>
            </w:r>
          </w:p>
        </w:tc>
        <w:tc>
          <w:tcPr>
            <w:tcW w:w="1552" w:type="dxa"/>
          </w:tcPr>
          <w:p w14:paraId="029C8FEE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0.5773</w:t>
            </w:r>
          </w:p>
        </w:tc>
      </w:tr>
      <w:tr w:rsidR="00633117" w:rsidRPr="007E40AD" w14:paraId="1FF9CC64" w14:textId="77777777" w:rsidTr="00291B2C">
        <w:tc>
          <w:tcPr>
            <w:tcW w:w="1586" w:type="dxa"/>
          </w:tcPr>
          <w:p w14:paraId="7DF00EC5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7E40AD">
              <w:rPr>
                <w:sz w:val="22"/>
                <w:szCs w:val="22"/>
              </w:rPr>
              <w:t>Error</w:t>
            </w:r>
          </w:p>
        </w:tc>
        <w:tc>
          <w:tcPr>
            <w:tcW w:w="1171" w:type="dxa"/>
          </w:tcPr>
          <w:p w14:paraId="7D73A3C8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1929" w:type="dxa"/>
          </w:tcPr>
          <w:p w14:paraId="585F388D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321.2</w:t>
            </w:r>
          </w:p>
        </w:tc>
        <w:tc>
          <w:tcPr>
            <w:tcW w:w="1668" w:type="dxa"/>
          </w:tcPr>
          <w:p w14:paraId="58094DAA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3.3811</w:t>
            </w:r>
          </w:p>
        </w:tc>
        <w:tc>
          <w:tcPr>
            <w:tcW w:w="1444" w:type="dxa"/>
          </w:tcPr>
          <w:p w14:paraId="77F567CB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52" w:type="dxa"/>
          </w:tcPr>
          <w:p w14:paraId="1C9BCC50" w14:textId="77777777" w:rsidR="00633117" w:rsidRPr="007E40AD" w:rsidRDefault="00633117" w:rsidP="00291B2C">
            <w:pPr>
              <w:rPr>
                <w:sz w:val="22"/>
                <w:szCs w:val="22"/>
              </w:rPr>
            </w:pPr>
            <w:r w:rsidRPr="002115D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4AC8DDD2" w14:textId="0BFECBA7" w:rsidR="00633117" w:rsidRDefault="001A156B">
      <w:r>
        <w:t>Table 2.0</w:t>
      </w:r>
      <w:r w:rsidR="00A72C20">
        <w:t>,</w:t>
      </w:r>
      <w:r w:rsidR="00A72C20" w:rsidRPr="00A72C20">
        <w:rPr>
          <w:rFonts w:ascii="Times New Roman" w:eastAsia="Times New Roman" w:hAnsi="Times New Roman" w:cs="Times New Roman"/>
          <w:b/>
          <w:bCs/>
        </w:rPr>
        <w:t xml:space="preserve"> </w:t>
      </w:r>
      <w:r w:rsidR="00A72C20" w:rsidRPr="00A72C20">
        <w:rPr>
          <w:rFonts w:ascii="Times New Roman" w:eastAsia="Times New Roman" w:hAnsi="Times New Roman" w:cs="Times New Roman"/>
          <w:bCs/>
        </w:rPr>
        <w:t>Brown and Forsythe's Test for Homogeneity of length Variance</w:t>
      </w:r>
    </w:p>
    <w:p w14:paraId="312C7099" w14:textId="716361BB" w:rsidR="00131DF4" w:rsidRDefault="00633117" w:rsidP="00633117">
      <w:pPr>
        <w:rPr>
          <w:sz w:val="22"/>
          <w:szCs w:val="22"/>
        </w:rPr>
      </w:pPr>
      <w:r w:rsidRPr="007E40AD">
        <w:rPr>
          <w:sz w:val="22"/>
          <w:szCs w:val="22"/>
        </w:rPr>
        <w:t xml:space="preserve">In </w:t>
      </w:r>
      <w:r w:rsidRPr="007E40AD">
        <w:rPr>
          <w:b/>
          <w:sz w:val="22"/>
          <w:szCs w:val="22"/>
        </w:rPr>
        <w:t xml:space="preserve">Figures 2.0 and 2.1, </w:t>
      </w:r>
      <w:r w:rsidRPr="007E40AD">
        <w:rPr>
          <w:sz w:val="22"/>
          <w:szCs w:val="22"/>
        </w:rPr>
        <w:t>we see plots of our residuals</w:t>
      </w:r>
      <w:r w:rsidR="001C2003">
        <w:rPr>
          <w:sz w:val="22"/>
          <w:szCs w:val="22"/>
        </w:rPr>
        <w:t xml:space="preserve"> which show different trends</w:t>
      </w:r>
      <w:r w:rsidRPr="007E40AD">
        <w:rPr>
          <w:sz w:val="22"/>
          <w:szCs w:val="22"/>
        </w:rPr>
        <w:t xml:space="preserve">. Looking just at </w:t>
      </w:r>
      <w:r w:rsidR="00FC7696">
        <w:rPr>
          <w:b/>
          <w:sz w:val="22"/>
          <w:szCs w:val="22"/>
        </w:rPr>
        <w:t>Figure</w:t>
      </w:r>
      <w:r w:rsidR="001C2003">
        <w:rPr>
          <w:b/>
          <w:sz w:val="22"/>
          <w:szCs w:val="22"/>
        </w:rPr>
        <w:t>2.2</w:t>
      </w:r>
      <w:r w:rsidRPr="007E40AD">
        <w:rPr>
          <w:b/>
          <w:sz w:val="22"/>
          <w:szCs w:val="22"/>
        </w:rPr>
        <w:t xml:space="preserve">, </w:t>
      </w:r>
      <w:r w:rsidRPr="007E40AD">
        <w:rPr>
          <w:sz w:val="22"/>
          <w:szCs w:val="22"/>
        </w:rPr>
        <w:t>the histogram shows us a relatively normal distribution, and the dots on th</w:t>
      </w:r>
      <w:r w:rsidR="00E83872">
        <w:rPr>
          <w:sz w:val="22"/>
          <w:szCs w:val="22"/>
        </w:rPr>
        <w:t xml:space="preserve">e lower plot tend to </w:t>
      </w:r>
      <w:r w:rsidR="00FB67C8">
        <w:rPr>
          <w:sz w:val="22"/>
          <w:szCs w:val="22"/>
        </w:rPr>
        <w:t xml:space="preserve">stay </w:t>
      </w:r>
      <w:r w:rsidR="00FB67C8" w:rsidRPr="007E40AD">
        <w:rPr>
          <w:sz w:val="22"/>
          <w:szCs w:val="22"/>
        </w:rPr>
        <w:t>close</w:t>
      </w:r>
      <w:r w:rsidR="00843F02">
        <w:rPr>
          <w:sz w:val="22"/>
          <w:szCs w:val="22"/>
        </w:rPr>
        <w:t xml:space="preserve"> to the solid line. The </w:t>
      </w:r>
      <w:r w:rsidRPr="007E40AD">
        <w:rPr>
          <w:sz w:val="22"/>
          <w:szCs w:val="22"/>
        </w:rPr>
        <w:t>line in</w:t>
      </w:r>
      <w:r w:rsidR="00843F02">
        <w:rPr>
          <w:sz w:val="22"/>
          <w:szCs w:val="22"/>
        </w:rPr>
        <w:t>dicates our data if it were</w:t>
      </w:r>
      <w:r w:rsidRPr="007E40AD">
        <w:rPr>
          <w:sz w:val="22"/>
          <w:szCs w:val="22"/>
        </w:rPr>
        <w:t xml:space="preserve"> normally distributed, and though the dots range a little in their distance from this line, there is not enough disparity to conclude that our data is not normally distributed. Looking at </w:t>
      </w:r>
      <w:r w:rsidRPr="007E40AD">
        <w:rPr>
          <w:b/>
          <w:sz w:val="22"/>
          <w:szCs w:val="22"/>
        </w:rPr>
        <w:t>Figure 2.</w:t>
      </w:r>
      <w:r w:rsidR="001C2003">
        <w:rPr>
          <w:b/>
          <w:sz w:val="22"/>
          <w:szCs w:val="22"/>
        </w:rPr>
        <w:t>0</w:t>
      </w:r>
      <w:r w:rsidRPr="007E40AD">
        <w:rPr>
          <w:sz w:val="22"/>
          <w:szCs w:val="22"/>
        </w:rPr>
        <w:t>, this graph shows us our residuals plotted against predicted values. The dots on this graph seem relatively evenly dispersed in each of the co</w:t>
      </w:r>
      <w:r w:rsidR="00843F02">
        <w:rPr>
          <w:sz w:val="22"/>
          <w:szCs w:val="22"/>
        </w:rPr>
        <w:t>lumns. Their ranges also closely</w:t>
      </w:r>
      <w:r w:rsidRPr="007E40AD">
        <w:rPr>
          <w:sz w:val="22"/>
          <w:szCs w:val="22"/>
        </w:rPr>
        <w:t xml:space="preserve"> show approximately the same </w:t>
      </w:r>
      <w:r w:rsidR="00192F1E" w:rsidRPr="007E40AD">
        <w:rPr>
          <w:sz w:val="22"/>
          <w:szCs w:val="22"/>
        </w:rPr>
        <w:t>spread</w:t>
      </w:r>
      <w:r w:rsidR="00192F1E">
        <w:rPr>
          <w:sz w:val="22"/>
          <w:szCs w:val="22"/>
        </w:rPr>
        <w:t>-out look on the plot</w:t>
      </w:r>
      <w:r w:rsidRPr="007E40AD">
        <w:rPr>
          <w:sz w:val="22"/>
          <w:szCs w:val="22"/>
        </w:rPr>
        <w:t xml:space="preserve">. This tells us that to the best of our knowledge, the variances of our data are </w:t>
      </w:r>
      <w:r w:rsidR="00FB67C8">
        <w:rPr>
          <w:sz w:val="22"/>
          <w:szCs w:val="22"/>
        </w:rPr>
        <w:t xml:space="preserve">homogeneous. Analyzing the </w:t>
      </w:r>
      <w:r w:rsidRPr="007E40AD">
        <w:rPr>
          <w:sz w:val="22"/>
          <w:szCs w:val="22"/>
        </w:rPr>
        <w:t>Brown and Forsythe’s test statistic in</w:t>
      </w:r>
      <w:r w:rsidR="00FC7696">
        <w:rPr>
          <w:sz w:val="22"/>
          <w:szCs w:val="22"/>
        </w:rPr>
        <w:t xml:space="preserve"> </w:t>
      </w:r>
      <w:r w:rsidR="00FC7696">
        <w:rPr>
          <w:b/>
          <w:sz w:val="22"/>
          <w:szCs w:val="22"/>
        </w:rPr>
        <w:t>Table</w:t>
      </w:r>
      <w:r w:rsidR="001C2003">
        <w:rPr>
          <w:b/>
          <w:sz w:val="22"/>
          <w:szCs w:val="22"/>
        </w:rPr>
        <w:t>2</w:t>
      </w:r>
      <w:r w:rsidRPr="007E40AD">
        <w:rPr>
          <w:b/>
          <w:sz w:val="22"/>
          <w:szCs w:val="22"/>
        </w:rPr>
        <w:t xml:space="preserve">.0, </w:t>
      </w:r>
      <w:r w:rsidRPr="007E40AD">
        <w:rPr>
          <w:sz w:val="22"/>
          <w:szCs w:val="22"/>
        </w:rPr>
        <w:t xml:space="preserve">we can </w:t>
      </w:r>
      <w:r w:rsidR="001073C8">
        <w:rPr>
          <w:sz w:val="22"/>
          <w:szCs w:val="22"/>
        </w:rPr>
        <w:t xml:space="preserve">notice </w:t>
      </w:r>
      <w:r w:rsidR="001C2003">
        <w:rPr>
          <w:sz w:val="22"/>
          <w:szCs w:val="22"/>
        </w:rPr>
        <w:t xml:space="preserve">that our </w:t>
      </w:r>
      <w:proofErr w:type="spellStart"/>
      <w:r w:rsidR="001C2003">
        <w:rPr>
          <w:sz w:val="22"/>
          <w:szCs w:val="22"/>
        </w:rPr>
        <w:t>Pr</w:t>
      </w:r>
      <w:proofErr w:type="spellEnd"/>
      <w:r w:rsidR="001C2003">
        <w:rPr>
          <w:sz w:val="22"/>
          <w:szCs w:val="22"/>
        </w:rPr>
        <w:t>&gt;F value is 0.</w:t>
      </w:r>
      <w:r w:rsidR="00935DF3">
        <w:rPr>
          <w:sz w:val="22"/>
          <w:szCs w:val="22"/>
        </w:rPr>
        <w:t>5773</w:t>
      </w:r>
      <w:r w:rsidRPr="007E40AD">
        <w:rPr>
          <w:sz w:val="22"/>
          <w:szCs w:val="22"/>
        </w:rPr>
        <w:t>. Since this value is large</w:t>
      </w:r>
      <w:r w:rsidR="00A33E83">
        <w:rPr>
          <w:sz w:val="22"/>
          <w:szCs w:val="22"/>
        </w:rPr>
        <w:t>r than 0.05</w:t>
      </w:r>
      <w:r w:rsidRPr="007E40AD">
        <w:rPr>
          <w:sz w:val="22"/>
          <w:szCs w:val="22"/>
        </w:rPr>
        <w:t xml:space="preserve"> we would fail to reject our null hyp</w:t>
      </w:r>
      <w:r w:rsidR="00843F02">
        <w:rPr>
          <w:sz w:val="22"/>
          <w:szCs w:val="22"/>
        </w:rPr>
        <w:t xml:space="preserve">othesis of equal variances </w:t>
      </w:r>
      <w:r w:rsidR="00BF1574">
        <w:rPr>
          <w:sz w:val="22"/>
          <w:szCs w:val="22"/>
        </w:rPr>
        <w:t xml:space="preserve">therefore </w:t>
      </w:r>
      <w:r w:rsidR="00BF1574" w:rsidRPr="007E40AD">
        <w:rPr>
          <w:sz w:val="22"/>
          <w:szCs w:val="22"/>
        </w:rPr>
        <w:t>we</w:t>
      </w:r>
      <w:r w:rsidRPr="007E40AD">
        <w:rPr>
          <w:sz w:val="22"/>
          <w:szCs w:val="22"/>
        </w:rPr>
        <w:t xml:space="preserve"> can conclude that our assumptions are met</w:t>
      </w:r>
      <w:r w:rsidR="00A50E95">
        <w:rPr>
          <w:sz w:val="22"/>
          <w:szCs w:val="22"/>
        </w:rPr>
        <w:t xml:space="preserve"> and there is enough evidence to support the claim</w:t>
      </w:r>
      <w:r w:rsidRPr="007E40AD">
        <w:rPr>
          <w:sz w:val="22"/>
          <w:szCs w:val="22"/>
        </w:rPr>
        <w:t xml:space="preserve">. Since our assumptions of ANOVA </w:t>
      </w:r>
      <w:r>
        <w:rPr>
          <w:sz w:val="22"/>
          <w:szCs w:val="22"/>
        </w:rPr>
        <w:t xml:space="preserve">are reasonable </w:t>
      </w:r>
      <w:r w:rsidRPr="007E40AD">
        <w:rPr>
          <w:sz w:val="22"/>
          <w:szCs w:val="22"/>
        </w:rPr>
        <w:t>met by the raw data, there is no need to do a</w:t>
      </w:r>
      <w:r w:rsidR="00FB67C8">
        <w:rPr>
          <w:sz w:val="22"/>
          <w:szCs w:val="22"/>
        </w:rPr>
        <w:t>ny type of</w:t>
      </w:r>
      <w:r w:rsidR="00FC7696">
        <w:rPr>
          <w:sz w:val="22"/>
          <w:szCs w:val="22"/>
        </w:rPr>
        <w:t xml:space="preserve"> transformation on the data given.</w:t>
      </w:r>
    </w:p>
    <w:p w14:paraId="0580957C" w14:textId="7D2A7FC7" w:rsidR="00131DF4" w:rsidRDefault="00131DF4">
      <w:pPr>
        <w:rPr>
          <w:sz w:val="22"/>
          <w:szCs w:val="22"/>
        </w:rPr>
      </w:pPr>
    </w:p>
    <w:sectPr w:rsidR="00131DF4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DE207" w14:textId="77777777" w:rsidR="00096503" w:rsidRDefault="00096503" w:rsidP="007E51ED">
      <w:r>
        <w:separator/>
      </w:r>
    </w:p>
  </w:endnote>
  <w:endnote w:type="continuationSeparator" w:id="0">
    <w:p w14:paraId="40EF1C94" w14:textId="77777777" w:rsidR="00096503" w:rsidRDefault="00096503" w:rsidP="007E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C745D" w14:textId="77777777" w:rsidR="00096503" w:rsidRDefault="00096503" w:rsidP="007E51ED">
      <w:r>
        <w:separator/>
      </w:r>
    </w:p>
  </w:footnote>
  <w:footnote w:type="continuationSeparator" w:id="0">
    <w:p w14:paraId="07B62C7D" w14:textId="77777777" w:rsidR="00096503" w:rsidRDefault="00096503" w:rsidP="007E5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86"/>
    <w:rsid w:val="00012B17"/>
    <w:rsid w:val="00051554"/>
    <w:rsid w:val="00074124"/>
    <w:rsid w:val="000860B1"/>
    <w:rsid w:val="00096503"/>
    <w:rsid w:val="001073C8"/>
    <w:rsid w:val="00121D7B"/>
    <w:rsid w:val="00126FA9"/>
    <w:rsid w:val="00127BCB"/>
    <w:rsid w:val="00131DF4"/>
    <w:rsid w:val="001459A4"/>
    <w:rsid w:val="00181527"/>
    <w:rsid w:val="00192F1E"/>
    <w:rsid w:val="001A156B"/>
    <w:rsid w:val="001A6DB3"/>
    <w:rsid w:val="001C2003"/>
    <w:rsid w:val="001C3ED7"/>
    <w:rsid w:val="0023621A"/>
    <w:rsid w:val="00280FF6"/>
    <w:rsid w:val="00291B2C"/>
    <w:rsid w:val="002C217E"/>
    <w:rsid w:val="002D178C"/>
    <w:rsid w:val="00391CD9"/>
    <w:rsid w:val="003C6946"/>
    <w:rsid w:val="003F4BB6"/>
    <w:rsid w:val="003F60C7"/>
    <w:rsid w:val="00406EA4"/>
    <w:rsid w:val="0041457F"/>
    <w:rsid w:val="004273A5"/>
    <w:rsid w:val="004B454D"/>
    <w:rsid w:val="004D2682"/>
    <w:rsid w:val="00506E3D"/>
    <w:rsid w:val="0050750D"/>
    <w:rsid w:val="005845E5"/>
    <w:rsid w:val="005B53FB"/>
    <w:rsid w:val="005C5F25"/>
    <w:rsid w:val="005F70DE"/>
    <w:rsid w:val="006205C1"/>
    <w:rsid w:val="006217AE"/>
    <w:rsid w:val="00633117"/>
    <w:rsid w:val="00715450"/>
    <w:rsid w:val="00733479"/>
    <w:rsid w:val="007E51ED"/>
    <w:rsid w:val="007F5C14"/>
    <w:rsid w:val="0080548B"/>
    <w:rsid w:val="00821044"/>
    <w:rsid w:val="00843F02"/>
    <w:rsid w:val="00850465"/>
    <w:rsid w:val="008A3B97"/>
    <w:rsid w:val="008D16BE"/>
    <w:rsid w:val="00905082"/>
    <w:rsid w:val="00935DF3"/>
    <w:rsid w:val="00936D9E"/>
    <w:rsid w:val="00960BAD"/>
    <w:rsid w:val="00962999"/>
    <w:rsid w:val="00992A68"/>
    <w:rsid w:val="009B7404"/>
    <w:rsid w:val="009C2A20"/>
    <w:rsid w:val="00A25ACF"/>
    <w:rsid w:val="00A33E83"/>
    <w:rsid w:val="00A45033"/>
    <w:rsid w:val="00A50E95"/>
    <w:rsid w:val="00A72C20"/>
    <w:rsid w:val="00B0462F"/>
    <w:rsid w:val="00B43CDE"/>
    <w:rsid w:val="00B51057"/>
    <w:rsid w:val="00B55357"/>
    <w:rsid w:val="00B94410"/>
    <w:rsid w:val="00BD12B8"/>
    <w:rsid w:val="00BD7E7E"/>
    <w:rsid w:val="00BF1574"/>
    <w:rsid w:val="00C07468"/>
    <w:rsid w:val="00C9677E"/>
    <w:rsid w:val="00CB495B"/>
    <w:rsid w:val="00CF7FAB"/>
    <w:rsid w:val="00D2404C"/>
    <w:rsid w:val="00D517E9"/>
    <w:rsid w:val="00D66119"/>
    <w:rsid w:val="00D90379"/>
    <w:rsid w:val="00DA1F74"/>
    <w:rsid w:val="00DC1C55"/>
    <w:rsid w:val="00DF58DC"/>
    <w:rsid w:val="00E04FED"/>
    <w:rsid w:val="00E26F86"/>
    <w:rsid w:val="00E4279E"/>
    <w:rsid w:val="00E52946"/>
    <w:rsid w:val="00E83872"/>
    <w:rsid w:val="00E94E71"/>
    <w:rsid w:val="00F0685A"/>
    <w:rsid w:val="00F3527B"/>
    <w:rsid w:val="00F5520B"/>
    <w:rsid w:val="00F6399B"/>
    <w:rsid w:val="00F71145"/>
    <w:rsid w:val="00F71623"/>
    <w:rsid w:val="00F87437"/>
    <w:rsid w:val="00F91A4C"/>
    <w:rsid w:val="00FB67C8"/>
    <w:rsid w:val="00FC5EC0"/>
    <w:rsid w:val="00FC7696"/>
    <w:rsid w:val="00FF758D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E2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1ED"/>
  </w:style>
  <w:style w:type="paragraph" w:styleId="Footer">
    <w:name w:val="footer"/>
    <w:basedOn w:val="Normal"/>
    <w:link w:val="FooterChar"/>
    <w:uiPriority w:val="99"/>
    <w:unhideWhenUsed/>
    <w:rsid w:val="007E5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1ED"/>
  </w:style>
  <w:style w:type="character" w:styleId="PlaceholderText">
    <w:name w:val="Placeholder Text"/>
    <w:basedOn w:val="DefaultParagraphFont"/>
    <w:uiPriority w:val="99"/>
    <w:semiHidden/>
    <w:rsid w:val="005F7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752</Words>
  <Characters>4292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Joseph Mensah</cp:lastModifiedBy>
  <cp:revision>89</cp:revision>
  <dcterms:created xsi:type="dcterms:W3CDTF">2018-10-02T02:51:00Z</dcterms:created>
  <dcterms:modified xsi:type="dcterms:W3CDTF">2018-10-04T16:07:00Z</dcterms:modified>
</cp:coreProperties>
</file>