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C5E0" w14:textId="77777777" w:rsidR="00803176" w:rsidRDefault="00803176" w:rsidP="000D43F7">
      <w:pPr>
        <w:jc w:val="center"/>
        <w:rPr>
          <w:sz w:val="28"/>
          <w:szCs w:val="28"/>
        </w:rPr>
      </w:pPr>
      <w:r>
        <w:rPr>
          <w:sz w:val="28"/>
          <w:szCs w:val="28"/>
        </w:rPr>
        <w:t>MAT 443 – HW 9</w:t>
      </w:r>
    </w:p>
    <w:p w14:paraId="113CCAEA" w14:textId="49F351E8" w:rsidR="00803176" w:rsidRDefault="00D609B6" w:rsidP="000D43F7">
      <w:pPr>
        <w:jc w:val="center"/>
        <w:rPr>
          <w:sz w:val="28"/>
          <w:szCs w:val="28"/>
        </w:rPr>
      </w:pPr>
      <w:r w:rsidRPr="00D609B6">
        <w:rPr>
          <w:sz w:val="28"/>
          <w:szCs w:val="28"/>
        </w:rPr>
        <w:t>Eric Agyemang</w:t>
      </w:r>
    </w:p>
    <w:p w14:paraId="644130C0" w14:textId="77777777" w:rsidR="00AB45C5" w:rsidRDefault="00803176" w:rsidP="000D43F7">
      <w:pPr>
        <w:jc w:val="center"/>
        <w:rPr>
          <w:sz w:val="28"/>
          <w:szCs w:val="28"/>
        </w:rPr>
      </w:pPr>
      <w:r>
        <w:rPr>
          <w:sz w:val="28"/>
          <w:szCs w:val="28"/>
        </w:rPr>
        <w:t>Summary Report for Generalized Boosted Models:</w:t>
      </w:r>
    </w:p>
    <w:p w14:paraId="33F8115F" w14:textId="77777777" w:rsidR="00803176" w:rsidRDefault="00803176" w:rsidP="000D43F7">
      <w:pPr>
        <w:jc w:val="center"/>
        <w:rPr>
          <w:sz w:val="28"/>
          <w:szCs w:val="28"/>
        </w:rPr>
      </w:pPr>
      <w:r>
        <w:rPr>
          <w:sz w:val="28"/>
          <w:szCs w:val="28"/>
        </w:rPr>
        <w:t>A guide to the gbm package</w:t>
      </w:r>
    </w:p>
    <w:p w14:paraId="16CD504E" w14:textId="77777777" w:rsidR="00803176" w:rsidRDefault="00803176" w:rsidP="00803176">
      <w:pPr>
        <w:rPr>
          <w:rFonts w:eastAsiaTheme="minorEastAsia"/>
          <w:sz w:val="24"/>
          <w:szCs w:val="24"/>
        </w:rPr>
      </w:pPr>
      <w:r w:rsidRPr="00792630">
        <w:rPr>
          <w:sz w:val="24"/>
          <w:szCs w:val="24"/>
        </w:rPr>
        <w:t xml:space="preserve">Boosting is a class of </w:t>
      </w:r>
      <w:r w:rsidR="00792630" w:rsidRPr="00792630">
        <w:rPr>
          <w:sz w:val="24"/>
          <w:szCs w:val="24"/>
        </w:rPr>
        <w:t>ensemble</w:t>
      </w:r>
      <w:r w:rsidRPr="00792630">
        <w:rPr>
          <w:sz w:val="24"/>
          <w:szCs w:val="24"/>
        </w:rPr>
        <w:t xml:space="preserve"> learning techniques for regression and classification </w:t>
      </w:r>
      <w:r w:rsidR="00792630" w:rsidRPr="00792630">
        <w:rPr>
          <w:sz w:val="24"/>
          <w:szCs w:val="24"/>
        </w:rPr>
        <w:t>problems. Also,</w:t>
      </w:r>
      <w:r w:rsidRPr="00792630">
        <w:rPr>
          <w:sz w:val="24"/>
          <w:szCs w:val="24"/>
        </w:rPr>
        <w:t xml:space="preserve"> undertake several algorithmic task with help of some functions and </w:t>
      </w:r>
      <w:r w:rsidR="00792630" w:rsidRPr="00792630">
        <w:rPr>
          <w:sz w:val="24"/>
          <w:szCs w:val="24"/>
        </w:rPr>
        <w:t>models. There</w:t>
      </w:r>
      <w:r w:rsidRPr="00792630">
        <w:rPr>
          <w:sz w:val="24"/>
          <w:szCs w:val="24"/>
        </w:rPr>
        <w:t xml:space="preserve"> are numerous packages used to build gradient</w:t>
      </w:r>
      <w:r w:rsidR="00792630" w:rsidRPr="00792630">
        <w:rPr>
          <w:sz w:val="24"/>
          <w:szCs w:val="24"/>
        </w:rPr>
        <w:t xml:space="preserve"> boosting in R.gbm package is extremely powerful tool that execute boosting models mainly used the field of </w:t>
      </w:r>
      <w:r w:rsidR="00E00D56" w:rsidRPr="00792630">
        <w:rPr>
          <w:sz w:val="24"/>
          <w:szCs w:val="24"/>
        </w:rPr>
        <w:t>statistics.</w:t>
      </w:r>
      <w:r w:rsidR="00E00D56">
        <w:rPr>
          <w:sz w:val="24"/>
          <w:szCs w:val="24"/>
        </w:rPr>
        <w:t xml:space="preserve"> The idea of gradient boosting originated from several observations that the boosting can be interpreted as an optimization algorithm. The gmb package inherits stochastic gradient boosting strategy but a little </w:t>
      </w:r>
      <w:r w:rsidR="00F83A88">
        <w:rPr>
          <w:sz w:val="24"/>
          <w:szCs w:val="24"/>
        </w:rPr>
        <w:t>change</w:t>
      </w:r>
      <w:r w:rsidR="00E00D56">
        <w:rPr>
          <w:sz w:val="24"/>
          <w:szCs w:val="24"/>
        </w:rPr>
        <w:t xml:space="preserve"> on the basic operation in their </w:t>
      </w:r>
      <w:r w:rsidR="00F83A88">
        <w:rPr>
          <w:sz w:val="24"/>
          <w:szCs w:val="24"/>
        </w:rPr>
        <w:t xml:space="preserve">algorithm. Gradient Boosting Machine was a new work proposed as result of connection between boosting and optimization. The work of Friedman, Hastie and Tibsharirani contributed in building and setting up the foundation of a new age of boosting </w:t>
      </w:r>
      <w:r w:rsidR="00D17821">
        <w:rPr>
          <w:sz w:val="24"/>
          <w:szCs w:val="24"/>
        </w:rPr>
        <w:t xml:space="preserve">Algorithm. These researchers invented Gradient Boosting by invent Adaboost thus the first successful boosting algorithm, formulate Adaboost as gradient descent with a special and finally generalize Adaboost to Gradient Boosting in order to handle a variety of loss </w:t>
      </w:r>
      <w:r w:rsidR="002C372A">
        <w:rPr>
          <w:sz w:val="24"/>
          <w:szCs w:val="24"/>
        </w:rPr>
        <w:t xml:space="preserve">functions. However there numerous way </w:t>
      </w:r>
      <w:r w:rsidR="001D0EAD">
        <w:rPr>
          <w:sz w:val="24"/>
          <w:szCs w:val="24"/>
        </w:rPr>
        <w:t>to improve the basic structure</w:t>
      </w:r>
      <w:r w:rsidR="002C372A">
        <w:rPr>
          <w:sz w:val="24"/>
          <w:szCs w:val="24"/>
        </w:rPr>
        <w:t xml:space="preserve"> of this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argmin</m:t>
            </m:r>
          </m:e>
          <m:sub>
            <m:r>
              <w:rPr>
                <w:rFonts w:ascii="Cambria Math" w:hAnsi="Cambria Math"/>
                <w:sz w:val="24"/>
                <w:szCs w:val="24"/>
              </w:rPr>
              <m:t>r</m:t>
            </m:r>
          </m:sub>
        </m:sSub>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φ(yi,r)</m:t>
            </m:r>
          </m:e>
        </m:nary>
      </m:oMath>
      <w:r w:rsidR="001D0EAD">
        <w:rPr>
          <w:rFonts w:eastAsiaTheme="minorEastAsia"/>
          <w:sz w:val="24"/>
          <w:szCs w:val="24"/>
        </w:rPr>
        <w:t xml:space="preserve"> s to develop the model and make suitable for robust regression with small absolute deviation and loss function.</w:t>
      </w:r>
    </w:p>
    <w:p w14:paraId="5D8E8CD6" w14:textId="77777777" w:rsidR="000D43F7" w:rsidRPr="000D43F7" w:rsidRDefault="001D0EAD" w:rsidP="00803176">
      <w:pPr>
        <w:rPr>
          <w:rFonts w:eastAsiaTheme="minorEastAsia"/>
          <w:sz w:val="24"/>
          <w:szCs w:val="24"/>
        </w:rPr>
      </w:pPr>
      <w:r>
        <w:rPr>
          <w:rFonts w:eastAsiaTheme="minorEastAsia"/>
          <w:sz w:val="24"/>
          <w:szCs w:val="24"/>
        </w:rPr>
        <w:t xml:space="preserve"> The </w:t>
      </w:r>
      <w:r w:rsidR="00AA4A9E">
        <w:rPr>
          <w:rFonts w:eastAsiaTheme="minorEastAsia"/>
          <w:sz w:val="24"/>
          <w:szCs w:val="24"/>
        </w:rPr>
        <w:t>boosting methods can upgraded an</w:t>
      </w:r>
      <w:r>
        <w:rPr>
          <w:rFonts w:eastAsiaTheme="minorEastAsia"/>
          <w:sz w:val="24"/>
          <w:szCs w:val="24"/>
        </w:rPr>
        <w:t xml:space="preserve">d improved by first using control of the learning rate thus </w:t>
      </w:r>
      <w:r w:rsidR="00AA4A9E">
        <w:rPr>
          <w:rFonts w:eastAsiaTheme="minorEastAsia"/>
          <w:sz w:val="24"/>
          <w:szCs w:val="24"/>
        </w:rPr>
        <w:t xml:space="preserve">by decreasing the learning rate to reduce the intensity of the basic framework. Secondly, by reducing the variance factor with the help of subsampling so we can estimate the regression. Again by decomposing the anova this mostly applicable to boosted trees. An extension was developed by </w:t>
      </w:r>
      <w:r w:rsidR="0048026F">
        <w:rPr>
          <w:rFonts w:eastAsiaTheme="minorEastAsia"/>
          <w:sz w:val="24"/>
          <w:szCs w:val="24"/>
        </w:rPr>
        <w:t>Friedman, which</w:t>
      </w:r>
      <w:r w:rsidR="00AA4A9E">
        <w:rPr>
          <w:rFonts w:eastAsiaTheme="minorEastAsia"/>
          <w:sz w:val="24"/>
          <w:szCs w:val="24"/>
        </w:rPr>
        <w:t xml:space="preserve"> is known to be relative </w:t>
      </w:r>
      <w:r w:rsidR="0048026F">
        <w:rPr>
          <w:rFonts w:eastAsiaTheme="minorEastAsia"/>
          <w:sz w:val="24"/>
          <w:szCs w:val="24"/>
        </w:rPr>
        <w:t>influencer, which</w:t>
      </w:r>
      <w:r w:rsidR="00AA4A9E">
        <w:rPr>
          <w:rFonts w:eastAsiaTheme="minorEastAsia"/>
          <w:sz w:val="24"/>
          <w:szCs w:val="24"/>
        </w:rPr>
        <w:t xml:space="preserve"> involves </w:t>
      </w:r>
      <w:r w:rsidR="0048026F">
        <w:rPr>
          <w:rFonts w:eastAsiaTheme="minorEastAsia"/>
          <w:sz w:val="24"/>
          <w:szCs w:val="24"/>
        </w:rPr>
        <w:t>tree-based</w:t>
      </w:r>
      <w:r w:rsidR="00AA4A9E">
        <w:rPr>
          <w:rFonts w:eastAsiaTheme="minorEastAsia"/>
          <w:sz w:val="24"/>
          <w:szCs w:val="24"/>
        </w:rPr>
        <w:t xml:space="preserve"> methods.</w:t>
      </w:r>
      <w:r w:rsidR="0048026F">
        <w:rPr>
          <w:rFonts w:eastAsiaTheme="minorEastAsia"/>
          <w:sz w:val="24"/>
          <w:szCs w:val="24"/>
        </w:rPr>
        <w:t xml:space="preserve"> </w:t>
      </w:r>
      <w:r w:rsidR="00AA4A9E">
        <w:rPr>
          <w:rFonts w:eastAsiaTheme="minorEastAsia"/>
          <w:sz w:val="24"/>
          <w:szCs w:val="24"/>
        </w:rPr>
        <w:t>Most users of gbm may have have the chances to change the several options to fit thei</w:t>
      </w:r>
      <w:r w:rsidR="0048026F">
        <w:rPr>
          <w:rFonts w:eastAsiaTheme="minorEastAsia"/>
          <w:sz w:val="24"/>
          <w:szCs w:val="24"/>
        </w:rPr>
        <w:t xml:space="preserve">r preference pf modelling.Some of these options that can be tuned by user are loss functions, the relationship between shrinkage and number of iterations and finally estimating the optimal number of iterations. Most new users of the gbm package find difficulty with the options of n.trees and shrinkage. It is vital to also know the smaller values of shrinkage always output better prediction and accurate results. Even though gbm provide three ways for estimating, the number of iterations after it has been fit to the model functions like gbm.perf computes the estimate of iterations. This method </w:t>
      </w:r>
      <w:r w:rsidR="000D43F7">
        <w:rPr>
          <w:rFonts w:eastAsiaTheme="minorEastAsia"/>
          <w:sz w:val="24"/>
          <w:szCs w:val="24"/>
        </w:rPr>
        <w:t xml:space="preserve">mentioned </w:t>
      </w:r>
      <w:r w:rsidR="0048026F">
        <w:rPr>
          <w:rFonts w:eastAsiaTheme="minorEastAsia"/>
          <w:sz w:val="24"/>
          <w:szCs w:val="24"/>
        </w:rPr>
        <w:t>is mostly not know</w:t>
      </w:r>
      <w:r w:rsidR="000D43F7">
        <w:rPr>
          <w:rFonts w:eastAsiaTheme="minorEastAsia"/>
          <w:sz w:val="24"/>
          <w:szCs w:val="24"/>
        </w:rPr>
        <w:t>n</w:t>
      </w:r>
      <w:r w:rsidR="0048026F">
        <w:rPr>
          <w:rFonts w:eastAsiaTheme="minorEastAsia"/>
          <w:sz w:val="24"/>
          <w:szCs w:val="24"/>
        </w:rPr>
        <w:t xml:space="preserve"> by new users of gbm.</w:t>
      </w:r>
    </w:p>
    <w:p w14:paraId="40BDD90A" w14:textId="77777777" w:rsidR="00803176" w:rsidRDefault="00803176" w:rsidP="001D0EAD">
      <w:pPr>
        <w:rPr>
          <w:sz w:val="28"/>
          <w:szCs w:val="28"/>
        </w:rPr>
      </w:pPr>
    </w:p>
    <w:p w14:paraId="4E3C32AB" w14:textId="77777777" w:rsidR="00803176" w:rsidRDefault="00997DBC" w:rsidP="00B10888">
      <w:pPr>
        <w:rPr>
          <w:sz w:val="24"/>
          <w:szCs w:val="24"/>
        </w:rPr>
      </w:pPr>
      <w:r>
        <w:rPr>
          <w:sz w:val="24"/>
          <w:szCs w:val="24"/>
        </w:rPr>
        <w:lastRenderedPageBreak/>
        <w:t>For e</w:t>
      </w:r>
      <w:r w:rsidR="00B10888">
        <w:rPr>
          <w:sz w:val="24"/>
          <w:szCs w:val="24"/>
        </w:rPr>
        <w:t xml:space="preserve">ach level of class has several methods for mathematically calculating the </w:t>
      </w:r>
      <w:r>
        <w:rPr>
          <w:sz w:val="24"/>
          <w:szCs w:val="24"/>
        </w:rPr>
        <w:t>deviance, initial</w:t>
      </w:r>
      <w:r w:rsidR="00B10888">
        <w:rPr>
          <w:sz w:val="24"/>
          <w:szCs w:val="24"/>
        </w:rPr>
        <w:t xml:space="preserve"> </w:t>
      </w:r>
      <w:r w:rsidR="002918E6">
        <w:rPr>
          <w:sz w:val="24"/>
          <w:szCs w:val="24"/>
        </w:rPr>
        <w:t>value, gradient, constants</w:t>
      </w:r>
      <w:r>
        <w:rPr>
          <w:sz w:val="24"/>
          <w:szCs w:val="24"/>
        </w:rPr>
        <w:t xml:space="preserve"> for prediction</w:t>
      </w:r>
      <w:r w:rsidR="002918E6">
        <w:rPr>
          <w:sz w:val="24"/>
          <w:szCs w:val="24"/>
        </w:rPr>
        <w:t xml:space="preserve"> and terminal node estimates</w:t>
      </w:r>
      <w:r>
        <w:rPr>
          <w:sz w:val="24"/>
          <w:szCs w:val="24"/>
        </w:rPr>
        <w:t>. The different distributions listed in the table below are offered by gbm.</w:t>
      </w:r>
    </w:p>
    <w:tbl>
      <w:tblPr>
        <w:tblStyle w:val="TableGrid"/>
        <w:tblpPr w:leftFromText="180" w:rightFromText="180" w:vertAnchor="text" w:horzAnchor="margin" w:tblpY="-72"/>
        <w:tblW w:w="9715" w:type="dxa"/>
        <w:tblLook w:val="04A0" w:firstRow="1" w:lastRow="0" w:firstColumn="1" w:lastColumn="0" w:noHBand="0" w:noVBand="1"/>
      </w:tblPr>
      <w:tblGrid>
        <w:gridCol w:w="1504"/>
        <w:gridCol w:w="2834"/>
        <w:gridCol w:w="2501"/>
        <w:gridCol w:w="2876"/>
      </w:tblGrid>
      <w:tr w:rsidR="00C822C0" w14:paraId="1116E3AE" w14:textId="77777777" w:rsidTr="003251AD">
        <w:trPr>
          <w:trHeight w:val="872"/>
        </w:trPr>
        <w:tc>
          <w:tcPr>
            <w:tcW w:w="1504" w:type="dxa"/>
          </w:tcPr>
          <w:p w14:paraId="7670A262" w14:textId="77777777" w:rsidR="00C822C0" w:rsidRPr="00C822C0" w:rsidRDefault="00C822C0" w:rsidP="00C822C0">
            <w:pPr>
              <w:jc w:val="center"/>
              <w:rPr>
                <w:b/>
                <w:sz w:val="24"/>
                <w:szCs w:val="24"/>
              </w:rPr>
            </w:pPr>
            <w:r w:rsidRPr="00C822C0">
              <w:rPr>
                <w:b/>
                <w:sz w:val="24"/>
                <w:szCs w:val="24"/>
              </w:rPr>
              <w:t>Distributions</w:t>
            </w:r>
          </w:p>
        </w:tc>
        <w:tc>
          <w:tcPr>
            <w:tcW w:w="2834" w:type="dxa"/>
          </w:tcPr>
          <w:p w14:paraId="5A1288C1" w14:textId="77777777" w:rsidR="00C822C0" w:rsidRPr="00C822C0" w:rsidRDefault="00C822C0" w:rsidP="00C822C0">
            <w:pPr>
              <w:jc w:val="center"/>
              <w:rPr>
                <w:b/>
                <w:sz w:val="24"/>
                <w:szCs w:val="24"/>
              </w:rPr>
            </w:pPr>
            <w:r w:rsidRPr="00C822C0">
              <w:rPr>
                <w:b/>
                <w:sz w:val="24"/>
                <w:szCs w:val="24"/>
              </w:rPr>
              <w:t>Deviance</w:t>
            </w:r>
          </w:p>
        </w:tc>
        <w:tc>
          <w:tcPr>
            <w:tcW w:w="2501" w:type="dxa"/>
          </w:tcPr>
          <w:p w14:paraId="14153765" w14:textId="77777777" w:rsidR="00C822C0" w:rsidRPr="00C822C0" w:rsidRDefault="00C822C0" w:rsidP="00C822C0">
            <w:pPr>
              <w:jc w:val="center"/>
              <w:rPr>
                <w:b/>
                <w:sz w:val="24"/>
                <w:szCs w:val="24"/>
              </w:rPr>
            </w:pPr>
            <w:r w:rsidRPr="00C822C0">
              <w:rPr>
                <w:b/>
                <w:sz w:val="24"/>
                <w:szCs w:val="24"/>
              </w:rPr>
              <w:t>Initial Value</w:t>
            </w:r>
          </w:p>
        </w:tc>
        <w:tc>
          <w:tcPr>
            <w:tcW w:w="2876" w:type="dxa"/>
          </w:tcPr>
          <w:p w14:paraId="0CFAEB05" w14:textId="77777777" w:rsidR="00C822C0" w:rsidRPr="00C822C0" w:rsidRDefault="00C822C0" w:rsidP="00C822C0">
            <w:pPr>
              <w:jc w:val="center"/>
              <w:rPr>
                <w:b/>
                <w:sz w:val="24"/>
                <w:szCs w:val="24"/>
              </w:rPr>
            </w:pPr>
            <w:r w:rsidRPr="00C822C0">
              <w:rPr>
                <w:b/>
                <w:sz w:val="24"/>
                <w:szCs w:val="24"/>
              </w:rPr>
              <w:t>Gradient</w:t>
            </w:r>
          </w:p>
        </w:tc>
      </w:tr>
      <w:tr w:rsidR="00C822C0" w14:paraId="7A6948B7" w14:textId="77777777" w:rsidTr="003251AD">
        <w:trPr>
          <w:trHeight w:val="872"/>
        </w:trPr>
        <w:tc>
          <w:tcPr>
            <w:tcW w:w="1504" w:type="dxa"/>
          </w:tcPr>
          <w:p w14:paraId="36293AEA" w14:textId="77777777" w:rsidR="00C822C0" w:rsidRPr="00C822C0" w:rsidRDefault="00C822C0" w:rsidP="00C822C0">
            <w:pPr>
              <w:jc w:val="center"/>
              <w:rPr>
                <w:b/>
                <w:sz w:val="24"/>
                <w:szCs w:val="24"/>
              </w:rPr>
            </w:pPr>
            <w:r w:rsidRPr="00C822C0">
              <w:rPr>
                <w:b/>
                <w:sz w:val="24"/>
                <w:szCs w:val="24"/>
              </w:rPr>
              <w:t>Gaussian</w:t>
            </w:r>
          </w:p>
        </w:tc>
        <w:tc>
          <w:tcPr>
            <w:tcW w:w="2834" w:type="dxa"/>
          </w:tcPr>
          <w:p w14:paraId="66C5FF64" w14:textId="5B70E47F" w:rsidR="00C822C0" w:rsidRPr="003100AD" w:rsidRDefault="008B6844" w:rsidP="00A13ADD">
            <w:pPr>
              <w:rPr>
                <w:sz w:val="32"/>
                <w:szCs w:val="24"/>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rPr>
                      <m:t>)^2</m:t>
                    </m:r>
                  </m:e>
                </m:nary>
              </m:oMath>
            </m:oMathPara>
          </w:p>
        </w:tc>
        <w:tc>
          <w:tcPr>
            <w:tcW w:w="2501" w:type="dxa"/>
          </w:tcPr>
          <w:p w14:paraId="54E39E1B" w14:textId="77777777" w:rsidR="004070FC" w:rsidRDefault="004070FC" w:rsidP="004070FC">
            <w:pPr>
              <w:rPr>
                <w:rFonts w:eastAsiaTheme="minorEastAsia"/>
                <w:sz w:val="24"/>
                <w:szCs w:val="24"/>
              </w:rPr>
            </w:pPr>
          </w:p>
          <w:p w14:paraId="3B355889" w14:textId="1DD3B2F7" w:rsidR="00C822C0" w:rsidRDefault="004070FC" w:rsidP="004070FC">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24"/>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-oi)</m:t>
                        </m:r>
                      </m:e>
                    </m:nary>
                  </m:num>
                  <m:den>
                    <m:nary>
                      <m:naryPr>
                        <m:chr m:val="∑"/>
                        <m:limLoc m:val="undOvr"/>
                        <m:subHide m:val="1"/>
                        <m:supHide m:val="1"/>
                        <m:ctrlPr>
                          <w:rPr>
                            <w:rFonts w:ascii="Cambria Math" w:hAnsi="Cambria Math"/>
                            <w:i/>
                            <w:sz w:val="24"/>
                            <w:szCs w:val="24"/>
                          </w:rPr>
                        </m:ctrlPr>
                      </m:naryPr>
                      <m:sub/>
                      <m:sup/>
                      <m:e>
                        <m:r>
                          <w:rPr>
                            <w:rFonts w:ascii="Cambria Math" w:hAnsi="Cambria Math"/>
                            <w:sz w:val="24"/>
                            <w:szCs w:val="24"/>
                          </w:rPr>
                          <m:t>wi</m:t>
                        </m:r>
                      </m:e>
                    </m:nary>
                  </m:den>
                </m:f>
              </m:oMath>
            </m:oMathPara>
          </w:p>
        </w:tc>
        <w:tc>
          <w:tcPr>
            <w:tcW w:w="2876" w:type="dxa"/>
          </w:tcPr>
          <w:p w14:paraId="08925ABC" w14:textId="77777777" w:rsidR="004070FC" w:rsidRPr="004070FC" w:rsidRDefault="004070FC" w:rsidP="004070FC">
            <w:pPr>
              <w:rPr>
                <w:rFonts w:eastAsiaTheme="minorEastAsia"/>
              </w:rPr>
            </w:pPr>
          </w:p>
          <w:p w14:paraId="71AFA567" w14:textId="61E914AC" w:rsidR="00C822C0" w:rsidRPr="004070FC" w:rsidRDefault="004070FC" w:rsidP="004070FC">
            <m:oMathPara>
              <m:oMath>
                <m:r>
                  <w:rPr>
                    <w:rFonts w:ascii="Cambria Math" w:hAnsi="Cambria Math"/>
                  </w:rPr>
                  <m:t>zi=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rPr>
                  <m:t>)</m:t>
                </m:r>
              </m:oMath>
            </m:oMathPara>
          </w:p>
        </w:tc>
      </w:tr>
      <w:tr w:rsidR="00C822C0" w14:paraId="6AD01D40" w14:textId="77777777" w:rsidTr="003251AD">
        <w:trPr>
          <w:trHeight w:val="919"/>
        </w:trPr>
        <w:tc>
          <w:tcPr>
            <w:tcW w:w="1504" w:type="dxa"/>
          </w:tcPr>
          <w:p w14:paraId="34178EB1" w14:textId="77777777" w:rsidR="00C822C0" w:rsidRPr="00C822C0" w:rsidRDefault="00C822C0" w:rsidP="00C822C0">
            <w:pPr>
              <w:jc w:val="center"/>
              <w:rPr>
                <w:b/>
                <w:sz w:val="24"/>
                <w:szCs w:val="24"/>
              </w:rPr>
            </w:pPr>
            <w:r w:rsidRPr="00C822C0">
              <w:rPr>
                <w:b/>
                <w:sz w:val="24"/>
                <w:szCs w:val="24"/>
              </w:rPr>
              <w:t>AdaBoost</w:t>
            </w:r>
          </w:p>
        </w:tc>
        <w:tc>
          <w:tcPr>
            <w:tcW w:w="2834" w:type="dxa"/>
          </w:tcPr>
          <w:p w14:paraId="06C9D9AC" w14:textId="31D1D1F4" w:rsidR="00C822C0" w:rsidRDefault="008B6844" w:rsidP="00A13ADD">
            <w:pPr>
              <w:rPr>
                <w:sz w:val="24"/>
                <w:szCs w:val="24"/>
              </w:rPr>
            </w:pPr>
            <m:oMathPara>
              <m:oMath>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r>
                          <w:rPr>
                            <w:rFonts w:ascii="Cambria Math" w:hAnsi="Cambria Math"/>
                          </w:rPr>
                          <m:t>wi</m:t>
                        </m:r>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rPr>
                      <m:t>)^2</m:t>
                    </m:r>
                  </m:e>
                </m:nary>
              </m:oMath>
            </m:oMathPara>
          </w:p>
        </w:tc>
        <w:tc>
          <w:tcPr>
            <w:tcW w:w="2501" w:type="dxa"/>
          </w:tcPr>
          <w:p w14:paraId="08B045E6" w14:textId="5A88FD53" w:rsidR="00C822C0" w:rsidRDefault="00A92C4F" w:rsidP="00A92C4F">
            <w:pPr>
              <w:rPr>
                <w:sz w:val="24"/>
                <w:szCs w:val="24"/>
              </w:rPr>
            </w:pPr>
            <m:oMathPara>
              <m:oMath>
                <m:r>
                  <w:rPr>
                    <w:rFonts w:ascii="Cambria Math" w:hAnsi="Cambria Math"/>
                    <w:sz w:val="24"/>
                    <w:szCs w:val="24"/>
                  </w:rPr>
                  <m:t>0.5log</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-oi</m:t>
                            </m:r>
                          </m:sup>
                        </m:sSup>
                      </m:e>
                    </m:nary>
                  </m:num>
                  <m:den>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1-yi</m:t>
                            </m:r>
                          </m:e>
                        </m:d>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oi</m:t>
                            </m:r>
                          </m:sup>
                        </m:sSup>
                      </m:e>
                    </m:nary>
                  </m:den>
                </m:f>
              </m:oMath>
            </m:oMathPara>
          </w:p>
        </w:tc>
        <w:tc>
          <w:tcPr>
            <w:tcW w:w="2876" w:type="dxa"/>
          </w:tcPr>
          <w:p w14:paraId="6D7634AF" w14:textId="48EFE94C" w:rsidR="00C822C0" w:rsidRPr="00A92C4F" w:rsidRDefault="00A92C4F" w:rsidP="00A92C4F">
            <m:oMathPara>
              <m:oMath>
                <m:r>
                  <w:rPr>
                    <w:rFonts w:ascii="Cambria Math" w:hAnsi="Cambria Math"/>
                  </w:rPr>
                  <m:t>-</m:t>
                </m:r>
                <m:d>
                  <m:dPr>
                    <m:ctrlPr>
                      <w:rPr>
                        <w:rFonts w:ascii="Cambria Math" w:hAnsi="Cambria Math"/>
                        <w:i/>
                      </w:rPr>
                    </m:ctrlPr>
                  </m:dPr>
                  <m:e>
                    <m:r>
                      <w:rPr>
                        <w:rFonts w:ascii="Cambria Math" w:hAnsi="Cambria Math"/>
                      </w:rPr>
                      <m:t>2y-1</m:t>
                    </m:r>
                  </m:e>
                </m:d>
                <m:r>
                  <m:rPr>
                    <m:sty m:val="p"/>
                  </m:rPr>
                  <w:rPr>
                    <w:rFonts w:ascii="Cambria Math" w:hAnsi="Cambria Math"/>
                  </w:rPr>
                  <m:t>exp⁡</m:t>
                </m:r>
                <m:r>
                  <w:rPr>
                    <w:rFonts w:ascii="Cambria Math" w:hAnsi="Cambria Math"/>
                  </w:rPr>
                  <m:t>(-</m:t>
                </m:r>
                <m:d>
                  <m:dPr>
                    <m:ctrlPr>
                      <w:rPr>
                        <w:rFonts w:ascii="Cambria Math" w:hAnsi="Cambria Math"/>
                        <w:i/>
                      </w:rPr>
                    </m:ctrlPr>
                  </m:dPr>
                  <m:e>
                    <m:r>
                      <w:rPr>
                        <w:rFonts w:ascii="Cambria Math" w:hAnsi="Cambria Math"/>
                      </w:rPr>
                      <m:t>2yi-1</m:t>
                    </m:r>
                  </m:e>
                </m:d>
                <m:r>
                  <w:rPr>
                    <w:rFonts w:ascii="Cambria Math" w:hAnsi="Cambria Math"/>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rPr>
                  <m:t>)</m:t>
                </m:r>
              </m:oMath>
            </m:oMathPara>
          </w:p>
        </w:tc>
      </w:tr>
      <w:tr w:rsidR="00C822C0" w14:paraId="62ADE5D5" w14:textId="77777777" w:rsidTr="003251AD">
        <w:trPr>
          <w:trHeight w:val="872"/>
        </w:trPr>
        <w:tc>
          <w:tcPr>
            <w:tcW w:w="1504" w:type="dxa"/>
          </w:tcPr>
          <w:p w14:paraId="4CFF0DDF" w14:textId="77777777" w:rsidR="00C822C0" w:rsidRPr="00C822C0" w:rsidRDefault="00C822C0" w:rsidP="00C822C0">
            <w:pPr>
              <w:jc w:val="center"/>
              <w:rPr>
                <w:b/>
                <w:sz w:val="24"/>
                <w:szCs w:val="24"/>
              </w:rPr>
            </w:pPr>
            <w:r w:rsidRPr="00C822C0">
              <w:rPr>
                <w:b/>
                <w:sz w:val="24"/>
                <w:szCs w:val="24"/>
              </w:rPr>
              <w:t>Bernoulli</w:t>
            </w:r>
          </w:p>
        </w:tc>
        <w:tc>
          <w:tcPr>
            <w:tcW w:w="2834" w:type="dxa"/>
          </w:tcPr>
          <w:p w14:paraId="6FC3F3F5" w14:textId="010933AC" w:rsidR="00C822C0" w:rsidRDefault="00BC6769" w:rsidP="00BC6769">
            <w:pPr>
              <w:rPr>
                <w:sz w:val="24"/>
                <w:szCs w:val="24"/>
              </w:rPr>
            </w:pPr>
            <m:oMathPara>
              <m:oMath>
                <m:r>
                  <w:rPr>
                    <w:rFonts w:ascii="Cambria Math" w:hAnsi="Cambria Math"/>
                  </w:rPr>
                  <m:t>-2</m:t>
                </m:r>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f(xi)-</m:t>
                    </m:r>
                    <m:r>
                      <m:rPr>
                        <m:sty m:val="p"/>
                      </m:rPr>
                      <w:rPr>
                        <w:rFonts w:ascii="Cambria Math" w:hAnsi="Cambria Math"/>
                      </w:rPr>
                      <m:t>log⁡</m:t>
                    </m:r>
                    <m:r>
                      <w:rPr>
                        <w:rFonts w:ascii="Cambria Math" w:hAnsi="Cambria Math"/>
                      </w:rPr>
                      <m:t>(1+</m:t>
                    </m:r>
                    <m:r>
                      <m:rPr>
                        <m:sty m:val="p"/>
                      </m:rPr>
                      <w:rPr>
                        <w:rFonts w:ascii="Cambria Math" w:hAnsi="Cambria Math"/>
                      </w:rPr>
                      <m:t>exp⁡</m:t>
                    </m:r>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m:t>
                    </m:r>
                  </m:e>
                </m:nary>
              </m:oMath>
            </m:oMathPara>
          </w:p>
        </w:tc>
        <w:tc>
          <w:tcPr>
            <w:tcW w:w="2501" w:type="dxa"/>
          </w:tcPr>
          <w:p w14:paraId="4B72F6F0" w14:textId="34C0B338" w:rsidR="00C822C0" w:rsidRDefault="00045804" w:rsidP="00045804">
            <w:pPr>
              <w:rPr>
                <w:sz w:val="24"/>
                <w:szCs w:val="24"/>
              </w:rPr>
            </w:pPr>
            <m:oMathPara>
              <m:oMath>
                <m:r>
                  <w:rPr>
                    <w:rFonts w:ascii="Cambria Math" w:hAnsi="Cambria Math"/>
                    <w:sz w:val="24"/>
                    <w:szCs w:val="24"/>
                  </w:rPr>
                  <m:t>log</m:t>
                </m:r>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nary>
                  </m:num>
                  <m:den>
                    <m:nary>
                      <m:naryPr>
                        <m:chr m:val="∑"/>
                        <m:limLoc m:val="undOvr"/>
                        <m:subHide m:val="1"/>
                        <m:supHide m:val="1"/>
                        <m:ctrlPr>
                          <w:rPr>
                            <w:rFonts w:ascii="Cambria Math" w:hAnsi="Cambria Math"/>
                            <w:i/>
                            <w:sz w:val="24"/>
                            <w:szCs w:val="24"/>
                          </w:rPr>
                        </m:ctrlPr>
                      </m:naryPr>
                      <m:sub/>
                      <m:sup/>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nary>
                  </m:den>
                </m:f>
              </m:oMath>
            </m:oMathPara>
          </w:p>
        </w:tc>
        <w:tc>
          <w:tcPr>
            <w:tcW w:w="2876" w:type="dxa"/>
          </w:tcPr>
          <w:p w14:paraId="147835A0" w14:textId="06208359" w:rsidR="00C822C0" w:rsidRPr="00201D80" w:rsidRDefault="008B6844" w:rsidP="00201D80">
            <w:pPr>
              <w:rPr>
                <w:sz w:val="24"/>
                <w:szCs w:val="24"/>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4"/>
                        <w:szCs w:val="24"/>
                      </w:rPr>
                      <m:t>)</m:t>
                    </m:r>
                  </m:den>
                </m:f>
              </m:oMath>
            </m:oMathPara>
          </w:p>
        </w:tc>
      </w:tr>
      <w:tr w:rsidR="00C822C0" w14:paraId="238A5D86" w14:textId="77777777" w:rsidTr="003251AD">
        <w:trPr>
          <w:trHeight w:val="872"/>
        </w:trPr>
        <w:tc>
          <w:tcPr>
            <w:tcW w:w="1504" w:type="dxa"/>
          </w:tcPr>
          <w:p w14:paraId="44570AC0" w14:textId="77777777" w:rsidR="00C822C0" w:rsidRPr="00C822C0" w:rsidRDefault="00C822C0" w:rsidP="00C822C0">
            <w:pPr>
              <w:jc w:val="center"/>
              <w:rPr>
                <w:b/>
                <w:sz w:val="24"/>
                <w:szCs w:val="24"/>
              </w:rPr>
            </w:pPr>
            <w:r w:rsidRPr="00C822C0">
              <w:rPr>
                <w:b/>
                <w:sz w:val="24"/>
                <w:szCs w:val="24"/>
              </w:rPr>
              <w:t>Laplace</w:t>
            </w:r>
          </w:p>
        </w:tc>
        <w:tc>
          <w:tcPr>
            <w:tcW w:w="2834" w:type="dxa"/>
          </w:tcPr>
          <w:p w14:paraId="5A443094" w14:textId="561B8DE0" w:rsidR="00C822C0" w:rsidRDefault="008B6844" w:rsidP="00BC6769">
            <w:pPr>
              <w:rPr>
                <w:sz w:val="24"/>
                <w:szCs w:val="24"/>
              </w:rPr>
            </w:pPr>
            <m:oMathPara>
              <m:oMath>
                <m:f>
                  <m:fPr>
                    <m:ctrlPr>
                      <w:rPr>
                        <w:rFonts w:ascii="Cambria Math" w:hAnsi="Cambria Math"/>
                        <w:i/>
                      </w:rPr>
                    </m:ctrlPr>
                  </m:fPr>
                  <m:num>
                    <m:r>
                      <w:rPr>
                        <w:rFonts w:ascii="Cambria Math" w:hAnsi="Cambria Math"/>
                      </w:rPr>
                      <m:t>1</m:t>
                    </m:r>
                  </m:num>
                  <m:den>
                    <m:nary>
                      <m:naryPr>
                        <m:chr m:val="∑"/>
                        <m:limLoc m:val="undOvr"/>
                        <m:subHide m:val="1"/>
                        <m:supHide m:val="1"/>
                        <m:ctrlPr>
                          <w:rPr>
                            <w:rFonts w:ascii="Cambria Math" w:hAnsi="Cambria Math"/>
                            <w:i/>
                          </w:rPr>
                        </m:ctrlPr>
                      </m:naryPr>
                      <m:sub/>
                      <m:sup/>
                      <m:e>
                        <m:r>
                          <w:rPr>
                            <w:rFonts w:ascii="Cambria Math" w:hAnsi="Cambria Math"/>
                          </w:rPr>
                          <m:t>wi</m:t>
                        </m:r>
                      </m:e>
                    </m:nary>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xi</m:t>
                        </m:r>
                      </m:e>
                    </m:d>
                    <m:r>
                      <w:rPr>
                        <w:rFonts w:ascii="Cambria Math" w:hAnsi="Cambria Math"/>
                      </w:rPr>
                      <m:t>|</m:t>
                    </m:r>
                  </m:e>
                </m:nary>
              </m:oMath>
            </m:oMathPara>
          </w:p>
        </w:tc>
        <w:tc>
          <w:tcPr>
            <w:tcW w:w="2501" w:type="dxa"/>
          </w:tcPr>
          <w:p w14:paraId="05088CE3" w14:textId="77777777" w:rsidR="00C822C0" w:rsidRPr="00D00051" w:rsidRDefault="00D00051" w:rsidP="00D00051">
            <w:pPr>
              <w:rPr>
                <w:sz w:val="24"/>
                <w:szCs w:val="24"/>
              </w:rPr>
            </w:pPr>
            <m:oMathPara>
              <m:oMath>
                <m:r>
                  <w:rPr>
                    <w:rFonts w:ascii="Cambria Math" w:hAnsi="Cambria Math"/>
                    <w:sz w:val="24"/>
                    <w:szCs w:val="24"/>
                  </w:rPr>
                  <m:t>median(y)</m:t>
                </m:r>
              </m:oMath>
            </m:oMathPara>
          </w:p>
        </w:tc>
        <w:tc>
          <w:tcPr>
            <w:tcW w:w="2876" w:type="dxa"/>
          </w:tcPr>
          <w:p w14:paraId="3411A241" w14:textId="6477EC1E" w:rsidR="00C822C0" w:rsidRPr="00CF5541" w:rsidRDefault="00CF5541" w:rsidP="00CF5541">
            <w:pPr>
              <w:rPr>
                <w:sz w:val="24"/>
                <w:szCs w:val="24"/>
              </w:rPr>
            </w:pPr>
            <m:oMathPara>
              <m:oMath>
                <m:r>
                  <w:rPr>
                    <w:rFonts w:ascii="Cambria Math" w:hAnsi="Cambria Math"/>
                    <w:sz w:val="24"/>
                    <w:szCs w:val="24"/>
                  </w:rPr>
                  <m:t>sign(</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m:oMathPara>
          </w:p>
        </w:tc>
      </w:tr>
      <w:tr w:rsidR="00C822C0" w14:paraId="4D049A60" w14:textId="77777777" w:rsidTr="00E23953">
        <w:trPr>
          <w:trHeight w:val="2095"/>
        </w:trPr>
        <w:tc>
          <w:tcPr>
            <w:tcW w:w="1504" w:type="dxa"/>
          </w:tcPr>
          <w:p w14:paraId="0E32A337" w14:textId="77777777" w:rsidR="00C822C0" w:rsidRPr="00C822C0" w:rsidRDefault="00C822C0" w:rsidP="00C822C0">
            <w:pPr>
              <w:jc w:val="center"/>
              <w:rPr>
                <w:b/>
                <w:sz w:val="24"/>
                <w:szCs w:val="24"/>
              </w:rPr>
            </w:pPr>
            <w:r w:rsidRPr="00C822C0">
              <w:rPr>
                <w:b/>
                <w:sz w:val="24"/>
                <w:szCs w:val="24"/>
              </w:rPr>
              <w:t>Quantile regression</w:t>
            </w:r>
          </w:p>
          <w:p w14:paraId="47AC3E09" w14:textId="77777777" w:rsidR="00C822C0" w:rsidRPr="00C822C0" w:rsidRDefault="00C822C0" w:rsidP="00C822C0">
            <w:pPr>
              <w:tabs>
                <w:tab w:val="left" w:pos="960"/>
              </w:tabs>
              <w:jc w:val="center"/>
              <w:rPr>
                <w:b/>
                <w:sz w:val="24"/>
                <w:szCs w:val="24"/>
              </w:rPr>
            </w:pPr>
          </w:p>
        </w:tc>
        <w:tc>
          <w:tcPr>
            <w:tcW w:w="2834" w:type="dxa"/>
          </w:tcPr>
          <w:p w14:paraId="35D4BCEE" w14:textId="5EE81CED" w:rsidR="00C822C0" w:rsidRPr="00E23953" w:rsidRDefault="008B6844" w:rsidP="00E85E95">
            <w:pPr>
              <w:rPr>
                <w:sz w:val="20"/>
                <w:szCs w:val="20"/>
              </w:rPr>
            </w:pPr>
            <m:oMathPara>
              <m:oMath>
                <m:f>
                  <m:fPr>
                    <m:ctrlPr>
                      <w:rPr>
                        <w:rFonts w:ascii="Cambria Math" w:hAnsi="Cambria Math"/>
                        <w:i/>
                        <w:sz w:val="20"/>
                        <w:szCs w:val="20"/>
                      </w:rPr>
                    </m:ctrlPr>
                  </m:fPr>
                  <m:num>
                    <m:r>
                      <w:rPr>
                        <w:rFonts w:ascii="Cambria Math" w:hAnsi="Cambria Math"/>
                        <w:sz w:val="20"/>
                        <w:szCs w:val="20"/>
                      </w:rPr>
                      <m:t>1</m:t>
                    </m:r>
                  </m:num>
                  <m:den>
                    <m:nary>
                      <m:naryPr>
                        <m:chr m:val="∑"/>
                        <m:limLoc m:val="undOvr"/>
                        <m:subHide m:val="1"/>
                        <m:supHide m:val="1"/>
                        <m:ctrlPr>
                          <w:rPr>
                            <w:rFonts w:ascii="Cambria Math" w:hAnsi="Cambria Math"/>
                            <w:i/>
                            <w:sz w:val="20"/>
                            <w:szCs w:val="20"/>
                          </w:rPr>
                        </m:ctrlPr>
                      </m:naryPr>
                      <m:sub/>
                      <m:sup/>
                      <m:e>
                        <m:r>
                          <w:rPr>
                            <w:rFonts w:ascii="Cambria Math" w:hAnsi="Cambria Math"/>
                            <w:sz w:val="20"/>
                            <w:szCs w:val="20"/>
                          </w:rPr>
                          <m:t>wi</m:t>
                        </m:r>
                      </m:e>
                    </m:nary>
                  </m:den>
                </m:f>
                <m:r>
                  <w:rPr>
                    <w:rFonts w:ascii="Cambria Math" w:hAnsi="Cambria Math"/>
                    <w:sz w:val="20"/>
                    <w:szCs w:val="20"/>
                  </w:rPr>
                  <m:t>(</m:t>
                </m:r>
                <m:r>
                  <w:rPr>
                    <w:rFonts w:ascii="Cambria Math" w:hAnsi="Cambria Math"/>
                    <w:i/>
                    <w:sz w:val="20"/>
                    <w:szCs w:val="20"/>
                  </w:rPr>
                  <w:sym w:font="Symbol" w:char="F061"/>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20"/>
                        <w:szCs w:val="20"/>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0"/>
                        <w:szCs w:val="20"/>
                      </w:rPr>
                      <m:t>-f</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sz w:val="20"/>
                        <w:szCs w:val="20"/>
                      </w:rPr>
                      <m:t>+(1-</m:t>
                    </m:r>
                  </m:e>
                </m:nary>
                <m:r>
                  <w:rPr>
                    <w:rFonts w:ascii="Cambria Math" w:hAnsi="Cambria Math"/>
                    <w:i/>
                    <w:sz w:val="20"/>
                    <w:szCs w:val="20"/>
                  </w:rPr>
                  <w:sym w:font="Symbol" w:char="F061"/>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wi(yi-f</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r>
                      <w:rPr>
                        <w:rFonts w:ascii="Cambria Math" w:hAnsi="Cambria Math"/>
                        <w:sz w:val="20"/>
                        <w:szCs w:val="20"/>
                      </w:rPr>
                      <m:t>))+(1-</m:t>
                    </m:r>
                  </m:e>
                </m:nary>
                <m:r>
                  <w:rPr>
                    <w:rFonts w:ascii="Cambria Math" w:hAnsi="Cambria Math"/>
                    <w:sz w:val="20"/>
                    <w:szCs w:val="20"/>
                  </w:rPr>
                  <m:t>yi)</m:t>
                </m:r>
              </m:oMath>
            </m:oMathPara>
          </w:p>
        </w:tc>
        <w:tc>
          <w:tcPr>
            <w:tcW w:w="2501" w:type="dxa"/>
          </w:tcPr>
          <w:p w14:paraId="3D60D240" w14:textId="77777777" w:rsidR="00C822C0" w:rsidRDefault="008B6844" w:rsidP="00A13ADD">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quantile</m:t>
                    </m:r>
                  </m:e>
                  <m:sub>
                    <m:r>
                      <w:rPr>
                        <w:rFonts w:ascii="Cambria Math" w:hAnsi="Cambria Math"/>
                        <w:sz w:val="24"/>
                        <w:szCs w:val="24"/>
                      </w:rPr>
                      <m:t>w</m:t>
                    </m:r>
                  </m:sub>
                  <m:sup>
                    <m:r>
                      <w:rPr>
                        <w:rFonts w:ascii="Cambria Math" w:hAnsi="Cambria Math"/>
                        <w:sz w:val="24"/>
                        <w:szCs w:val="24"/>
                      </w:rPr>
                      <m:t>α</m:t>
                    </m:r>
                  </m:sup>
                </m:sSubSup>
                <m:r>
                  <w:rPr>
                    <w:rFonts w:ascii="Cambria Math" w:hAnsi="Cambria Math"/>
                    <w:sz w:val="24"/>
                    <w:szCs w:val="24"/>
                  </w:rPr>
                  <m:t>(z)</m:t>
                </m:r>
              </m:oMath>
            </m:oMathPara>
          </w:p>
        </w:tc>
        <w:tc>
          <w:tcPr>
            <w:tcW w:w="2876" w:type="dxa"/>
          </w:tcPr>
          <w:p w14:paraId="466EA848" w14:textId="564D63EB" w:rsidR="003251AD" w:rsidRPr="003251AD" w:rsidRDefault="00E85E95" w:rsidP="00A13ADD">
            <w:pPr>
              <w:rPr>
                <w:rFonts w:eastAsiaTheme="minorEastAsia"/>
                <w:sz w:val="20"/>
                <w:szCs w:val="20"/>
              </w:rPr>
            </w:pPr>
            <m:oMathPara>
              <m:oMath>
                <m:r>
                  <w:rPr>
                    <w:rFonts w:ascii="Cambria Math" w:hAnsi="Cambria Math"/>
                    <w:i/>
                    <w:sz w:val="20"/>
                    <w:szCs w:val="20"/>
                  </w:rPr>
                  <w:sym w:font="Symbol" w:char="F061"/>
                </m:r>
                <m:r>
                  <w:rPr>
                    <w:rFonts w:ascii="Cambria Math" w:hAnsi="Cambria Math"/>
                    <w:sz w:val="20"/>
                    <w:szCs w:val="20"/>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0"/>
                    <w:szCs w:val="20"/>
                  </w:rPr>
                  <m:t>&gt;f(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oMath>
            </m:oMathPara>
          </w:p>
          <w:p w14:paraId="1E3AB37E" w14:textId="72406267" w:rsidR="00C822C0" w:rsidRPr="003251AD" w:rsidRDefault="008B6844" w:rsidP="00A13ADD">
            <w:pPr>
              <w:rPr>
                <w:sz w:val="18"/>
                <w:szCs w:val="18"/>
              </w:rPr>
            </w:pPr>
            <m:oMathPara>
              <m:oMath>
                <m:d>
                  <m:dPr>
                    <m:ctrlPr>
                      <w:rPr>
                        <w:rFonts w:ascii="Cambria Math" w:hAnsi="Cambria Math"/>
                        <w:i/>
                        <w:sz w:val="20"/>
                        <w:szCs w:val="20"/>
                      </w:rPr>
                    </m:ctrlPr>
                  </m:dPr>
                  <m:e>
                    <m:r>
                      <w:rPr>
                        <w:rFonts w:ascii="Cambria Math" w:hAnsi="Cambria Math"/>
                        <w:sz w:val="20"/>
                        <w:szCs w:val="20"/>
                      </w:rPr>
                      <m:t>1-</m:t>
                    </m:r>
                    <m:r>
                      <w:rPr>
                        <w:rFonts w:ascii="Cambria Math" w:hAnsi="Cambria Math"/>
                        <w:i/>
                        <w:sz w:val="20"/>
                        <w:szCs w:val="20"/>
                      </w:rPr>
                      <w:sym w:font="Symbol" w:char="F061"/>
                    </m:r>
                  </m:e>
                </m:d>
                <m:r>
                  <w:rPr>
                    <w:rFonts w:ascii="Cambria Math" w:hAnsi="Cambria Math"/>
                    <w:sz w:val="20"/>
                    <w:szCs w:val="20"/>
                  </w:rPr>
                  <m:t>I(</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oMath>
            </m:oMathPara>
          </w:p>
        </w:tc>
      </w:tr>
      <w:tr w:rsidR="00C822C0" w14:paraId="6EE31397" w14:textId="77777777" w:rsidTr="003251AD">
        <w:trPr>
          <w:trHeight w:val="872"/>
        </w:trPr>
        <w:tc>
          <w:tcPr>
            <w:tcW w:w="1504" w:type="dxa"/>
          </w:tcPr>
          <w:p w14:paraId="44A33828" w14:textId="77777777" w:rsidR="00C822C0" w:rsidRPr="00C822C0" w:rsidRDefault="00C822C0" w:rsidP="00C822C0">
            <w:pPr>
              <w:jc w:val="center"/>
              <w:rPr>
                <w:b/>
                <w:sz w:val="24"/>
                <w:szCs w:val="24"/>
              </w:rPr>
            </w:pPr>
            <w:r w:rsidRPr="00C822C0">
              <w:rPr>
                <w:b/>
                <w:sz w:val="24"/>
                <w:szCs w:val="24"/>
              </w:rPr>
              <w:t>Cox proportional hazard</w:t>
            </w:r>
          </w:p>
        </w:tc>
        <w:tc>
          <w:tcPr>
            <w:tcW w:w="2834" w:type="dxa"/>
          </w:tcPr>
          <w:p w14:paraId="44AE23DB" w14:textId="43C755B2" w:rsidR="00C822C0" w:rsidRPr="006A323C" w:rsidRDefault="006A323C" w:rsidP="006A323C">
            <w:pPr>
              <w:rPr>
                <w:sz w:val="18"/>
                <w:szCs w:val="18"/>
              </w:rPr>
            </w:pPr>
            <m:oMathPara>
              <m:oMath>
                <m:r>
                  <w:rPr>
                    <w:rFonts w:ascii="Cambria Math" w:hAnsi="Cambria Math"/>
                    <w:sz w:val="18"/>
                    <w:szCs w:val="18"/>
                  </w:rPr>
                  <m:t>-2</m:t>
                </m:r>
                <m:nary>
                  <m:naryPr>
                    <m:chr m:val="∑"/>
                    <m:limLoc m:val="undOvr"/>
                    <m:subHide m:val="1"/>
                    <m:supHide m:val="1"/>
                    <m:ctrlPr>
                      <w:rPr>
                        <w:rFonts w:ascii="Cambria Math" w:hAnsi="Cambria Math"/>
                        <w:i/>
                        <w:sz w:val="18"/>
                        <w:szCs w:val="18"/>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e>
                </m:nary>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m:t>
                    </m:r>
                  </m:sub>
                </m:sSub>
                <m:r>
                  <w:rPr>
                    <w:rFonts w:ascii="Cambria Math" w:hAnsi="Cambria Math"/>
                    <w:sz w:val="18"/>
                    <w:szCs w:val="18"/>
                  </w:rPr>
                  <m:t>(f(</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r>
                  <m:rPr>
                    <m:sty m:val="p"/>
                  </m:rPr>
                  <w:rPr>
                    <w:rFonts w:ascii="Cambria Math" w:hAnsi="Cambria Math"/>
                    <w:sz w:val="18"/>
                    <w:szCs w:val="18"/>
                  </w:rPr>
                  <m:t>log⁡(</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oMath>
            </m:oMathPara>
          </w:p>
        </w:tc>
        <w:tc>
          <w:tcPr>
            <w:tcW w:w="2501" w:type="dxa"/>
          </w:tcPr>
          <w:p w14:paraId="67A273C7" w14:textId="77777777" w:rsidR="00C822C0" w:rsidRPr="002918E6" w:rsidRDefault="002918E6" w:rsidP="002918E6">
            <w:pPr>
              <w:rPr>
                <w:sz w:val="24"/>
                <w:szCs w:val="24"/>
              </w:rPr>
            </w:pPr>
            <m:oMathPara>
              <m:oMath>
                <m:r>
                  <w:rPr>
                    <w:rFonts w:ascii="Cambria Math" w:hAnsi="Cambria Math"/>
                    <w:sz w:val="24"/>
                    <w:szCs w:val="24"/>
                  </w:rPr>
                  <m:t>0</m:t>
                </m:r>
              </m:oMath>
            </m:oMathPara>
          </w:p>
        </w:tc>
        <w:tc>
          <w:tcPr>
            <w:tcW w:w="2876" w:type="dxa"/>
          </w:tcPr>
          <w:p w14:paraId="5E4096B9" w14:textId="72A55323" w:rsidR="00C822C0" w:rsidRDefault="008B6844" w:rsidP="00463310">
            <w:pPr>
              <w:rPr>
                <w:sz w:val="24"/>
                <w:szCs w:val="24"/>
              </w:rPr>
            </w:pPr>
            <m:oMathPara>
              <m:oMath>
                <m:box>
                  <m:boxPr>
                    <m:ctrlPr>
                      <w:rPr>
                        <w:rFonts w:ascii="Cambria Math" w:hAnsi="Cambria Math"/>
                        <w:i/>
                        <w:sz w:val="24"/>
                        <w:szCs w:val="24"/>
                      </w:rPr>
                    </m:ctrlPr>
                  </m:boxPr>
                  <m:e>
                    <m:argPr>
                      <m:argSz m:val="-1"/>
                    </m:argP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e>
                    </m:nary>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jI(</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t>
                                </m:r>
                                <m:r>
                                  <w:rPr>
                                    <w:rFonts w:ascii="Cambria Math" w:hAnsi="Cambria Math"/>
                                    <w:sz w:val="20"/>
                                    <w:szCs w:val="20"/>
                                  </w:rPr>
                                  <m:t>xi</m:t>
                                </m:r>
                                <m:r>
                                  <w:rPr>
                                    <w:rFonts w:ascii="Cambria Math" w:hAnsi="Cambria Math"/>
                                    <w:sz w:val="24"/>
                                    <w:szCs w:val="24"/>
                                  </w:rPr>
                                  <m:t>)</m:t>
                                </m:r>
                              </m:sup>
                            </m:sSup>
                          </m:sub>
                        </m:sSub>
                      </m:num>
                      <m:den>
                        <m:nary>
                          <m:naryPr>
                            <m:chr m:val="∑"/>
                            <m:limLoc m:val="undOvr"/>
                            <m:subHide m:val="1"/>
                            <m:supHide m:val="1"/>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r>
                              <w:rPr>
                                <w:rFonts w:ascii="Cambria Math" w:hAnsi="Cambria Math"/>
                                <w:sz w:val="24"/>
                                <w:szCs w:val="24"/>
                              </w:rPr>
                              <m:t>I</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f(</m:t>
                            </m:r>
                            <m:r>
                              <w:rPr>
                                <w:rFonts w:ascii="Cambria Math" w:hAnsi="Cambria Math"/>
                                <w:sz w:val="20"/>
                                <w:szCs w:val="20"/>
                              </w:rPr>
                              <m:t>xi</m:t>
                            </m:r>
                            <m:r>
                              <w:rPr>
                                <w:rFonts w:ascii="Cambria Math" w:hAnsi="Cambria Math"/>
                                <w:sz w:val="24"/>
                                <w:szCs w:val="24"/>
                              </w:rPr>
                              <m:t>)</m:t>
                            </m:r>
                          </m:sup>
                        </m:sSup>
                      </m:den>
                    </m:f>
                  </m:e>
                </m:box>
              </m:oMath>
            </m:oMathPara>
          </w:p>
        </w:tc>
      </w:tr>
      <w:tr w:rsidR="00C822C0" w14:paraId="05D47003" w14:textId="77777777" w:rsidTr="003251AD">
        <w:trPr>
          <w:trHeight w:val="872"/>
        </w:trPr>
        <w:tc>
          <w:tcPr>
            <w:tcW w:w="1504" w:type="dxa"/>
          </w:tcPr>
          <w:p w14:paraId="187386A3" w14:textId="77777777" w:rsidR="00C822C0" w:rsidRPr="00C822C0" w:rsidRDefault="00C822C0" w:rsidP="00C822C0">
            <w:pPr>
              <w:jc w:val="center"/>
              <w:rPr>
                <w:b/>
                <w:sz w:val="24"/>
                <w:szCs w:val="24"/>
              </w:rPr>
            </w:pPr>
            <w:r w:rsidRPr="00C822C0">
              <w:rPr>
                <w:b/>
                <w:sz w:val="24"/>
                <w:szCs w:val="24"/>
              </w:rPr>
              <w:t>Poisson</w:t>
            </w:r>
          </w:p>
        </w:tc>
        <w:tc>
          <w:tcPr>
            <w:tcW w:w="2834" w:type="dxa"/>
          </w:tcPr>
          <w:p w14:paraId="2300DB95" w14:textId="073EB17F" w:rsidR="00C822C0" w:rsidRPr="00A92C4F" w:rsidRDefault="00A92C4F" w:rsidP="00A92C4F">
            <m:oMathPara>
              <m:oMath>
                <m:r>
                  <w:rPr>
                    <w:rFonts w:ascii="Cambria Math" w:hAnsi="Cambria Math"/>
                    <w:sz w:val="20"/>
                    <w:szCs w:val="20"/>
                  </w:rPr>
                  <m:t>-2*1/</m:t>
                </m:r>
                <m:nary>
                  <m:naryPr>
                    <m:chr m:val="∑"/>
                    <m:limLoc m:val="undOvr"/>
                    <m:subHide m:val="1"/>
                    <m:supHide m:val="1"/>
                    <m:ctrlPr>
                      <w:rPr>
                        <w:rFonts w:ascii="Cambria Math" w:hAnsi="Cambria Math"/>
                        <w:i/>
                        <w:sz w:val="20"/>
                        <w:szCs w:val="20"/>
                      </w:rPr>
                    </m:ctrlPr>
                  </m:naryPr>
                  <m:sub/>
                  <m:sup/>
                  <m:e>
                    <m:r>
                      <w:rPr>
                        <w:rFonts w:ascii="Cambria Math" w:hAnsi="Cambria Math"/>
                        <w:sz w:val="20"/>
                        <w:szCs w:val="20"/>
                      </w:rPr>
                      <m:t>wi(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xi</m:t>
                        </m:r>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exp</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fxi</m:t>
                            </m:r>
                          </m:e>
                        </m:d>
                      </m:e>
                    </m:func>
                    <m:r>
                      <w:rPr>
                        <w:rFonts w:ascii="Cambria Math" w:hAnsi="Cambria Math"/>
                        <w:sz w:val="20"/>
                        <w:szCs w:val="20"/>
                      </w:rPr>
                      <m:t>)</m:t>
                    </m:r>
                  </m:e>
                </m:nary>
              </m:oMath>
            </m:oMathPara>
          </w:p>
        </w:tc>
        <w:tc>
          <w:tcPr>
            <w:tcW w:w="2501" w:type="dxa"/>
          </w:tcPr>
          <w:p w14:paraId="72F497BA" w14:textId="332822A6" w:rsidR="00C822C0" w:rsidRPr="009A27BB" w:rsidRDefault="009A27BB" w:rsidP="009A27BB">
            <w:pPr>
              <w:rPr>
                <w:sz w:val="24"/>
                <w:szCs w:val="24"/>
              </w:rPr>
            </w:pPr>
            <m:oMathPara>
              <m:oMath>
                <m:r>
                  <w:rPr>
                    <w:rFonts w:ascii="Cambria Math"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m:rPr>
                    <m:sty m:val="p"/>
                  </m:rPr>
                  <w:rPr>
                    <w:rFonts w:ascii="Cambria Math" w:eastAsiaTheme="minorEastAsia" w:hAnsi="Cambria Math"/>
                    <w:sz w:val="24"/>
                    <w:szCs w:val="24"/>
                  </w:rPr>
                  <m:t>log⁡</m:t>
                </m:r>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bHide m:val="1"/>
                        <m:supHide m:val="1"/>
                        <m:ctrlPr>
                          <w:rPr>
                            <w:rFonts w:ascii="Cambria Math" w:eastAsiaTheme="minorEastAsia" w:hAnsi="Cambria Math"/>
                            <w:i/>
                            <w:sz w:val="24"/>
                            <w:szCs w:val="24"/>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subHide m:val="1"/>
                        <m:supHide m:val="1"/>
                        <m:ctrlPr>
                          <w:rPr>
                            <w:rFonts w:ascii="Cambria Math" w:eastAsiaTheme="minorEastAsia" w:hAnsi="Cambria Math"/>
                            <w:i/>
                            <w:sz w:val="24"/>
                            <w:szCs w:val="24"/>
                          </w:rPr>
                        </m:ctrlPr>
                      </m:naryPr>
                      <m:sub/>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oi</m:t>
                            </m:r>
                          </m:sup>
                        </m:sSup>
                      </m:e>
                    </m:nary>
                  </m:den>
                </m:f>
                <m:r>
                  <w:rPr>
                    <w:rFonts w:ascii="Cambria Math" w:eastAsiaTheme="minorEastAsia" w:hAnsi="Cambria Math"/>
                    <w:sz w:val="24"/>
                    <w:szCs w:val="24"/>
                  </w:rPr>
                  <m:t>)</m:t>
                </m:r>
              </m:oMath>
            </m:oMathPara>
          </w:p>
        </w:tc>
        <w:tc>
          <w:tcPr>
            <w:tcW w:w="2876" w:type="dxa"/>
          </w:tcPr>
          <w:p w14:paraId="2C6DA80B" w14:textId="0631A172" w:rsidR="00C822C0" w:rsidRPr="00BC785F" w:rsidRDefault="00BC785F" w:rsidP="00BC785F">
            <w:pPr>
              <w:rPr>
                <w:sz w:val="24"/>
                <w:szCs w:val="24"/>
              </w:rPr>
            </w:pPr>
            <m:oMathPara>
              <m:oMath>
                <m:r>
                  <w:rPr>
                    <w:rFonts w:ascii="Cambria Math" w:hAnsi="Cambria Math"/>
                    <w:sz w:val="24"/>
                    <w:szCs w:val="24"/>
                  </w:rPr>
                  <m:t>zi=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m:t>
                </m:r>
              </m:oMath>
            </m:oMathPara>
          </w:p>
        </w:tc>
      </w:tr>
    </w:tbl>
    <w:p w14:paraId="41D9D78A" w14:textId="4CDEB0CB" w:rsidR="00997DBC" w:rsidRPr="00E011E0" w:rsidRDefault="00E011E0" w:rsidP="00B10888">
      <w:pPr>
        <w:rPr>
          <w:rFonts w:ascii="Cambria Math" w:hAnsi="Cambria Math"/>
          <w:b/>
          <w:sz w:val="20"/>
          <w:szCs w:val="20"/>
        </w:rPr>
      </w:pPr>
      <w:r w:rsidRPr="00E011E0">
        <w:rPr>
          <w:b/>
          <w:sz w:val="24"/>
          <w:szCs w:val="24"/>
        </w:rPr>
        <w:t>NB</w:t>
      </w:r>
      <w:r>
        <w:rPr>
          <w:b/>
          <w:sz w:val="24"/>
          <w:szCs w:val="24"/>
        </w:rPr>
        <w:t>:</w:t>
      </w:r>
      <w:r w:rsidRPr="00E011E0">
        <w:rPr>
          <w:sz w:val="24"/>
          <w:szCs w:val="24"/>
        </w:rPr>
        <w:t xml:space="preserve">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oMath>
      <w:r w:rsidR="00DC7683">
        <w:rPr>
          <w:rFonts w:eastAsiaTheme="minorEastAsia"/>
          <w:sz w:val="18"/>
          <w:szCs w:val="18"/>
        </w:rPr>
        <w:t xml:space="preserve"> is hazard for risk,</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oMath>
      <w:r w:rsidR="00DC7683">
        <w:rPr>
          <w:rFonts w:eastAsiaTheme="minorEastAsia"/>
          <w:sz w:val="20"/>
          <w:szCs w:val="20"/>
        </w:rPr>
        <w:t xml:space="preserve"> is an indicator</w:t>
      </w:r>
      <w:r>
        <w:rPr>
          <w:rFonts w:eastAsiaTheme="minorEastAsia"/>
          <w:sz w:val="20"/>
          <w:szCs w:val="20"/>
        </w:rPr>
        <w:t>,</w:t>
      </w:r>
      <w:r>
        <w:rPr>
          <w:rFonts w:eastAsiaTheme="minorEastAsia"/>
          <w:i/>
          <w:sz w:val="20"/>
          <w:szCs w:val="20"/>
        </w:rPr>
        <w:t xml:space="preserve"> i </w:t>
      </w:r>
      <w:r>
        <w:rPr>
          <w:rFonts w:eastAsiaTheme="minorEastAsia"/>
          <w:sz w:val="20"/>
          <w:szCs w:val="20"/>
        </w:rPr>
        <w:t>is number of observation,</w:t>
      </w:r>
      <m:oMath>
        <m:r>
          <w:rPr>
            <w:rFonts w:ascii="Cambria Math" w:hAnsi="Cambria Math"/>
            <w:sz w:val="20"/>
            <w:szCs w:val="20"/>
          </w:rPr>
          <m:t xml:space="preserve"> </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oMath>
      <w:r>
        <w:rPr>
          <w:rFonts w:eastAsiaTheme="minorEastAsia"/>
          <w:sz w:val="20"/>
          <w:szCs w:val="20"/>
        </w:rPr>
        <w:t xml:space="preserve"> denotes weights)</w:t>
      </w:r>
    </w:p>
    <w:p w14:paraId="58F91B1F" w14:textId="77777777" w:rsidR="00DC7683" w:rsidRDefault="00DC7683" w:rsidP="00B10888">
      <w:pPr>
        <w:rPr>
          <w:sz w:val="24"/>
          <w:szCs w:val="24"/>
        </w:rPr>
      </w:pPr>
    </w:p>
    <w:p w14:paraId="5D2EA8AA" w14:textId="77777777" w:rsidR="00997DBC" w:rsidRDefault="00997DBC" w:rsidP="00B10888">
      <w:pPr>
        <w:rPr>
          <w:sz w:val="24"/>
          <w:szCs w:val="24"/>
        </w:rPr>
      </w:pPr>
    </w:p>
    <w:p w14:paraId="6209724C" w14:textId="77777777" w:rsidR="00997DBC" w:rsidRDefault="00997DBC" w:rsidP="00B10888">
      <w:pPr>
        <w:rPr>
          <w:sz w:val="24"/>
          <w:szCs w:val="24"/>
        </w:rPr>
      </w:pPr>
    </w:p>
    <w:p w14:paraId="1F72C712" w14:textId="77777777" w:rsidR="00997DBC" w:rsidRPr="00B10888" w:rsidRDefault="00997DBC" w:rsidP="00B10888">
      <w:pPr>
        <w:rPr>
          <w:sz w:val="24"/>
          <w:szCs w:val="24"/>
        </w:rPr>
      </w:pPr>
    </w:p>
    <w:sectPr w:rsidR="00997DBC" w:rsidRPr="00B10888">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8ED1" w14:textId="77777777" w:rsidR="008B6844" w:rsidRDefault="008B6844" w:rsidP="000D43F7">
      <w:pPr>
        <w:spacing w:after="0" w:line="240" w:lineRule="auto"/>
      </w:pPr>
      <w:r>
        <w:separator/>
      </w:r>
    </w:p>
  </w:endnote>
  <w:endnote w:type="continuationSeparator" w:id="0">
    <w:p w14:paraId="32C3D068" w14:textId="77777777" w:rsidR="008B6844" w:rsidRDefault="008B6844" w:rsidP="000D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403B" w14:textId="77777777" w:rsidR="00BB1AAF" w:rsidRDefault="00BB1AAF" w:rsidP="005F42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C5CB26" w14:textId="77777777" w:rsidR="00BB1AAF" w:rsidRDefault="00BB1AAF" w:rsidP="00BB1A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3B21E" w14:textId="77777777" w:rsidR="00BB1AAF" w:rsidRDefault="00BB1AAF" w:rsidP="005F42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5309">
      <w:rPr>
        <w:rStyle w:val="PageNumber"/>
        <w:noProof/>
      </w:rPr>
      <w:t>2</w:t>
    </w:r>
    <w:r>
      <w:rPr>
        <w:rStyle w:val="PageNumber"/>
      </w:rPr>
      <w:fldChar w:fldCharType="end"/>
    </w:r>
  </w:p>
  <w:p w14:paraId="0A0B96C1" w14:textId="62157F62" w:rsidR="000D43F7" w:rsidRDefault="000D43F7" w:rsidP="00BB1AAF">
    <w:pPr>
      <w:pStyle w:val="Footer"/>
      <w:ind w:right="360"/>
      <w:jc w:val="center"/>
    </w:pPr>
  </w:p>
  <w:p w14:paraId="79A32E72" w14:textId="77777777" w:rsidR="000D43F7" w:rsidRDefault="000D4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83BBD" w14:textId="77777777" w:rsidR="008B6844" w:rsidRDefault="008B6844" w:rsidP="000D43F7">
      <w:pPr>
        <w:spacing w:after="0" w:line="240" w:lineRule="auto"/>
      </w:pPr>
      <w:r>
        <w:separator/>
      </w:r>
    </w:p>
  </w:footnote>
  <w:footnote w:type="continuationSeparator" w:id="0">
    <w:p w14:paraId="5189332E" w14:textId="77777777" w:rsidR="008B6844" w:rsidRDefault="008B6844" w:rsidP="000D43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176"/>
    <w:rsid w:val="000223A9"/>
    <w:rsid w:val="00045804"/>
    <w:rsid w:val="00045ED2"/>
    <w:rsid w:val="000D43F7"/>
    <w:rsid w:val="001C2518"/>
    <w:rsid w:val="001D0EAD"/>
    <w:rsid w:val="001F030B"/>
    <w:rsid w:val="001F1CA9"/>
    <w:rsid w:val="00201D80"/>
    <w:rsid w:val="002101C4"/>
    <w:rsid w:val="002918E6"/>
    <w:rsid w:val="00292160"/>
    <w:rsid w:val="002C372A"/>
    <w:rsid w:val="003100AD"/>
    <w:rsid w:val="00322557"/>
    <w:rsid w:val="003251AD"/>
    <w:rsid w:val="003370A6"/>
    <w:rsid w:val="00371F25"/>
    <w:rsid w:val="003A0D28"/>
    <w:rsid w:val="003E2874"/>
    <w:rsid w:val="00400309"/>
    <w:rsid w:val="00405F22"/>
    <w:rsid w:val="004070FC"/>
    <w:rsid w:val="0043760B"/>
    <w:rsid w:val="00463310"/>
    <w:rsid w:val="0048026F"/>
    <w:rsid w:val="00492EFD"/>
    <w:rsid w:val="004A5780"/>
    <w:rsid w:val="004E4A5E"/>
    <w:rsid w:val="005C2955"/>
    <w:rsid w:val="005F33A1"/>
    <w:rsid w:val="00611A75"/>
    <w:rsid w:val="00612E7B"/>
    <w:rsid w:val="006A323C"/>
    <w:rsid w:val="00747352"/>
    <w:rsid w:val="0075093D"/>
    <w:rsid w:val="00753354"/>
    <w:rsid w:val="00792630"/>
    <w:rsid w:val="007D2525"/>
    <w:rsid w:val="007D4B53"/>
    <w:rsid w:val="00803176"/>
    <w:rsid w:val="008B4C11"/>
    <w:rsid w:val="008B6844"/>
    <w:rsid w:val="00997DBC"/>
    <w:rsid w:val="009A27BB"/>
    <w:rsid w:val="00A13ADD"/>
    <w:rsid w:val="00A25309"/>
    <w:rsid w:val="00A40EDF"/>
    <w:rsid w:val="00A77EB9"/>
    <w:rsid w:val="00A92C4F"/>
    <w:rsid w:val="00A97CD0"/>
    <w:rsid w:val="00AA4A9E"/>
    <w:rsid w:val="00AA7CBB"/>
    <w:rsid w:val="00AB45C5"/>
    <w:rsid w:val="00B02984"/>
    <w:rsid w:val="00B07BCA"/>
    <w:rsid w:val="00B10888"/>
    <w:rsid w:val="00BA58A3"/>
    <w:rsid w:val="00BB1AAF"/>
    <w:rsid w:val="00BC6769"/>
    <w:rsid w:val="00BC785F"/>
    <w:rsid w:val="00C822C0"/>
    <w:rsid w:val="00C857BD"/>
    <w:rsid w:val="00CB0FDC"/>
    <w:rsid w:val="00CB6373"/>
    <w:rsid w:val="00CF5541"/>
    <w:rsid w:val="00D00051"/>
    <w:rsid w:val="00D17821"/>
    <w:rsid w:val="00D609B6"/>
    <w:rsid w:val="00DC7683"/>
    <w:rsid w:val="00E00D56"/>
    <w:rsid w:val="00E011E0"/>
    <w:rsid w:val="00E23953"/>
    <w:rsid w:val="00E85E95"/>
    <w:rsid w:val="00F247F1"/>
    <w:rsid w:val="00F83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EBE3"/>
  <w15:chartTrackingRefBased/>
  <w15:docId w15:val="{309827A3-FB7B-4E11-B430-03AD668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72A"/>
    <w:rPr>
      <w:color w:val="808080"/>
    </w:rPr>
  </w:style>
  <w:style w:type="paragraph" w:styleId="Header">
    <w:name w:val="header"/>
    <w:basedOn w:val="Normal"/>
    <w:link w:val="HeaderChar"/>
    <w:uiPriority w:val="99"/>
    <w:unhideWhenUsed/>
    <w:rsid w:val="000D4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3F7"/>
  </w:style>
  <w:style w:type="paragraph" w:styleId="Footer">
    <w:name w:val="footer"/>
    <w:basedOn w:val="Normal"/>
    <w:link w:val="FooterChar"/>
    <w:uiPriority w:val="99"/>
    <w:unhideWhenUsed/>
    <w:rsid w:val="000D4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3F7"/>
  </w:style>
  <w:style w:type="table" w:styleId="TableGrid">
    <w:name w:val="Table Grid"/>
    <w:basedOn w:val="TableNormal"/>
    <w:uiPriority w:val="39"/>
    <w:rsid w:val="00997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B1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Illinois State University/EMAS</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Mensah, Joseph</dc:creator>
  <cp:keywords/>
  <dc:description/>
  <cp:lastModifiedBy>Eric Agyemang</cp:lastModifiedBy>
  <cp:revision>4</cp:revision>
  <cp:lastPrinted>2018-11-09T21:53:00Z</cp:lastPrinted>
  <dcterms:created xsi:type="dcterms:W3CDTF">2018-11-09T22:12:00Z</dcterms:created>
  <dcterms:modified xsi:type="dcterms:W3CDTF">2021-12-16T05:24:00Z</dcterms:modified>
</cp:coreProperties>
</file>