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9555" w14:textId="77777777" w:rsidR="003479C5" w:rsidRPr="00B42BF6" w:rsidRDefault="00AC6626" w:rsidP="00C62349">
      <w:pPr>
        <w:spacing w:after="0" w:line="360" w:lineRule="auto"/>
        <w:jc w:val="center"/>
        <w:rPr>
          <w:rFonts w:ascii="Tw Cen MT" w:hAnsi="Tw Cen MT" w:cs="Arial"/>
          <w:color w:val="365F91" w:themeColor="accent1" w:themeShade="BF"/>
          <w:sz w:val="52"/>
          <w:szCs w:val="32"/>
        </w:rPr>
      </w:pPr>
      <w:r w:rsidRPr="00B42BF6">
        <w:rPr>
          <w:rFonts w:ascii="Tw Cen MT" w:hAnsi="Tw Cen MT" w:cs="Arial"/>
          <w:color w:val="365F91" w:themeColor="accent1" w:themeShade="BF"/>
          <w:sz w:val="52"/>
          <w:szCs w:val="32"/>
        </w:rPr>
        <w:t>Note-Taking Template for Journal Articles</w:t>
      </w:r>
    </w:p>
    <w:p w14:paraId="59ED222F" w14:textId="77777777" w:rsidR="00382160" w:rsidRDefault="009032E3" w:rsidP="003821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Title</w:t>
      </w:r>
      <w:r w:rsidR="004A4E20">
        <w:rPr>
          <w:rFonts w:ascii="Arial" w:hAnsi="Arial" w:cs="Arial"/>
        </w:rPr>
        <w:t xml:space="preserve"> of Article: </w:t>
      </w:r>
      <w:r w:rsidR="00382160" w:rsidRPr="00382160">
        <w:rPr>
          <w:rFonts w:ascii="Times New Roman" w:hAnsi="Times New Roman" w:cs="Times New Roman"/>
          <w:color w:val="000000"/>
          <w:u w:val="single"/>
        </w:rPr>
        <w:t>Single sourcing versus multisourcing: The roles of output verifiability on task modularity</w:t>
      </w:r>
      <w:r w:rsidR="00EA5CBC" w:rsidRPr="00382160">
        <w:rPr>
          <w:rFonts w:ascii="Arial" w:hAnsi="Arial" w:cs="Arial"/>
          <w:u w:val="single"/>
        </w:rPr>
        <w:t>.</w:t>
      </w:r>
    </w:p>
    <w:p w14:paraId="3A63C4E8" w14:textId="54D88B3F" w:rsidR="009032E3" w:rsidRPr="00382160" w:rsidRDefault="006022A0" w:rsidP="003821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752C24">
        <w:rPr>
          <w:rFonts w:ascii="Arial" w:hAnsi="Arial" w:cs="Arial"/>
        </w:rPr>
        <w:t>Publication</w:t>
      </w:r>
      <w:r>
        <w:rPr>
          <w:rFonts w:ascii="Arial" w:hAnsi="Arial" w:cs="Arial"/>
        </w:rPr>
        <w:t xml:space="preserve">: </w:t>
      </w:r>
      <w:r w:rsidR="00382160" w:rsidRPr="00382160">
        <w:rPr>
          <w:color w:val="000000"/>
          <w:u w:val="single"/>
        </w:rPr>
        <w:t>MIS Quarterly: Management Information Systems</w:t>
      </w:r>
      <w:r w:rsidR="00382160">
        <w:rPr>
          <w:rFonts w:ascii="Arial" w:hAnsi="Arial" w:cs="Arial"/>
        </w:rPr>
        <w:t>.</w:t>
      </w:r>
    </w:p>
    <w:p w14:paraId="2085C8D5" w14:textId="3770EE96" w:rsidR="009032E3" w:rsidRPr="00382160" w:rsidRDefault="004A4E20" w:rsidP="00B51C67">
      <w:p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Arial" w:hAnsi="Arial" w:cs="Arial"/>
        </w:rPr>
        <w:t xml:space="preserve">Author(s):  </w:t>
      </w:r>
      <w:r w:rsidR="00382160" w:rsidRPr="00382160">
        <w:rPr>
          <w:rFonts w:ascii="Times New Roman" w:hAnsi="Times New Roman" w:cs="Times New Roman"/>
          <w:color w:val="000000"/>
          <w:sz w:val="20"/>
          <w:szCs w:val="20"/>
          <w:u w:val="single"/>
        </w:rPr>
        <w:t>Shantanu BHATTACHARYA,  Alok GUPTA,  Sameer HASIJA</w:t>
      </w:r>
      <w:r w:rsidR="0038216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</w:rPr>
        <w:tab/>
      </w:r>
      <w:r w:rsidR="006022A0">
        <w:rPr>
          <w:rFonts w:ascii="Arial" w:hAnsi="Arial" w:cs="Arial"/>
        </w:rPr>
        <w:t xml:space="preserve">Date: </w:t>
      </w:r>
      <w:r w:rsidR="00382160" w:rsidRPr="00382160">
        <w:rPr>
          <w:rFonts w:ascii="Times New Roman" w:hAnsi="Times New Roman" w:cs="Times New Roman"/>
          <w:color w:val="000000"/>
          <w:sz w:val="20"/>
          <w:szCs w:val="20"/>
          <w:u w:val="single"/>
        </w:rPr>
        <w:t>December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9032E3" w:rsidRPr="00CB3DD8" w14:paraId="4C45C2FD" w14:textId="77777777" w:rsidTr="00A10C0C">
        <w:trPr>
          <w:trHeight w:val="2375"/>
        </w:trPr>
        <w:tc>
          <w:tcPr>
            <w:tcW w:w="3955" w:type="dxa"/>
          </w:tcPr>
          <w:p w14:paraId="477650F8" w14:textId="77777777" w:rsidR="009032E3" w:rsidRPr="00CB3DD8" w:rsidRDefault="009032E3" w:rsidP="000611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>Background</w:t>
            </w:r>
          </w:p>
          <w:p w14:paraId="210D1FC6" w14:textId="77777777" w:rsidR="009032E3" w:rsidRPr="00CB3DD8" w:rsidRDefault="00EB5D50" w:rsidP="00EB5D50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What wa</w:t>
            </w:r>
            <w:r w:rsidR="009032E3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 the context for </w:t>
            </w:r>
            <w:r w:rsidR="00791F9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this research</w:t>
            </w:r>
            <w:r w:rsidR="009032E3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?</w:t>
            </w:r>
          </w:p>
          <w:p w14:paraId="0F88B511" w14:textId="77777777" w:rsidR="009032E3" w:rsidRPr="00CB3DD8" w:rsidRDefault="009032E3" w:rsidP="009128B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What </w:t>
            </w:r>
            <w:r w:rsidR="009128BE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has been</w:t>
            </w:r>
            <w:r w:rsidR="00752C24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studied or</w:t>
            </w:r>
            <w:r w:rsidR="000B62E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determined</w:t>
            </w:r>
            <w:r w:rsidR="000611B8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already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?</w:t>
            </w:r>
          </w:p>
          <w:p w14:paraId="0A970141" w14:textId="77777777" w:rsidR="009128BE" w:rsidRPr="00CB3DD8" w:rsidRDefault="009128BE" w:rsidP="009128BE">
            <w:pPr>
              <w:rPr>
                <w:rFonts w:ascii="Times New Roman" w:hAnsi="Times New Roman" w:cs="Times New Roman"/>
              </w:rPr>
            </w:pPr>
          </w:p>
          <w:p w14:paraId="53ABAA1F" w14:textId="77777777" w:rsidR="008155A4" w:rsidRPr="00CB3DD8" w:rsidRDefault="008155A4" w:rsidP="009128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1F116396" w14:textId="4382D419" w:rsidR="009032E3" w:rsidRPr="00CB3DD8" w:rsidRDefault="00FB5B24" w:rsidP="00073C69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This paper compares two modes for outsourcing the development of information services projects: single-sourcing (where one vendor handles all outsourced activities) and multisourcing (where multiple vendors handle those activities). </w:t>
            </w:r>
          </w:p>
          <w:p w14:paraId="0D0F89F8" w14:textId="282C9C21" w:rsidR="00FB5B24" w:rsidRPr="00CB3DD8" w:rsidRDefault="00FB5B24" w:rsidP="00073C69">
            <w:pPr>
              <w:jc w:val="both"/>
              <w:rPr>
                <w:rFonts w:ascii="Times New Roman" w:hAnsi="Times New Roman" w:cs="Times New Roman"/>
              </w:rPr>
            </w:pPr>
          </w:p>
          <w:p w14:paraId="7BAA387B" w14:textId="1F4DCA43" w:rsidR="00FB5B24" w:rsidRPr="00CB3DD8" w:rsidRDefault="00A42ED2" w:rsidP="00073C69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Previous comparisons of single-sourcing and multisourcing in the practitioner IT literature highlight the cost efficiency resulting from specialization and the flexibility benefits of multisourcing which include increase agility and its role in </w:t>
            </w:r>
            <w:r w:rsidR="00413D50" w:rsidRPr="00CB3DD8">
              <w:rPr>
                <w:rFonts w:ascii="Times New Roman" w:hAnsi="Times New Roman" w:cs="Times New Roman"/>
              </w:rPr>
              <w:t>mitigating risk has been studied before.</w:t>
            </w:r>
          </w:p>
        </w:tc>
      </w:tr>
      <w:tr w:rsidR="009032E3" w:rsidRPr="00CB3DD8" w14:paraId="3FD8609F" w14:textId="77777777" w:rsidTr="00D017C1">
        <w:trPr>
          <w:trHeight w:val="2420"/>
        </w:trPr>
        <w:tc>
          <w:tcPr>
            <w:tcW w:w="3955" w:type="dxa"/>
          </w:tcPr>
          <w:p w14:paraId="2B564AF0" w14:textId="77777777" w:rsidR="009032E3" w:rsidRPr="00CB3DD8" w:rsidRDefault="00814460" w:rsidP="000611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 xml:space="preserve">Methods &amp; </w:t>
            </w:r>
            <w:r w:rsidR="00EB5D50" w:rsidRPr="00CB3DD8">
              <w:rPr>
                <w:rFonts w:ascii="Times New Roman" w:hAnsi="Times New Roman" w:cs="Times New Roman"/>
                <w:b/>
              </w:rPr>
              <w:t>Nature of this Study</w:t>
            </w:r>
          </w:p>
          <w:p w14:paraId="2885A9AA" w14:textId="77777777" w:rsidR="003479C5" w:rsidRPr="00CB3DD8" w:rsidRDefault="009032E3" w:rsidP="000611B8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What was the</w:t>
            </w:r>
            <w:r w:rsidR="009128BE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objective?</w:t>
            </w:r>
          </w:p>
          <w:p w14:paraId="2ACA9562" w14:textId="77777777" w:rsidR="009032E3" w:rsidRPr="00CB3DD8" w:rsidRDefault="00791F92" w:rsidP="000611B8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How did the author(s)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collect data</w:t>
            </w:r>
            <w:r w:rsidR="009032E3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?</w:t>
            </w:r>
          </w:p>
          <w:p w14:paraId="505A1F4A" w14:textId="6633C832" w:rsidR="00791F92" w:rsidRPr="00CB3DD8" w:rsidRDefault="009032E3" w:rsidP="009032E3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When and where did the</w:t>
            </w:r>
            <w:r w:rsidR="009128BE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791F9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research 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take place?</w:t>
            </w:r>
          </w:p>
        </w:tc>
        <w:tc>
          <w:tcPr>
            <w:tcW w:w="6835" w:type="dxa"/>
          </w:tcPr>
          <w:p w14:paraId="515243DB" w14:textId="77777777" w:rsidR="009032E3" w:rsidRPr="00CB3DD8" w:rsidRDefault="00413D50" w:rsidP="00073C69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The objective is to establish where the environments better suited to single-sourcing or multisourcing modes can be identified from of the </w:t>
            </w:r>
            <w:r w:rsidR="00073C69" w:rsidRPr="00CB3DD8">
              <w:rPr>
                <w:rFonts w:ascii="Times New Roman" w:hAnsi="Times New Roman" w:cs="Times New Roman"/>
              </w:rPr>
              <w:t xml:space="preserve">perspective of the </w:t>
            </w:r>
            <w:r w:rsidRPr="00CB3DD8">
              <w:rPr>
                <w:rFonts w:ascii="Times New Roman" w:hAnsi="Times New Roman" w:cs="Times New Roman"/>
              </w:rPr>
              <w:t>client (the principal).</w:t>
            </w:r>
          </w:p>
          <w:p w14:paraId="55FA3F84" w14:textId="77777777" w:rsidR="00073C69" w:rsidRPr="00CB3DD8" w:rsidRDefault="00073C69" w:rsidP="00073C69">
            <w:pPr>
              <w:jc w:val="both"/>
              <w:rPr>
                <w:rFonts w:ascii="Times New Roman" w:hAnsi="Times New Roman" w:cs="Times New Roman"/>
              </w:rPr>
            </w:pPr>
          </w:p>
          <w:p w14:paraId="7024BD95" w14:textId="624C8580" w:rsidR="00073C69" w:rsidRPr="00CB3DD8" w:rsidRDefault="000315A7" w:rsidP="00073C69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Data was collected form the General Motors (GM) </w:t>
            </w:r>
            <w:r w:rsidR="00A74043" w:rsidRPr="00CB3DD8">
              <w:rPr>
                <w:rFonts w:ascii="Times New Roman" w:hAnsi="Times New Roman" w:cs="Times New Roman"/>
              </w:rPr>
              <w:t xml:space="preserve">clients and </w:t>
            </w:r>
            <w:r w:rsidRPr="00CB3DD8">
              <w:rPr>
                <w:rFonts w:ascii="Times New Roman" w:hAnsi="Times New Roman" w:cs="Times New Roman"/>
              </w:rPr>
              <w:t>vendors’ services from a single-sourced to a multisource mode.</w:t>
            </w:r>
          </w:p>
          <w:p w14:paraId="2CAA616F" w14:textId="1F68A250" w:rsidR="00DF7D0B" w:rsidRPr="00CB3DD8" w:rsidRDefault="00DF7D0B" w:rsidP="00073C69">
            <w:pPr>
              <w:jc w:val="both"/>
              <w:rPr>
                <w:rFonts w:ascii="Times New Roman" w:hAnsi="Times New Roman" w:cs="Times New Roman"/>
              </w:rPr>
            </w:pPr>
          </w:p>
          <w:p w14:paraId="2C6F2B2E" w14:textId="29166D71" w:rsidR="000315A7" w:rsidRPr="00CB3DD8" w:rsidRDefault="00E91C1B" w:rsidP="00073C69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This research </w:t>
            </w:r>
            <w:r w:rsidR="004F30CE" w:rsidRPr="00CB3DD8">
              <w:rPr>
                <w:rFonts w:ascii="Times New Roman" w:hAnsi="Times New Roman" w:cs="Times New Roman"/>
              </w:rPr>
              <w:t xml:space="preserve">took place at </w:t>
            </w:r>
            <w:r w:rsidR="00360A1A" w:rsidRPr="00CB3DD8">
              <w:rPr>
                <w:rFonts w:ascii="Times New Roman" w:hAnsi="Times New Roman" w:cs="Times New Roman"/>
              </w:rPr>
              <w:t>Lee Kong Chain School of Business</w:t>
            </w:r>
            <w:r w:rsidRPr="00CB3DD8">
              <w:rPr>
                <w:rFonts w:ascii="Times New Roman" w:hAnsi="Times New Roman" w:cs="Times New Roman"/>
              </w:rPr>
              <w:t xml:space="preserve"> </w:t>
            </w:r>
            <w:r w:rsidR="00360A1A" w:rsidRPr="00CB3DD8">
              <w:rPr>
                <w:rFonts w:ascii="Times New Roman" w:hAnsi="Times New Roman" w:cs="Times New Roman"/>
              </w:rPr>
              <w:t xml:space="preserve">at Institutional Knowledge at Singapore Management University </w:t>
            </w:r>
            <w:r w:rsidRPr="00CB3DD8">
              <w:rPr>
                <w:rFonts w:ascii="Times New Roman" w:hAnsi="Times New Roman" w:cs="Times New Roman"/>
              </w:rPr>
              <w:t>in 2018</w:t>
            </w:r>
            <w:r w:rsidR="00D017C1" w:rsidRPr="00CB3DD8">
              <w:rPr>
                <w:rFonts w:ascii="Times New Roman" w:hAnsi="Times New Roman" w:cs="Times New Roman"/>
              </w:rPr>
              <w:t>.</w:t>
            </w:r>
          </w:p>
        </w:tc>
      </w:tr>
      <w:tr w:rsidR="009032E3" w:rsidRPr="00CB3DD8" w14:paraId="34BEE5A0" w14:textId="77777777" w:rsidTr="00A10C0C">
        <w:tc>
          <w:tcPr>
            <w:tcW w:w="3955" w:type="dxa"/>
          </w:tcPr>
          <w:p w14:paraId="6AFF9697" w14:textId="77777777" w:rsidR="009032E3" w:rsidRPr="00CB3DD8" w:rsidRDefault="00CF1622" w:rsidP="000611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>Result</w:t>
            </w:r>
            <w:r w:rsidR="009032E3" w:rsidRPr="00CB3DD8">
              <w:rPr>
                <w:rFonts w:ascii="Times New Roman" w:hAnsi="Times New Roman" w:cs="Times New Roman"/>
                <w:b/>
              </w:rPr>
              <w:t>s</w:t>
            </w:r>
          </w:p>
          <w:p w14:paraId="6A410F19" w14:textId="77777777" w:rsidR="000B62E2" w:rsidRPr="00CB3DD8" w:rsidRDefault="00EB5D50" w:rsidP="00791F92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What</w:t>
            </w:r>
            <w:r w:rsidR="004942B4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highlights 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emerged</w:t>
            </w:r>
            <w:r w:rsidR="000B62E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?</w:t>
            </w:r>
          </w:p>
          <w:p w14:paraId="5CED0FD1" w14:textId="77777777" w:rsidR="003479C5" w:rsidRPr="00CB3DD8" w:rsidRDefault="003479C5" w:rsidP="000B62E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Were there any surprises?</w:t>
            </w:r>
          </w:p>
          <w:p w14:paraId="0D84A7AF" w14:textId="77777777" w:rsidR="008155A4" w:rsidRPr="00CB3DD8" w:rsidRDefault="008155A4" w:rsidP="000B62E2">
            <w:pPr>
              <w:rPr>
                <w:rFonts w:ascii="Times New Roman" w:hAnsi="Times New Roman" w:cs="Times New Roman"/>
              </w:rPr>
            </w:pPr>
          </w:p>
          <w:p w14:paraId="3521A77C" w14:textId="77777777" w:rsidR="008155A4" w:rsidRPr="00CB3DD8" w:rsidRDefault="008155A4" w:rsidP="000B62E2">
            <w:pPr>
              <w:rPr>
                <w:rFonts w:ascii="Times New Roman" w:hAnsi="Times New Roman" w:cs="Times New Roman"/>
              </w:rPr>
            </w:pPr>
          </w:p>
          <w:p w14:paraId="672321C0" w14:textId="77777777" w:rsidR="008155A4" w:rsidRPr="00CB3DD8" w:rsidRDefault="008155A4" w:rsidP="000B6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3E10CA5E" w14:textId="77777777" w:rsidR="009032E3" w:rsidRPr="00CB3DD8" w:rsidRDefault="00A10C0C" w:rsidP="009032E3">
            <w:pPr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This paper highlight that if tasks are modular then multisourcing strictly dominates single-sourcing provided the verifiable performance metric and project revenue are not completely aligned. </w:t>
            </w:r>
          </w:p>
          <w:p w14:paraId="464550EE" w14:textId="77777777" w:rsidR="00A10C0C" w:rsidRPr="00CB3DD8" w:rsidRDefault="00A10C0C" w:rsidP="009032E3">
            <w:pPr>
              <w:rPr>
                <w:rFonts w:ascii="Times New Roman" w:hAnsi="Times New Roman" w:cs="Times New Roman"/>
              </w:rPr>
            </w:pPr>
          </w:p>
          <w:p w14:paraId="49D2BD8F" w14:textId="693892B0" w:rsidR="00A10C0C" w:rsidRPr="00CB3DD8" w:rsidRDefault="00A10C0C" w:rsidP="009032E3">
            <w:pPr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It surprising that if the tasks are integrated, then the outsourcing modes </w:t>
            </w:r>
            <w:r w:rsidR="00065A65" w:rsidRPr="00CB3DD8">
              <w:rPr>
                <w:rFonts w:ascii="Times New Roman" w:hAnsi="Times New Roman" w:cs="Times New Roman"/>
              </w:rPr>
              <w:t>have nuanced domains of dominance.</w:t>
            </w:r>
          </w:p>
        </w:tc>
      </w:tr>
      <w:tr w:rsidR="009032E3" w:rsidRPr="00CB3DD8" w14:paraId="28C89E6F" w14:textId="77777777" w:rsidTr="00A10C0C">
        <w:tc>
          <w:tcPr>
            <w:tcW w:w="3955" w:type="dxa"/>
          </w:tcPr>
          <w:p w14:paraId="1A7BFA54" w14:textId="77777777" w:rsidR="009032E3" w:rsidRPr="00CB3DD8" w:rsidRDefault="00EB5D50" w:rsidP="000611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>Data</w:t>
            </w:r>
          </w:p>
          <w:p w14:paraId="213F1BC5" w14:textId="77777777" w:rsidR="009032E3" w:rsidRPr="00CB3DD8" w:rsidRDefault="00EB5D50" w:rsidP="000611B8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What is most striking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about</w:t>
            </w:r>
            <w:r w:rsidR="00791F9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936D71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the </w:t>
            </w:r>
            <w:r w:rsidR="000611B8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tables, graphs</w:t>
            </w:r>
            <w:r w:rsidR="00791F9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,</w:t>
            </w:r>
            <w:r w:rsidR="000611B8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illustrations?</w:t>
            </w:r>
          </w:p>
          <w:p w14:paraId="0D191156" w14:textId="77777777" w:rsidR="009032E3" w:rsidRPr="00CB3DD8" w:rsidRDefault="000611B8" w:rsidP="009128BE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Why 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did the author</w:t>
            </w:r>
            <w:r w:rsidR="00791F9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s</w:t>
            </w:r>
            <w:r w:rsidR="00791F92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include them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?</w:t>
            </w:r>
          </w:p>
          <w:p w14:paraId="15BACFA2" w14:textId="77777777" w:rsidR="008155A4" w:rsidRPr="00CB3DD8" w:rsidRDefault="008155A4" w:rsidP="009032E3">
            <w:pPr>
              <w:rPr>
                <w:rFonts w:ascii="Times New Roman" w:hAnsi="Times New Roman" w:cs="Times New Roman"/>
              </w:rPr>
            </w:pPr>
          </w:p>
          <w:p w14:paraId="3ABC46F4" w14:textId="77777777" w:rsidR="008155A4" w:rsidRPr="00CB3DD8" w:rsidRDefault="008155A4" w:rsidP="00903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67D25483" w14:textId="77777777" w:rsidR="009032E3" w:rsidRPr="00CB3DD8" w:rsidRDefault="00B7676E" w:rsidP="009032E3">
            <w:pPr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The authors did not present any table in their work. The figure 1 is too small and could have been increased for the better. The presentation of the figure 2 is not all that visible especially the legends. </w:t>
            </w:r>
          </w:p>
          <w:p w14:paraId="4305D198" w14:textId="77777777" w:rsidR="00B7676E" w:rsidRPr="00CB3DD8" w:rsidRDefault="00B7676E" w:rsidP="009032E3">
            <w:pPr>
              <w:rPr>
                <w:rFonts w:ascii="Times New Roman" w:hAnsi="Times New Roman" w:cs="Times New Roman"/>
              </w:rPr>
            </w:pPr>
          </w:p>
          <w:p w14:paraId="63FAD4F5" w14:textId="55E087F4" w:rsidR="00B7676E" w:rsidRPr="00CB3DD8" w:rsidRDefault="004D6524" w:rsidP="004D6524">
            <w:pPr>
              <w:ind w:left="-14" w:hanging="810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            The author wanted reader</w:t>
            </w:r>
            <w:r w:rsidR="00465D30" w:rsidRPr="00CB3DD8">
              <w:rPr>
                <w:rFonts w:ascii="Times New Roman" w:hAnsi="Times New Roman" w:cs="Times New Roman"/>
              </w:rPr>
              <w:t>s</w:t>
            </w:r>
            <w:r w:rsidRPr="00CB3DD8">
              <w:rPr>
                <w:rFonts w:ascii="Times New Roman" w:hAnsi="Times New Roman" w:cs="Times New Roman"/>
              </w:rPr>
              <w:t xml:space="preserve"> to be able to visualize the </w:t>
            </w:r>
            <w:r w:rsidR="00465D30" w:rsidRPr="00CB3DD8">
              <w:rPr>
                <w:rFonts w:ascii="Times New Roman" w:hAnsi="Times New Roman" w:cs="Times New Roman"/>
              </w:rPr>
              <w:t>relationships/ differences</w:t>
            </w:r>
            <w:r w:rsidRPr="00CB3DD8">
              <w:rPr>
                <w:rFonts w:ascii="Times New Roman" w:hAnsi="Times New Roman" w:cs="Times New Roman"/>
              </w:rPr>
              <w:t xml:space="preserve"> in clients profits from single-sourcing and multisourcing. </w:t>
            </w:r>
          </w:p>
        </w:tc>
      </w:tr>
      <w:tr w:rsidR="009032E3" w:rsidRPr="00CB3DD8" w14:paraId="24298149" w14:textId="77777777" w:rsidTr="00A10C0C">
        <w:tc>
          <w:tcPr>
            <w:tcW w:w="3955" w:type="dxa"/>
          </w:tcPr>
          <w:p w14:paraId="3372E397" w14:textId="77777777" w:rsidR="009032E3" w:rsidRPr="00CB3DD8" w:rsidRDefault="000611B8" w:rsidP="009128B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>Conclusions</w:t>
            </w:r>
          </w:p>
          <w:p w14:paraId="5991D479" w14:textId="77777777" w:rsidR="000611B8" w:rsidRPr="00CB3DD8" w:rsidRDefault="00791F92" w:rsidP="000611B8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What did the author(s)</w:t>
            </w:r>
            <w:r w:rsidR="00EB5D50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learn</w:t>
            </w:r>
            <w:r w:rsidR="003479C5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overall</w:t>
            </w:r>
            <w:r w:rsidR="000611B8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?</w:t>
            </w:r>
          </w:p>
          <w:p w14:paraId="4A90FDC6" w14:textId="77777777" w:rsidR="008155A4" w:rsidRPr="00CB3DD8" w:rsidRDefault="008155A4" w:rsidP="009128BE">
            <w:pPr>
              <w:rPr>
                <w:rFonts w:ascii="Times New Roman" w:hAnsi="Times New Roman" w:cs="Times New Roman"/>
              </w:rPr>
            </w:pPr>
          </w:p>
          <w:p w14:paraId="37646A46" w14:textId="77777777" w:rsidR="008155A4" w:rsidRPr="00CB3DD8" w:rsidRDefault="008155A4" w:rsidP="009128BE">
            <w:pPr>
              <w:rPr>
                <w:rFonts w:ascii="Times New Roman" w:hAnsi="Times New Roman" w:cs="Times New Roman"/>
              </w:rPr>
            </w:pPr>
          </w:p>
          <w:p w14:paraId="224DD500" w14:textId="77777777" w:rsidR="00791F92" w:rsidRPr="00CB3DD8" w:rsidRDefault="00791F92" w:rsidP="009128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04BD4ADF" w14:textId="0B5FDF21" w:rsidR="009032E3" w:rsidRPr="00CB3DD8" w:rsidRDefault="00B92D25" w:rsidP="009032E3">
            <w:pPr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>1. If tasks are modular, then multisourcing performs no worse(and sometimes better) than single-sourcing.</w:t>
            </w:r>
          </w:p>
          <w:p w14:paraId="77FFA28B" w14:textId="77777777" w:rsidR="00BA1A17" w:rsidRPr="00CB3DD8" w:rsidRDefault="00BA1A17" w:rsidP="009032E3">
            <w:pPr>
              <w:rPr>
                <w:rFonts w:ascii="Times New Roman" w:hAnsi="Times New Roman" w:cs="Times New Roman"/>
              </w:rPr>
            </w:pPr>
          </w:p>
          <w:p w14:paraId="1EF1251D" w14:textId="41CCE27B" w:rsidR="00B92D25" w:rsidRPr="00CB3DD8" w:rsidRDefault="00B92D25" w:rsidP="009032E3">
            <w:pPr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 xml:space="preserve">2. Single sourcing performs well on integrated tasks when the VPM-revenue alignment is high(low) in vendor (client) effort and when project revenue is easily verified. </w:t>
            </w:r>
          </w:p>
        </w:tc>
      </w:tr>
      <w:tr w:rsidR="009032E3" w:rsidRPr="00CB3DD8" w14:paraId="51E8DC45" w14:textId="77777777" w:rsidTr="00A10C0C">
        <w:tc>
          <w:tcPr>
            <w:tcW w:w="3955" w:type="dxa"/>
          </w:tcPr>
          <w:p w14:paraId="67518663" w14:textId="77777777" w:rsidR="009032E3" w:rsidRPr="00CB3DD8" w:rsidRDefault="009128BE" w:rsidP="009128B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>Next Steps</w:t>
            </w:r>
          </w:p>
          <w:p w14:paraId="3D9D7EFF" w14:textId="77777777" w:rsidR="009128BE" w:rsidRPr="00CB3DD8" w:rsidRDefault="009128BE" w:rsidP="009128B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What </w:t>
            </w:r>
            <w:r w:rsidR="00EB5D50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is i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mpl</w:t>
            </w:r>
            <w:r w:rsidR="00EB5D50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ied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or propose</w:t>
            </w:r>
            <w:r w:rsidR="00EB5D50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d</w:t>
            </w: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for future study?</w:t>
            </w:r>
          </w:p>
          <w:p w14:paraId="5E1DE037" w14:textId="77777777" w:rsidR="009128BE" w:rsidRPr="00CB3DD8" w:rsidRDefault="009128BE" w:rsidP="009032E3">
            <w:pPr>
              <w:rPr>
                <w:rFonts w:ascii="Times New Roman" w:hAnsi="Times New Roman" w:cs="Times New Roman"/>
              </w:rPr>
            </w:pPr>
          </w:p>
          <w:p w14:paraId="3B2F872E" w14:textId="77777777" w:rsidR="008155A4" w:rsidRPr="00CB3DD8" w:rsidRDefault="008155A4" w:rsidP="009032E3">
            <w:pPr>
              <w:rPr>
                <w:rFonts w:ascii="Times New Roman" w:hAnsi="Times New Roman" w:cs="Times New Roman"/>
              </w:rPr>
            </w:pPr>
          </w:p>
          <w:p w14:paraId="2961CA73" w14:textId="77777777" w:rsidR="008155A4" w:rsidRPr="00CB3DD8" w:rsidRDefault="008155A4" w:rsidP="00903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27A07658" w14:textId="0B7959AB" w:rsidR="009032E3" w:rsidRPr="00CB3DD8" w:rsidRDefault="00B52E4B" w:rsidP="00B52E4B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  <w:color w:val="000000"/>
              </w:rPr>
              <w:t>The authors proposed that f</w:t>
            </w:r>
            <w:r w:rsidRPr="00CB3DD8">
              <w:rPr>
                <w:rFonts w:ascii="Times New Roman" w:hAnsi="Times New Roman" w:cs="Times New Roman"/>
                <w:color w:val="000000"/>
              </w:rPr>
              <w:t>uture research should consider hybrid systems that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>incorporate both SS and MS. The exploration of many other unanswered questions including a detailed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>model of client risk aversion will also increase our understanding of the various outsourcing modes</w:t>
            </w:r>
          </w:p>
        </w:tc>
      </w:tr>
      <w:tr w:rsidR="009032E3" w:rsidRPr="00CB3DD8" w14:paraId="5F46EF0F" w14:textId="77777777" w:rsidTr="00805FA9">
        <w:trPr>
          <w:trHeight w:val="1448"/>
        </w:trPr>
        <w:tc>
          <w:tcPr>
            <w:tcW w:w="3955" w:type="dxa"/>
          </w:tcPr>
          <w:p w14:paraId="6D5715C9" w14:textId="77777777" w:rsidR="009032E3" w:rsidRPr="00CB3DD8" w:rsidRDefault="009128BE" w:rsidP="009128B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>Significance</w:t>
            </w:r>
          </w:p>
          <w:p w14:paraId="40EBAE3D" w14:textId="77777777" w:rsidR="009128BE" w:rsidRPr="00CB3DD8" w:rsidRDefault="003479C5" w:rsidP="009032E3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>Why does this</w:t>
            </w:r>
            <w:r w:rsidR="009128BE" w:rsidRPr="00CB3DD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research matter?</w:t>
            </w:r>
          </w:p>
          <w:p w14:paraId="2C883B7E" w14:textId="77777777" w:rsidR="009128BE" w:rsidRPr="00CB3DD8" w:rsidRDefault="009128BE" w:rsidP="009032E3">
            <w:pPr>
              <w:rPr>
                <w:rFonts w:ascii="Times New Roman" w:hAnsi="Times New Roman" w:cs="Times New Roman"/>
              </w:rPr>
            </w:pPr>
          </w:p>
          <w:p w14:paraId="015F28BE" w14:textId="77777777" w:rsidR="008155A4" w:rsidRPr="00CB3DD8" w:rsidRDefault="008155A4" w:rsidP="009032E3">
            <w:pPr>
              <w:rPr>
                <w:rFonts w:ascii="Times New Roman" w:hAnsi="Times New Roman" w:cs="Times New Roman"/>
              </w:rPr>
            </w:pPr>
          </w:p>
          <w:p w14:paraId="3AAABDF1" w14:textId="77777777" w:rsidR="008155A4" w:rsidRPr="00CB3DD8" w:rsidRDefault="008155A4" w:rsidP="00903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434593E1" w14:textId="33A945A7" w:rsidR="009032E3" w:rsidRPr="00CB3DD8" w:rsidRDefault="0040114E" w:rsidP="0040114E">
            <w:pPr>
              <w:jc w:val="both"/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  <w:color w:val="000000"/>
              </w:rPr>
              <w:t>T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his paper 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matters because it </w:t>
            </w:r>
            <w:r w:rsidRPr="00CB3DD8">
              <w:rPr>
                <w:rFonts w:ascii="Times New Roman" w:hAnsi="Times New Roman" w:cs="Times New Roman"/>
                <w:color w:val="000000"/>
              </w:rPr>
              <w:t>adds to the growing body of work on multisourcing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by 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CB3DD8">
              <w:rPr>
                <w:rFonts w:ascii="Times New Roman" w:hAnsi="Times New Roman" w:cs="Times New Roman"/>
                <w:color w:val="000000"/>
              </w:rPr>
              <w:t>develo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ped </w:t>
            </w:r>
            <w:r w:rsidRPr="00CB3DD8">
              <w:rPr>
                <w:rFonts w:ascii="Times New Roman" w:hAnsi="Times New Roman" w:cs="Times New Roman"/>
                <w:color w:val="000000"/>
              </w:rPr>
              <w:t>theoretical model that provides answers to important yet previously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>unanswered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>questions about comparisons between single- and multisourcing in the presence of revenue–metric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>misalignment, task</w:t>
            </w:r>
            <w:r w:rsidRPr="00CB3DD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B3DD8">
              <w:rPr>
                <w:rFonts w:ascii="Times New Roman" w:hAnsi="Times New Roman" w:cs="Times New Roman"/>
                <w:color w:val="000000"/>
              </w:rPr>
              <w:t>modularity, risk aversion, and task interdependence costs.</w:t>
            </w:r>
          </w:p>
        </w:tc>
      </w:tr>
      <w:tr w:rsidR="009032E3" w:rsidRPr="00CB3DD8" w14:paraId="52B17450" w14:textId="77777777" w:rsidTr="00CB3DD8">
        <w:trPr>
          <w:trHeight w:val="890"/>
        </w:trPr>
        <w:tc>
          <w:tcPr>
            <w:tcW w:w="3955" w:type="dxa"/>
          </w:tcPr>
          <w:p w14:paraId="02F8B9F9" w14:textId="77777777" w:rsidR="00805FA9" w:rsidRPr="00CB3DD8" w:rsidRDefault="00805FA9" w:rsidP="009032E3">
            <w:pPr>
              <w:rPr>
                <w:rFonts w:ascii="Times New Roman" w:hAnsi="Times New Roman" w:cs="Times New Roman"/>
                <w:b/>
              </w:rPr>
            </w:pPr>
          </w:p>
          <w:p w14:paraId="69FDF3A9" w14:textId="579CBDC1" w:rsidR="00780633" w:rsidRPr="00CB3DD8" w:rsidRDefault="00EB5D50" w:rsidP="009032E3">
            <w:pPr>
              <w:rPr>
                <w:rFonts w:ascii="Times New Roman" w:hAnsi="Times New Roman" w:cs="Times New Roman"/>
                <w:b/>
              </w:rPr>
            </w:pPr>
            <w:r w:rsidRPr="00CB3DD8">
              <w:rPr>
                <w:rFonts w:ascii="Times New Roman" w:hAnsi="Times New Roman" w:cs="Times New Roman"/>
                <w:b/>
              </w:rPr>
              <w:t xml:space="preserve">My </w:t>
            </w:r>
            <w:r w:rsidR="009128BE" w:rsidRPr="00CB3DD8">
              <w:rPr>
                <w:rFonts w:ascii="Times New Roman" w:hAnsi="Times New Roman" w:cs="Times New Roman"/>
                <w:b/>
              </w:rPr>
              <w:t>Thoughts &amp; Questions</w:t>
            </w:r>
          </w:p>
          <w:p w14:paraId="4E7994E7" w14:textId="77777777" w:rsidR="00780633" w:rsidRPr="00CB3DD8" w:rsidRDefault="00780633" w:rsidP="00903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29523B16" w14:textId="67CBED16" w:rsidR="009032E3" w:rsidRPr="00CB3DD8" w:rsidRDefault="0040114E" w:rsidP="009032E3">
            <w:pPr>
              <w:rPr>
                <w:rFonts w:ascii="Times New Roman" w:hAnsi="Times New Roman" w:cs="Times New Roman"/>
              </w:rPr>
            </w:pPr>
            <w:r w:rsidRPr="00CB3DD8">
              <w:rPr>
                <w:rFonts w:ascii="Times New Roman" w:hAnsi="Times New Roman" w:cs="Times New Roman"/>
              </w:rPr>
              <w:t>I think this paper is good but I was expecting a more feasible dataset used for the analysis. The author could have collected his own data to verify with the use to the existing dataset as a robustness check.</w:t>
            </w:r>
          </w:p>
        </w:tc>
      </w:tr>
    </w:tbl>
    <w:p w14:paraId="7CC7F92D" w14:textId="226C98AD" w:rsidR="00AA3ADC" w:rsidRDefault="00AA3ADC" w:rsidP="00B51C6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A3ADC" w:rsidSect="00903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2B716" w14:textId="77777777" w:rsidR="00690CF2" w:rsidRDefault="00690CF2" w:rsidP="00B51C67">
      <w:pPr>
        <w:spacing w:after="0" w:line="240" w:lineRule="auto"/>
      </w:pPr>
      <w:r>
        <w:separator/>
      </w:r>
    </w:p>
  </w:endnote>
  <w:endnote w:type="continuationSeparator" w:id="0">
    <w:p w14:paraId="53972BBD" w14:textId="77777777" w:rsidR="00690CF2" w:rsidRDefault="00690CF2" w:rsidP="00B5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2A09" w14:textId="77777777" w:rsidR="00690CF2" w:rsidRDefault="00690CF2" w:rsidP="00B51C67">
      <w:pPr>
        <w:spacing w:after="0" w:line="240" w:lineRule="auto"/>
      </w:pPr>
      <w:r>
        <w:separator/>
      </w:r>
    </w:p>
  </w:footnote>
  <w:footnote w:type="continuationSeparator" w:id="0">
    <w:p w14:paraId="11FBE662" w14:textId="77777777" w:rsidR="00690CF2" w:rsidRDefault="00690CF2" w:rsidP="00B51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E3"/>
    <w:rsid w:val="000315A7"/>
    <w:rsid w:val="000611B8"/>
    <w:rsid w:val="00065A65"/>
    <w:rsid w:val="00073C69"/>
    <w:rsid w:val="000B62E2"/>
    <w:rsid w:val="00117202"/>
    <w:rsid w:val="001D56ED"/>
    <w:rsid w:val="002E1A83"/>
    <w:rsid w:val="003479C5"/>
    <w:rsid w:val="00360A1A"/>
    <w:rsid w:val="00382160"/>
    <w:rsid w:val="0040114E"/>
    <w:rsid w:val="00413D50"/>
    <w:rsid w:val="00465D30"/>
    <w:rsid w:val="004942B4"/>
    <w:rsid w:val="004A4E20"/>
    <w:rsid w:val="004D6524"/>
    <w:rsid w:val="004F30CE"/>
    <w:rsid w:val="006022A0"/>
    <w:rsid w:val="00666C44"/>
    <w:rsid w:val="006802DC"/>
    <w:rsid w:val="00690CF2"/>
    <w:rsid w:val="006E0FBB"/>
    <w:rsid w:val="00752C24"/>
    <w:rsid w:val="00780633"/>
    <w:rsid w:val="00791F92"/>
    <w:rsid w:val="00805FA9"/>
    <w:rsid w:val="00814460"/>
    <w:rsid w:val="008155A4"/>
    <w:rsid w:val="008B3F49"/>
    <w:rsid w:val="009032E3"/>
    <w:rsid w:val="009128BE"/>
    <w:rsid w:val="00936D71"/>
    <w:rsid w:val="00A00C36"/>
    <w:rsid w:val="00A10C0C"/>
    <w:rsid w:val="00A42ED2"/>
    <w:rsid w:val="00A74043"/>
    <w:rsid w:val="00AA3ADC"/>
    <w:rsid w:val="00AC6626"/>
    <w:rsid w:val="00B42BF6"/>
    <w:rsid w:val="00B51C67"/>
    <w:rsid w:val="00B52E4B"/>
    <w:rsid w:val="00B7676E"/>
    <w:rsid w:val="00B92D25"/>
    <w:rsid w:val="00BA1A17"/>
    <w:rsid w:val="00C62349"/>
    <w:rsid w:val="00CB3DD8"/>
    <w:rsid w:val="00CC6927"/>
    <w:rsid w:val="00CF1622"/>
    <w:rsid w:val="00D017C1"/>
    <w:rsid w:val="00DF7D0B"/>
    <w:rsid w:val="00E91C1B"/>
    <w:rsid w:val="00EA5CBC"/>
    <w:rsid w:val="00EB5D50"/>
    <w:rsid w:val="00F00587"/>
    <w:rsid w:val="00F416A3"/>
    <w:rsid w:val="00F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95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3A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67"/>
  </w:style>
  <w:style w:type="paragraph" w:styleId="Footer">
    <w:name w:val="footer"/>
    <w:basedOn w:val="Normal"/>
    <w:link w:val="FooterChar"/>
    <w:uiPriority w:val="99"/>
    <w:unhideWhenUsed/>
    <w:rsid w:val="00B5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2019-02-21T15:23:00Z</dcterms:created>
  <dcterms:modified xsi:type="dcterms:W3CDTF">2020-11-03T19:55:00Z</dcterms:modified>
</cp:coreProperties>
</file>