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8966" w14:textId="247BBB5F" w:rsidR="00C15323" w:rsidRPr="00C15323" w:rsidRDefault="00C15323" w:rsidP="00C15323">
      <w:pPr>
        <w:widowControl/>
        <w:shd w:val="clear" w:color="auto" w:fill="FFFFFF"/>
        <w:spacing w:before="100" w:beforeAutospacing="1" w:after="240" w:line="510" w:lineRule="atLeast"/>
        <w:jc w:val="left"/>
        <w:outlineLvl w:val="0"/>
        <w:rPr>
          <w:rFonts w:ascii="Times New Roman" w:eastAsia="宋体" w:hAnsi="Times New Roman" w:cs="Times New Roman"/>
          <w:b/>
          <w:bCs/>
          <w:color w:val="0F1115"/>
          <w:kern w:val="36"/>
          <w:sz w:val="28"/>
          <w:szCs w:val="28"/>
        </w:rPr>
      </w:pPr>
      <w:r w:rsidRPr="00C15323">
        <w:rPr>
          <w:rFonts w:ascii="Times New Roman" w:eastAsia="宋体" w:hAnsi="Times New Roman" w:cs="Times New Roman"/>
          <w:b/>
          <w:bCs/>
          <w:color w:val="0F1115"/>
          <w:kern w:val="36"/>
          <w:sz w:val="28"/>
          <w:szCs w:val="28"/>
        </w:rPr>
        <w:t>Group Assignment: Carbon Futures Contract Design</w:t>
      </w:r>
    </w:p>
    <w:p w14:paraId="6780D130" w14:textId="765D03AA" w:rsidR="00C15323" w:rsidRPr="00A00500" w:rsidRDefault="00C15323" w:rsidP="00A00500">
      <w:pPr>
        <w:pStyle w:val="a4"/>
        <w:widowControl/>
        <w:numPr>
          <w:ilvl w:val="0"/>
          <w:numId w:val="9"/>
        </w:numPr>
        <w:shd w:val="clear" w:color="auto" w:fill="FFFFFF"/>
        <w:spacing w:before="480" w:after="240" w:line="480" w:lineRule="atLeast"/>
        <w:ind w:firstLineChars="0"/>
        <w:jc w:val="left"/>
        <w:outlineLvl w:val="1"/>
        <w:rPr>
          <w:rFonts w:ascii="Times New Roman" w:eastAsia="宋体" w:hAnsi="Times New Roman" w:cs="Times New Roman"/>
          <w:b/>
          <w:bCs/>
          <w:color w:val="0F1115"/>
          <w:kern w:val="0"/>
          <w:sz w:val="24"/>
          <w:szCs w:val="24"/>
        </w:rPr>
      </w:pPr>
      <w:r w:rsidRPr="00A00500">
        <w:rPr>
          <w:rFonts w:ascii="Times New Roman" w:eastAsia="宋体" w:hAnsi="Times New Roman" w:cs="Times New Roman"/>
          <w:b/>
          <w:bCs/>
          <w:color w:val="0F1115"/>
          <w:kern w:val="0"/>
          <w:sz w:val="24"/>
          <w:szCs w:val="24"/>
        </w:rPr>
        <w:t>Project Title</w:t>
      </w:r>
    </w:p>
    <w:p w14:paraId="53E6150C"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Designing Carbon Futures Contracts for the Guangzhou Futures Exchange: A Collaborative Research Project</w:t>
      </w:r>
    </w:p>
    <w:p w14:paraId="3CC25BCE" w14:textId="16856CBA" w:rsidR="00C15323" w:rsidRPr="00C15323" w:rsidRDefault="00C15323" w:rsidP="00C15323">
      <w:pPr>
        <w:widowControl/>
        <w:shd w:val="clear" w:color="auto" w:fill="FFFFFF"/>
        <w:spacing w:before="480" w:after="240" w:line="480" w:lineRule="atLeast"/>
        <w:jc w:val="left"/>
        <w:outlineLvl w:val="1"/>
        <w:rPr>
          <w:rFonts w:ascii="Times New Roman" w:eastAsia="宋体" w:hAnsi="Times New Roman" w:cs="Times New Roman"/>
          <w:b/>
          <w:bCs/>
          <w:color w:val="0F1115"/>
          <w:kern w:val="0"/>
          <w:sz w:val="24"/>
          <w:szCs w:val="24"/>
        </w:rPr>
      </w:pPr>
      <w:r w:rsidRPr="00C15323">
        <w:rPr>
          <w:rFonts w:ascii="Times New Roman" w:eastAsia="宋体" w:hAnsi="Times New Roman" w:cs="Times New Roman"/>
          <w:b/>
          <w:bCs/>
          <w:color w:val="0F1115"/>
          <w:kern w:val="0"/>
          <w:sz w:val="24"/>
          <w:szCs w:val="24"/>
        </w:rPr>
        <w:t xml:space="preserve">II. Project Background </w:t>
      </w:r>
    </w:p>
    <w:p w14:paraId="3AA882B4" w14:textId="77777777" w:rsidR="00547DA9"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Since its official establishment in 2021, the Guangzhou Futures Exchange (GFEX) has consistently positioned itself around serving green development, focusing on key innovation areas such as new energy, new materials, and carbon emissions. It has listed 10 futures and options products, including industrial silicon, lithium carbonate, polysilicon, platinum, and palladium, and has initially built a domestic new energy metals futures sector.</w:t>
      </w:r>
    </w:p>
    <w:p w14:paraId="566C5F00" w14:textId="77777777" w:rsidR="00547DA9"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 xml:space="preserve"> Carbon emission allowance futures are a major strategic product for GFEX in serving green development. GFEX has basically completed the design plan for the carbon emission allowance futures contract system and will next steadily advance the listing of carbon emission allowance futures.</w:t>
      </w:r>
    </w:p>
    <w:p w14:paraId="0748BDA3" w14:textId="6DAB0F07" w:rsidR="00C15323" w:rsidRPr="00C15323"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 xml:space="preserve"> At the same time, the national carbon emissions trading market is further expanding from the four industries of power generation, steel, cement, and aluminum smelting to high-emission industries such as petrochemicals and chemicals, bringing approximately 80% of national CO2 emissions under effective control. This market expansion provides rich application scenarios and urgent practical demand for carbon futures contract design.</w:t>
      </w:r>
    </w:p>
    <w:p w14:paraId="0CBC573A" w14:textId="7F853AF0" w:rsidR="00C15323" w:rsidRPr="00A00500" w:rsidRDefault="00C15323" w:rsidP="00A00500">
      <w:pPr>
        <w:pStyle w:val="a4"/>
        <w:widowControl/>
        <w:numPr>
          <w:ilvl w:val="0"/>
          <w:numId w:val="9"/>
        </w:numPr>
        <w:shd w:val="clear" w:color="auto" w:fill="FFFFFF"/>
        <w:spacing w:before="480" w:after="240" w:line="480" w:lineRule="atLeast"/>
        <w:ind w:firstLineChars="0"/>
        <w:jc w:val="left"/>
        <w:outlineLvl w:val="1"/>
        <w:rPr>
          <w:rFonts w:ascii="Times New Roman" w:eastAsia="宋体" w:hAnsi="Times New Roman" w:cs="Times New Roman"/>
          <w:b/>
          <w:bCs/>
          <w:color w:val="0F1115"/>
          <w:kern w:val="0"/>
          <w:sz w:val="24"/>
          <w:szCs w:val="24"/>
        </w:rPr>
      </w:pPr>
      <w:r w:rsidRPr="00A00500">
        <w:rPr>
          <w:rFonts w:ascii="Times New Roman" w:eastAsia="宋体" w:hAnsi="Times New Roman" w:cs="Times New Roman"/>
          <w:b/>
          <w:bCs/>
          <w:color w:val="0F1115"/>
          <w:kern w:val="0"/>
          <w:sz w:val="24"/>
          <w:szCs w:val="24"/>
        </w:rPr>
        <w:t>. Project Tasks</w:t>
      </w:r>
    </w:p>
    <w:p w14:paraId="306B0E4F" w14:textId="14974AF6"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Core Task:</w:t>
      </w:r>
      <w:r w:rsidRPr="00C15323">
        <w:rPr>
          <w:rFonts w:ascii="Times New Roman" w:eastAsia="宋体" w:hAnsi="Times New Roman" w:cs="Times New Roman"/>
          <w:color w:val="0F1115"/>
          <w:kern w:val="0"/>
          <w:sz w:val="24"/>
          <w:szCs w:val="24"/>
        </w:rPr>
        <w:t xml:space="preserve"> In groups (no more than 5 students per group), design a carbon futures contract for the Guangzhou Futures Exchange, </w:t>
      </w:r>
      <w:r w:rsidRPr="007F321F">
        <w:rPr>
          <w:rFonts w:ascii="Times New Roman" w:eastAsia="宋体" w:hAnsi="Times New Roman" w:cs="Times New Roman"/>
          <w:color w:val="EE0000"/>
          <w:kern w:val="0"/>
          <w:sz w:val="24"/>
          <w:szCs w:val="24"/>
        </w:rPr>
        <w:t>write a contract design document, and keep the length to no more than 2,000 words</w:t>
      </w:r>
      <w:r w:rsidR="00547DA9" w:rsidRPr="007F321F">
        <w:rPr>
          <w:rFonts w:ascii="Times New Roman" w:eastAsia="宋体" w:hAnsi="Times New Roman" w:cs="Times New Roman"/>
          <w:color w:val="EE0000"/>
          <w:kern w:val="0"/>
          <w:sz w:val="24"/>
          <w:szCs w:val="24"/>
        </w:rPr>
        <w:t xml:space="preserve"> or 5 pages</w:t>
      </w:r>
      <w:r w:rsidRPr="007F321F">
        <w:rPr>
          <w:rFonts w:ascii="Times New Roman" w:eastAsia="宋体" w:hAnsi="Times New Roman" w:cs="Times New Roman"/>
          <w:color w:val="EE0000"/>
          <w:kern w:val="0"/>
          <w:sz w:val="24"/>
          <w:szCs w:val="24"/>
        </w:rPr>
        <w:t>.</w:t>
      </w:r>
    </w:p>
    <w:p w14:paraId="1610B60F"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Optional Alternative Directions:</w:t>
      </w:r>
      <w:r w:rsidRPr="00C15323">
        <w:rPr>
          <w:rFonts w:ascii="Times New Roman" w:eastAsia="宋体" w:hAnsi="Times New Roman" w:cs="Times New Roman"/>
          <w:color w:val="0F1115"/>
          <w:kern w:val="0"/>
          <w:sz w:val="24"/>
          <w:szCs w:val="24"/>
        </w:rPr>
        <w:t xml:space="preserve"> If another type of futures product is chosen, the proposal must clearly justify the topic selection. Optional directions include, but are not limited to:</w:t>
      </w:r>
    </w:p>
    <w:p w14:paraId="1A250A42" w14:textId="77777777" w:rsidR="00C15323" w:rsidRPr="00C15323" w:rsidRDefault="00C15323" w:rsidP="00C15323">
      <w:pPr>
        <w:widowControl/>
        <w:numPr>
          <w:ilvl w:val="0"/>
          <w:numId w:val="2"/>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Electricity futures (GFEX has basically completed the design plan for electricity contract rules)</w:t>
      </w:r>
    </w:p>
    <w:p w14:paraId="1A075148" w14:textId="77777777" w:rsidR="00C15323" w:rsidRPr="00C15323" w:rsidRDefault="00C15323" w:rsidP="00C15323">
      <w:pPr>
        <w:widowControl/>
        <w:numPr>
          <w:ilvl w:val="0"/>
          <w:numId w:val="2"/>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lastRenderedPageBreak/>
        <w:t>Weather derivatives (GFEX has released a series of temperature indices for the Guangdong–Hong Kong–Macao Greater Bay Area and the Yangtze River Delta)</w:t>
      </w:r>
    </w:p>
    <w:p w14:paraId="7CE19C53" w14:textId="32AB9446" w:rsidR="00C15323" w:rsidRPr="00A00500" w:rsidRDefault="00547DA9" w:rsidP="00A00500">
      <w:pPr>
        <w:pStyle w:val="a4"/>
        <w:widowControl/>
        <w:numPr>
          <w:ilvl w:val="0"/>
          <w:numId w:val="9"/>
        </w:numPr>
        <w:shd w:val="clear" w:color="auto" w:fill="FFFFFF"/>
        <w:spacing w:before="480" w:after="240" w:line="480" w:lineRule="atLeast"/>
        <w:ind w:firstLineChars="0"/>
        <w:jc w:val="left"/>
        <w:outlineLvl w:val="1"/>
        <w:rPr>
          <w:rFonts w:ascii="Times New Roman" w:eastAsia="宋体" w:hAnsi="Times New Roman" w:cs="Times New Roman"/>
          <w:b/>
          <w:bCs/>
          <w:color w:val="0F1115"/>
          <w:kern w:val="0"/>
          <w:sz w:val="24"/>
          <w:szCs w:val="24"/>
        </w:rPr>
      </w:pPr>
      <w:r w:rsidRPr="00A00500">
        <w:rPr>
          <w:rFonts w:ascii="Times New Roman" w:eastAsia="宋体" w:hAnsi="Times New Roman" w:cs="Times New Roman"/>
          <w:b/>
          <w:bCs/>
          <w:color w:val="0F1115"/>
          <w:kern w:val="0"/>
          <w:sz w:val="24"/>
          <w:szCs w:val="24"/>
        </w:rPr>
        <w:t>Suggested</w:t>
      </w:r>
      <w:r w:rsidR="00C15323" w:rsidRPr="00A00500">
        <w:rPr>
          <w:rFonts w:ascii="Times New Roman" w:eastAsia="宋体" w:hAnsi="Times New Roman" w:cs="Times New Roman"/>
          <w:b/>
          <w:bCs/>
          <w:color w:val="0F1115"/>
          <w:kern w:val="0"/>
          <w:sz w:val="24"/>
          <w:szCs w:val="24"/>
        </w:rPr>
        <w:t xml:space="preserve"> Structure of the Contract Design Document</w:t>
      </w:r>
    </w:p>
    <w:p w14:paraId="763724BE"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The contract design document should include the following core modules:</w:t>
      </w:r>
    </w:p>
    <w:p w14:paraId="3C899252" w14:textId="4BFE6881"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1</w:t>
      </w:r>
      <w:r w:rsidR="00A00500">
        <w:rPr>
          <w:rFonts w:ascii="Times New Roman" w:eastAsia="宋体" w:hAnsi="Times New Roman" w:cs="Times New Roman"/>
          <w:b/>
          <w:bCs/>
          <w:color w:val="0F1115"/>
          <w:kern w:val="0"/>
          <w:sz w:val="24"/>
          <w:szCs w:val="24"/>
        </w:rPr>
        <w:t>)</w:t>
      </w:r>
      <w:r w:rsidRPr="00C15323">
        <w:rPr>
          <w:rFonts w:ascii="Times New Roman" w:eastAsia="宋体" w:hAnsi="Times New Roman" w:cs="Times New Roman"/>
          <w:b/>
          <w:bCs/>
          <w:color w:val="0F1115"/>
          <w:kern w:val="0"/>
          <w:sz w:val="24"/>
          <w:szCs w:val="24"/>
        </w:rPr>
        <w:t>. Underlying Asset and Trading Product</w:t>
      </w:r>
    </w:p>
    <w:p w14:paraId="04BF3307" w14:textId="4F4FDCFD" w:rsidR="00C15323" w:rsidRPr="00C15323"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7B5BDD">
        <w:rPr>
          <w:rFonts w:ascii="Times New Roman" w:eastAsia="宋体" w:hAnsi="Times New Roman" w:cs="Times New Roman"/>
          <w:color w:val="EE0000"/>
          <w:kern w:val="0"/>
          <w:sz w:val="24"/>
          <w:szCs w:val="24"/>
        </w:rPr>
        <w:t>Clearly specify the underlying asset</w:t>
      </w:r>
      <w:r w:rsidRPr="00C15323">
        <w:rPr>
          <w:rFonts w:ascii="Times New Roman" w:eastAsia="宋体" w:hAnsi="Times New Roman" w:cs="Times New Roman"/>
          <w:color w:val="0F1115"/>
          <w:kern w:val="0"/>
          <w:sz w:val="24"/>
          <w:szCs w:val="24"/>
        </w:rPr>
        <w:t xml:space="preserve"> (</w:t>
      </w:r>
      <w:r w:rsidR="00713F12" w:rsidRPr="00713F12">
        <w:rPr>
          <w:rFonts w:ascii="Times New Roman" w:eastAsia="宋体" w:hAnsi="Times New Roman" w:cs="Times New Roman"/>
          <w:color w:val="0F1115"/>
          <w:kern w:val="0"/>
          <w:sz w:val="24"/>
          <w:szCs w:val="24"/>
        </w:rPr>
        <w:t>with the underlying asset being China Emission Allowances, CEA, or Chinese Certified Emission Reduction, CCER</w:t>
      </w:r>
      <w:r w:rsidRPr="00C15323">
        <w:rPr>
          <w:rFonts w:ascii="Times New Roman" w:eastAsia="宋体" w:hAnsi="Times New Roman" w:cs="Times New Roman"/>
          <w:color w:val="0F1115"/>
          <w:kern w:val="0"/>
          <w:sz w:val="24"/>
          <w:szCs w:val="24"/>
        </w:rPr>
        <w:t>) and justify the choice. It is necessary to explain the homogeneity, price volatility characteristics, and market potential of the underlying asset. Based on international experience, EU carbon futures use 1,000 EUAs as one lot, with each EUA representing the right to emit one metric ton of CO2. China’s carbon futures design needs to determine the trading unit based on the allowance characteristics and trading practices of the national carbon market.</w:t>
      </w:r>
    </w:p>
    <w:p w14:paraId="361541D9" w14:textId="79FBFC18"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2</w:t>
      </w:r>
      <w:r w:rsidR="00A00500">
        <w:rPr>
          <w:rFonts w:ascii="Times New Roman" w:eastAsia="宋体" w:hAnsi="Times New Roman" w:cs="Times New Roman"/>
          <w:b/>
          <w:bCs/>
          <w:color w:val="0F1115"/>
          <w:kern w:val="0"/>
          <w:sz w:val="24"/>
          <w:szCs w:val="24"/>
        </w:rPr>
        <w:t>)</w:t>
      </w:r>
      <w:r w:rsidRPr="00C15323">
        <w:rPr>
          <w:rFonts w:ascii="Times New Roman" w:eastAsia="宋体" w:hAnsi="Times New Roman" w:cs="Times New Roman"/>
          <w:b/>
          <w:bCs/>
          <w:color w:val="0F1115"/>
          <w:kern w:val="0"/>
          <w:sz w:val="24"/>
          <w:szCs w:val="24"/>
        </w:rPr>
        <w:t>. Core Contract Terms</w:t>
      </w:r>
    </w:p>
    <w:p w14:paraId="688C0569"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Present in the form of a standardized contract table, including at least: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2889"/>
        <w:gridCol w:w="2792"/>
      </w:tblGrid>
      <w:tr w:rsidR="00A00500" w:rsidRPr="00A00500" w14:paraId="160C5818" w14:textId="77777777" w:rsidTr="00A00500">
        <w:trPr>
          <w:tblHeader/>
        </w:trPr>
        <w:tc>
          <w:tcPr>
            <w:tcW w:w="1576" w:type="pct"/>
            <w:tcMar>
              <w:top w:w="150" w:type="dxa"/>
              <w:left w:w="0" w:type="dxa"/>
              <w:bottom w:w="150" w:type="dxa"/>
              <w:right w:w="240" w:type="dxa"/>
            </w:tcMar>
            <w:vAlign w:val="center"/>
            <w:hideMark/>
          </w:tcPr>
          <w:p w14:paraId="5EB87658"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Term</w:t>
            </w:r>
          </w:p>
        </w:tc>
        <w:tc>
          <w:tcPr>
            <w:tcW w:w="1741" w:type="pct"/>
            <w:tcMar>
              <w:top w:w="150" w:type="dxa"/>
              <w:left w:w="240" w:type="dxa"/>
              <w:bottom w:w="150" w:type="dxa"/>
              <w:right w:w="240" w:type="dxa"/>
            </w:tcMar>
            <w:vAlign w:val="center"/>
            <w:hideMark/>
          </w:tcPr>
          <w:p w14:paraId="65A0E8B4"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Design Content</w:t>
            </w:r>
          </w:p>
        </w:tc>
        <w:tc>
          <w:tcPr>
            <w:tcW w:w="1683" w:type="pct"/>
            <w:tcMar>
              <w:top w:w="150" w:type="dxa"/>
              <w:left w:w="240" w:type="dxa"/>
              <w:bottom w:w="150" w:type="dxa"/>
              <w:right w:w="240" w:type="dxa"/>
            </w:tcMar>
            <w:vAlign w:val="center"/>
            <w:hideMark/>
          </w:tcPr>
          <w:p w14:paraId="690C4051"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Design Basis</w:t>
            </w:r>
          </w:p>
        </w:tc>
      </w:tr>
      <w:tr w:rsidR="00A00500" w:rsidRPr="00A00500" w14:paraId="7C68BD42" w14:textId="77777777" w:rsidTr="00A00500">
        <w:tc>
          <w:tcPr>
            <w:tcW w:w="1576" w:type="pct"/>
            <w:tcMar>
              <w:top w:w="150" w:type="dxa"/>
              <w:left w:w="0" w:type="dxa"/>
              <w:bottom w:w="150" w:type="dxa"/>
              <w:right w:w="240" w:type="dxa"/>
            </w:tcMar>
            <w:vAlign w:val="center"/>
            <w:hideMark/>
          </w:tcPr>
          <w:p w14:paraId="729C3D13"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Trading product and code</w:t>
            </w:r>
          </w:p>
        </w:tc>
        <w:tc>
          <w:tcPr>
            <w:tcW w:w="1741" w:type="pct"/>
            <w:tcMar>
              <w:top w:w="150" w:type="dxa"/>
              <w:left w:w="240" w:type="dxa"/>
              <w:bottom w:w="150" w:type="dxa"/>
              <w:right w:w="240" w:type="dxa"/>
            </w:tcMar>
            <w:vAlign w:val="center"/>
            <w:hideMark/>
          </w:tcPr>
          <w:p w14:paraId="6EDFF01F"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200BB699"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658FF5DE" w14:textId="77777777" w:rsidTr="00A00500">
        <w:tc>
          <w:tcPr>
            <w:tcW w:w="1576" w:type="pct"/>
            <w:tcMar>
              <w:top w:w="150" w:type="dxa"/>
              <w:left w:w="0" w:type="dxa"/>
              <w:bottom w:w="150" w:type="dxa"/>
              <w:right w:w="240" w:type="dxa"/>
            </w:tcMar>
            <w:vAlign w:val="center"/>
            <w:hideMark/>
          </w:tcPr>
          <w:p w14:paraId="59317739"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Trading unit</w:t>
            </w:r>
          </w:p>
        </w:tc>
        <w:tc>
          <w:tcPr>
            <w:tcW w:w="1741" w:type="pct"/>
            <w:tcMar>
              <w:top w:w="150" w:type="dxa"/>
              <w:left w:w="240" w:type="dxa"/>
              <w:bottom w:w="150" w:type="dxa"/>
              <w:right w:w="240" w:type="dxa"/>
            </w:tcMar>
            <w:vAlign w:val="center"/>
            <w:hideMark/>
          </w:tcPr>
          <w:p w14:paraId="59B7B56D"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77B7E9C4"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7B16DA38" w14:textId="77777777" w:rsidTr="00A00500">
        <w:tc>
          <w:tcPr>
            <w:tcW w:w="1576" w:type="pct"/>
            <w:tcMar>
              <w:top w:w="150" w:type="dxa"/>
              <w:left w:w="0" w:type="dxa"/>
              <w:bottom w:w="150" w:type="dxa"/>
              <w:right w:w="240" w:type="dxa"/>
            </w:tcMar>
            <w:vAlign w:val="center"/>
            <w:hideMark/>
          </w:tcPr>
          <w:p w14:paraId="5ED8349E"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Quotation unit</w:t>
            </w:r>
          </w:p>
        </w:tc>
        <w:tc>
          <w:tcPr>
            <w:tcW w:w="1741" w:type="pct"/>
            <w:tcMar>
              <w:top w:w="150" w:type="dxa"/>
              <w:left w:w="240" w:type="dxa"/>
              <w:bottom w:w="150" w:type="dxa"/>
              <w:right w:w="240" w:type="dxa"/>
            </w:tcMar>
            <w:vAlign w:val="center"/>
            <w:hideMark/>
          </w:tcPr>
          <w:p w14:paraId="27676B9D"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4598342F"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346D3BDE" w14:textId="77777777" w:rsidTr="00A00500">
        <w:tc>
          <w:tcPr>
            <w:tcW w:w="1576" w:type="pct"/>
            <w:tcMar>
              <w:top w:w="150" w:type="dxa"/>
              <w:left w:w="0" w:type="dxa"/>
              <w:bottom w:w="150" w:type="dxa"/>
              <w:right w:w="240" w:type="dxa"/>
            </w:tcMar>
            <w:vAlign w:val="center"/>
            <w:hideMark/>
          </w:tcPr>
          <w:p w14:paraId="36BE8CCE"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Minimum price fluctuation</w:t>
            </w:r>
          </w:p>
        </w:tc>
        <w:tc>
          <w:tcPr>
            <w:tcW w:w="1741" w:type="pct"/>
            <w:tcMar>
              <w:top w:w="150" w:type="dxa"/>
              <w:left w:w="240" w:type="dxa"/>
              <w:bottom w:w="150" w:type="dxa"/>
              <w:right w:w="240" w:type="dxa"/>
            </w:tcMar>
            <w:vAlign w:val="center"/>
            <w:hideMark/>
          </w:tcPr>
          <w:p w14:paraId="472C9B6B"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155336E2"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3726AB0B" w14:textId="77777777" w:rsidTr="00A00500">
        <w:tc>
          <w:tcPr>
            <w:tcW w:w="1576" w:type="pct"/>
            <w:tcMar>
              <w:top w:w="150" w:type="dxa"/>
              <w:left w:w="0" w:type="dxa"/>
              <w:bottom w:w="150" w:type="dxa"/>
              <w:right w:w="240" w:type="dxa"/>
            </w:tcMar>
            <w:vAlign w:val="center"/>
            <w:hideMark/>
          </w:tcPr>
          <w:p w14:paraId="5D9E7D3A"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Maximum daily price fluctuation limit</w:t>
            </w:r>
          </w:p>
        </w:tc>
        <w:tc>
          <w:tcPr>
            <w:tcW w:w="1741" w:type="pct"/>
            <w:tcMar>
              <w:top w:w="150" w:type="dxa"/>
              <w:left w:w="240" w:type="dxa"/>
              <w:bottom w:w="150" w:type="dxa"/>
              <w:right w:w="240" w:type="dxa"/>
            </w:tcMar>
            <w:vAlign w:val="center"/>
            <w:hideMark/>
          </w:tcPr>
          <w:p w14:paraId="24370226"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6D5A2ABE"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1C1E178E" w14:textId="77777777" w:rsidTr="00A00500">
        <w:tc>
          <w:tcPr>
            <w:tcW w:w="1576" w:type="pct"/>
            <w:tcMar>
              <w:top w:w="150" w:type="dxa"/>
              <w:left w:w="0" w:type="dxa"/>
              <w:bottom w:w="150" w:type="dxa"/>
              <w:right w:w="240" w:type="dxa"/>
            </w:tcMar>
            <w:vAlign w:val="center"/>
            <w:hideMark/>
          </w:tcPr>
          <w:p w14:paraId="617C8DC0"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Minimum trading margin</w:t>
            </w:r>
          </w:p>
        </w:tc>
        <w:tc>
          <w:tcPr>
            <w:tcW w:w="1741" w:type="pct"/>
            <w:tcMar>
              <w:top w:w="150" w:type="dxa"/>
              <w:left w:w="240" w:type="dxa"/>
              <w:bottom w:w="150" w:type="dxa"/>
              <w:right w:w="240" w:type="dxa"/>
            </w:tcMar>
            <w:vAlign w:val="center"/>
            <w:hideMark/>
          </w:tcPr>
          <w:p w14:paraId="0256E6E8"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5AE4F1D3"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19BB6ABF" w14:textId="77777777" w:rsidTr="00A00500">
        <w:tc>
          <w:tcPr>
            <w:tcW w:w="1576" w:type="pct"/>
            <w:tcMar>
              <w:top w:w="150" w:type="dxa"/>
              <w:left w:w="0" w:type="dxa"/>
              <w:bottom w:w="150" w:type="dxa"/>
              <w:right w:w="240" w:type="dxa"/>
            </w:tcMar>
            <w:vAlign w:val="center"/>
            <w:hideMark/>
          </w:tcPr>
          <w:p w14:paraId="497A5C48"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Contract months</w:t>
            </w:r>
          </w:p>
        </w:tc>
        <w:tc>
          <w:tcPr>
            <w:tcW w:w="1741" w:type="pct"/>
            <w:tcMar>
              <w:top w:w="150" w:type="dxa"/>
              <w:left w:w="240" w:type="dxa"/>
              <w:bottom w:w="150" w:type="dxa"/>
              <w:right w:w="240" w:type="dxa"/>
            </w:tcMar>
            <w:vAlign w:val="center"/>
            <w:hideMark/>
          </w:tcPr>
          <w:p w14:paraId="76330ABF"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1F30445D"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0F9D3D57" w14:textId="77777777" w:rsidTr="00A00500">
        <w:tc>
          <w:tcPr>
            <w:tcW w:w="1576" w:type="pct"/>
            <w:tcMar>
              <w:top w:w="150" w:type="dxa"/>
              <w:left w:w="0" w:type="dxa"/>
              <w:bottom w:w="150" w:type="dxa"/>
              <w:right w:w="240" w:type="dxa"/>
            </w:tcMar>
            <w:vAlign w:val="center"/>
            <w:hideMark/>
          </w:tcPr>
          <w:p w14:paraId="45FAD563"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Last trading day</w:t>
            </w:r>
          </w:p>
        </w:tc>
        <w:tc>
          <w:tcPr>
            <w:tcW w:w="1741" w:type="pct"/>
            <w:tcMar>
              <w:top w:w="150" w:type="dxa"/>
              <w:left w:w="240" w:type="dxa"/>
              <w:bottom w:w="150" w:type="dxa"/>
              <w:right w:w="240" w:type="dxa"/>
            </w:tcMar>
            <w:vAlign w:val="center"/>
            <w:hideMark/>
          </w:tcPr>
          <w:p w14:paraId="42D9130D"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1CBCBCA1"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602190FF" w14:textId="77777777" w:rsidTr="00A00500">
        <w:tc>
          <w:tcPr>
            <w:tcW w:w="1576" w:type="pct"/>
            <w:tcMar>
              <w:top w:w="150" w:type="dxa"/>
              <w:left w:w="0" w:type="dxa"/>
              <w:bottom w:w="150" w:type="dxa"/>
              <w:right w:w="240" w:type="dxa"/>
            </w:tcMar>
            <w:vAlign w:val="center"/>
            <w:hideMark/>
          </w:tcPr>
          <w:p w14:paraId="1E46E5B5"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lastRenderedPageBreak/>
              <w:t>Delivery method</w:t>
            </w:r>
          </w:p>
        </w:tc>
        <w:tc>
          <w:tcPr>
            <w:tcW w:w="1741" w:type="pct"/>
            <w:tcMar>
              <w:top w:w="150" w:type="dxa"/>
              <w:left w:w="240" w:type="dxa"/>
              <w:bottom w:w="150" w:type="dxa"/>
              <w:right w:w="240" w:type="dxa"/>
            </w:tcMar>
            <w:vAlign w:val="center"/>
            <w:hideMark/>
          </w:tcPr>
          <w:p w14:paraId="20E725F3"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5EA7A2E8"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r w:rsidR="00A00500" w:rsidRPr="00A00500" w14:paraId="26F33E85" w14:textId="77777777" w:rsidTr="00A00500">
        <w:tc>
          <w:tcPr>
            <w:tcW w:w="1576" w:type="pct"/>
            <w:tcMar>
              <w:top w:w="150" w:type="dxa"/>
              <w:left w:w="0" w:type="dxa"/>
              <w:bottom w:w="150" w:type="dxa"/>
              <w:right w:w="240" w:type="dxa"/>
            </w:tcMar>
            <w:vAlign w:val="center"/>
            <w:hideMark/>
          </w:tcPr>
          <w:p w14:paraId="02C46400"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r w:rsidRPr="00C15323">
              <w:rPr>
                <w:rFonts w:ascii="Times New Roman" w:eastAsia="宋体" w:hAnsi="Times New Roman" w:cs="Times New Roman"/>
                <w:kern w:val="0"/>
                <w:szCs w:val="21"/>
              </w:rPr>
              <w:t>Delivery grade/standard</w:t>
            </w:r>
          </w:p>
        </w:tc>
        <w:tc>
          <w:tcPr>
            <w:tcW w:w="1741" w:type="pct"/>
            <w:tcMar>
              <w:top w:w="150" w:type="dxa"/>
              <w:left w:w="240" w:type="dxa"/>
              <w:bottom w:w="150" w:type="dxa"/>
              <w:right w:w="240" w:type="dxa"/>
            </w:tcMar>
            <w:vAlign w:val="center"/>
            <w:hideMark/>
          </w:tcPr>
          <w:p w14:paraId="433D13EA"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c>
          <w:tcPr>
            <w:tcW w:w="1683" w:type="pct"/>
            <w:tcMar>
              <w:top w:w="150" w:type="dxa"/>
              <w:left w:w="240" w:type="dxa"/>
              <w:bottom w:w="150" w:type="dxa"/>
              <w:right w:w="0" w:type="dxa"/>
            </w:tcMar>
            <w:vAlign w:val="center"/>
            <w:hideMark/>
          </w:tcPr>
          <w:p w14:paraId="1931CF87" w14:textId="77777777" w:rsidR="00C15323" w:rsidRPr="00C15323" w:rsidRDefault="00C15323" w:rsidP="00C15323">
            <w:pPr>
              <w:widowControl/>
              <w:spacing w:line="375" w:lineRule="atLeast"/>
              <w:jc w:val="left"/>
              <w:rPr>
                <w:rFonts w:ascii="Times New Roman" w:eastAsia="宋体" w:hAnsi="Times New Roman" w:cs="Times New Roman"/>
                <w:kern w:val="0"/>
                <w:szCs w:val="21"/>
              </w:rPr>
            </w:pPr>
          </w:p>
        </w:tc>
      </w:tr>
    </w:tbl>
    <w:p w14:paraId="5CB22AF0" w14:textId="77777777" w:rsidR="00C15323" w:rsidRPr="00C15323"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When designing, the basis for selecting each parameter must be explained. For example, the price limit range may, according to relevant research recommendations, be set at a certain percentage of the previous trading day’s settlement price (e.g., ±6%). The minimum trading margin may refer to the proportion of contract value specified in related carbon futures design proposals.</w:t>
      </w:r>
    </w:p>
    <w:p w14:paraId="3A2622FD" w14:textId="53031FC0"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3</w:t>
      </w:r>
      <w:r w:rsidR="00A00500">
        <w:rPr>
          <w:rFonts w:ascii="Times New Roman" w:eastAsia="宋体" w:hAnsi="Times New Roman" w:cs="Times New Roman"/>
          <w:b/>
          <w:bCs/>
          <w:color w:val="0F1115"/>
          <w:kern w:val="0"/>
          <w:sz w:val="24"/>
          <w:szCs w:val="24"/>
        </w:rPr>
        <w:t>)</w:t>
      </w:r>
      <w:r w:rsidRPr="00C15323">
        <w:rPr>
          <w:rFonts w:ascii="Times New Roman" w:eastAsia="宋体" w:hAnsi="Times New Roman" w:cs="Times New Roman"/>
          <w:b/>
          <w:bCs/>
          <w:color w:val="0F1115"/>
          <w:kern w:val="0"/>
          <w:sz w:val="24"/>
          <w:szCs w:val="24"/>
        </w:rPr>
        <w:t>. Delivery Method and Reference Price</w:t>
      </w:r>
    </w:p>
    <w:p w14:paraId="641909AB" w14:textId="77777777" w:rsidR="00C15323" w:rsidRPr="00C15323"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Explain in detail whether physical delivery or cash delivery is adopted. International experience shows that EU carbon futures adopt physical delivery, and EUAs are transferred through the national registry within three days after the last trading day. The delivery method for China’s carbon futures needs to consider the technical conditions of the National Carbon Emission Allowance Registration System. The reference price section should explain the method for determining the settlement price.</w:t>
      </w:r>
    </w:p>
    <w:p w14:paraId="2F94C315" w14:textId="39E5EC7B"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4</w:t>
      </w:r>
      <w:r w:rsidR="00A00500">
        <w:rPr>
          <w:rFonts w:ascii="Times New Roman" w:eastAsia="宋体" w:hAnsi="Times New Roman" w:cs="Times New Roman"/>
          <w:b/>
          <w:bCs/>
          <w:color w:val="0F1115"/>
          <w:kern w:val="0"/>
          <w:sz w:val="24"/>
          <w:szCs w:val="24"/>
        </w:rPr>
        <w:t>)</w:t>
      </w:r>
      <w:r w:rsidRPr="00C15323">
        <w:rPr>
          <w:rFonts w:ascii="Times New Roman" w:eastAsia="宋体" w:hAnsi="Times New Roman" w:cs="Times New Roman"/>
          <w:b/>
          <w:bCs/>
          <w:color w:val="0F1115"/>
          <w:kern w:val="0"/>
          <w:sz w:val="24"/>
          <w:szCs w:val="24"/>
        </w:rPr>
        <w:t>. Risk Management Mechanisms</w:t>
      </w:r>
    </w:p>
    <w:p w14:paraId="4A1F762F" w14:textId="77777777" w:rsidR="00547DA9"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 xml:space="preserve">This includes the margin system, price limit system, position limit system, large trader reporting system, etc., and should be designed </w:t>
      </w:r>
      <w:proofErr w:type="gramStart"/>
      <w:r w:rsidRPr="00C15323">
        <w:rPr>
          <w:rFonts w:ascii="Times New Roman" w:eastAsia="宋体" w:hAnsi="Times New Roman" w:cs="Times New Roman"/>
          <w:color w:val="0F1115"/>
          <w:kern w:val="0"/>
          <w:sz w:val="24"/>
          <w:szCs w:val="24"/>
        </w:rPr>
        <w:t>in light of</w:t>
      </w:r>
      <w:proofErr w:type="gramEnd"/>
      <w:r w:rsidRPr="00C15323">
        <w:rPr>
          <w:rFonts w:ascii="Times New Roman" w:eastAsia="宋体" w:hAnsi="Times New Roman" w:cs="Times New Roman"/>
          <w:color w:val="0F1115"/>
          <w:kern w:val="0"/>
          <w:sz w:val="24"/>
          <w:szCs w:val="24"/>
        </w:rPr>
        <w:t xml:space="preserve"> the particularities of the carbon market, such as seasonal fluctuations caused by compliance cycles.</w:t>
      </w:r>
    </w:p>
    <w:p w14:paraId="5C8377A2" w14:textId="77777777" w:rsidR="00547DA9" w:rsidRDefault="00547DA9" w:rsidP="00547DA9">
      <w:pPr>
        <w:widowControl/>
        <w:shd w:val="clear" w:color="auto" w:fill="FFFFFF"/>
        <w:spacing w:before="240" w:after="240"/>
        <w:rPr>
          <w:rFonts w:ascii="Times New Roman" w:eastAsia="宋体" w:hAnsi="Times New Roman" w:cs="Times New Roman"/>
          <w:color w:val="0F1115"/>
          <w:kern w:val="0"/>
          <w:sz w:val="24"/>
          <w:szCs w:val="24"/>
        </w:rPr>
      </w:pPr>
    </w:p>
    <w:p w14:paraId="27E774E8" w14:textId="1E86ED62" w:rsidR="00C15323" w:rsidRPr="00A00500" w:rsidRDefault="00C15323" w:rsidP="00A00500">
      <w:pPr>
        <w:pStyle w:val="a4"/>
        <w:widowControl/>
        <w:numPr>
          <w:ilvl w:val="0"/>
          <w:numId w:val="9"/>
        </w:numPr>
        <w:shd w:val="clear" w:color="auto" w:fill="FFFFFF"/>
        <w:spacing w:before="240" w:after="240"/>
        <w:ind w:firstLineChars="0"/>
        <w:rPr>
          <w:rFonts w:ascii="Times New Roman" w:eastAsia="宋体" w:hAnsi="Times New Roman" w:cs="Times New Roman"/>
          <w:color w:val="0F1115"/>
          <w:kern w:val="0"/>
          <w:sz w:val="24"/>
          <w:szCs w:val="24"/>
        </w:rPr>
      </w:pPr>
      <w:r w:rsidRPr="00A00500">
        <w:rPr>
          <w:rFonts w:ascii="Times New Roman" w:eastAsia="宋体" w:hAnsi="Times New Roman" w:cs="Times New Roman"/>
          <w:b/>
          <w:bCs/>
          <w:color w:val="0F1115"/>
          <w:kern w:val="0"/>
          <w:sz w:val="24"/>
          <w:szCs w:val="24"/>
        </w:rPr>
        <w:t>Collaboration and Discussion Mechanism</w:t>
      </w:r>
    </w:p>
    <w:p w14:paraId="757CA678"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Suggested Group Roles:</w:t>
      </w:r>
    </w:p>
    <w:p w14:paraId="4A0B40A8" w14:textId="77777777" w:rsidR="00C15323" w:rsidRPr="00C15323" w:rsidRDefault="00C15323" w:rsidP="00C15323">
      <w:pPr>
        <w:widowControl/>
        <w:numPr>
          <w:ilvl w:val="0"/>
          <w:numId w:val="5"/>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Group Leader (1 person):</w:t>
      </w:r>
      <w:r w:rsidRPr="00C15323">
        <w:rPr>
          <w:rFonts w:ascii="Times New Roman" w:eastAsia="宋体" w:hAnsi="Times New Roman" w:cs="Times New Roman"/>
          <w:color w:val="0F1115"/>
          <w:kern w:val="0"/>
          <w:sz w:val="24"/>
          <w:szCs w:val="24"/>
        </w:rPr>
        <w:t xml:space="preserve"> Coordinate project progress, facilitate discussions, and integrate the document</w:t>
      </w:r>
    </w:p>
    <w:p w14:paraId="2CBC38A3" w14:textId="77777777" w:rsidR="00C15323" w:rsidRPr="00C15323" w:rsidRDefault="00C15323" w:rsidP="00C15323">
      <w:pPr>
        <w:widowControl/>
        <w:numPr>
          <w:ilvl w:val="0"/>
          <w:numId w:val="5"/>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Literature Researchers (1–2 people):</w:t>
      </w:r>
      <w:r w:rsidRPr="00C15323">
        <w:rPr>
          <w:rFonts w:ascii="Times New Roman" w:eastAsia="宋体" w:hAnsi="Times New Roman" w:cs="Times New Roman"/>
          <w:color w:val="0F1115"/>
          <w:kern w:val="0"/>
          <w:sz w:val="24"/>
          <w:szCs w:val="24"/>
        </w:rPr>
        <w:t xml:space="preserve"> Search and organize academic literature and policy documents, and write the literature review</w:t>
      </w:r>
    </w:p>
    <w:p w14:paraId="4BD58341" w14:textId="77777777" w:rsidR="00C15323" w:rsidRPr="00C15323" w:rsidRDefault="00C15323" w:rsidP="00C15323">
      <w:pPr>
        <w:widowControl/>
        <w:numPr>
          <w:ilvl w:val="0"/>
          <w:numId w:val="5"/>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Contract Designers (1–2 people):</w:t>
      </w:r>
      <w:r w:rsidRPr="00C15323">
        <w:rPr>
          <w:rFonts w:ascii="Times New Roman" w:eastAsia="宋体" w:hAnsi="Times New Roman" w:cs="Times New Roman"/>
          <w:color w:val="0F1115"/>
          <w:kern w:val="0"/>
          <w:sz w:val="24"/>
          <w:szCs w:val="24"/>
        </w:rPr>
        <w:t xml:space="preserve"> Design and justify the core contract terms, referring to international experience and China’s realities</w:t>
      </w:r>
    </w:p>
    <w:p w14:paraId="59193DBD" w14:textId="77777777" w:rsidR="00C15323" w:rsidRPr="00C15323" w:rsidRDefault="00C15323" w:rsidP="00C15323">
      <w:pPr>
        <w:widowControl/>
        <w:numPr>
          <w:ilvl w:val="0"/>
          <w:numId w:val="5"/>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Data Analyst (1 person):</w:t>
      </w:r>
      <w:r w:rsidRPr="00C15323">
        <w:rPr>
          <w:rFonts w:ascii="Times New Roman" w:eastAsia="宋体" w:hAnsi="Times New Roman" w:cs="Times New Roman"/>
          <w:color w:val="0F1115"/>
          <w:kern w:val="0"/>
          <w:sz w:val="24"/>
          <w:szCs w:val="24"/>
        </w:rPr>
        <w:t xml:space="preserve"> Collect data such as carbon market spot prices and trading volume to provide empirical support for parameter design</w:t>
      </w:r>
    </w:p>
    <w:p w14:paraId="38624F6E"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Collaboration Requirements:</w:t>
      </w:r>
    </w:p>
    <w:p w14:paraId="2E8E0BA6" w14:textId="77777777" w:rsidR="00C15323" w:rsidRPr="00C15323" w:rsidRDefault="00C15323" w:rsidP="00547DA9">
      <w:pPr>
        <w:widowControl/>
        <w:numPr>
          <w:ilvl w:val="0"/>
          <w:numId w:val="6"/>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lastRenderedPageBreak/>
        <w:t>Conduct at least 3 formal group discussions, and produce brief minutes for each discussion</w:t>
      </w:r>
    </w:p>
    <w:p w14:paraId="1A61AD3C" w14:textId="77777777" w:rsidR="00C15323" w:rsidRPr="00C15323" w:rsidRDefault="00C15323" w:rsidP="00547DA9">
      <w:pPr>
        <w:widowControl/>
        <w:numPr>
          <w:ilvl w:val="0"/>
          <w:numId w:val="6"/>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Online collaboration tools (such as Tencent Docs, Feishu, etc.) are encouraged for collaborative document editing</w:t>
      </w:r>
    </w:p>
    <w:p w14:paraId="303F86AD" w14:textId="77777777" w:rsidR="00C15323" w:rsidRPr="00C15323" w:rsidRDefault="00C15323" w:rsidP="00547DA9">
      <w:pPr>
        <w:widowControl/>
        <w:numPr>
          <w:ilvl w:val="0"/>
          <w:numId w:val="6"/>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Each member must independently complete the writing of at least one core module</w:t>
      </w:r>
    </w:p>
    <w:p w14:paraId="101E7750" w14:textId="6F52B201" w:rsidR="00C15323" w:rsidRPr="00A00500" w:rsidRDefault="00C15323" w:rsidP="00A00500">
      <w:pPr>
        <w:pStyle w:val="a4"/>
        <w:widowControl/>
        <w:numPr>
          <w:ilvl w:val="0"/>
          <w:numId w:val="9"/>
        </w:numPr>
        <w:shd w:val="clear" w:color="auto" w:fill="FFFFFF"/>
        <w:spacing w:before="480" w:after="240" w:line="480" w:lineRule="atLeast"/>
        <w:ind w:firstLineChars="0"/>
        <w:outlineLvl w:val="1"/>
        <w:rPr>
          <w:rFonts w:ascii="Times New Roman" w:eastAsia="宋体" w:hAnsi="Times New Roman" w:cs="Times New Roman"/>
          <w:b/>
          <w:bCs/>
          <w:color w:val="0F1115"/>
          <w:kern w:val="0"/>
          <w:sz w:val="24"/>
          <w:szCs w:val="24"/>
        </w:rPr>
      </w:pPr>
      <w:r w:rsidRPr="00A00500">
        <w:rPr>
          <w:rFonts w:ascii="Times New Roman" w:eastAsia="宋体" w:hAnsi="Times New Roman" w:cs="Times New Roman"/>
          <w:b/>
          <w:bCs/>
          <w:color w:val="0F1115"/>
          <w:kern w:val="0"/>
          <w:sz w:val="24"/>
          <w:szCs w:val="24"/>
        </w:rPr>
        <w:t>Submission Requirements</w:t>
      </w:r>
    </w:p>
    <w:p w14:paraId="7BD3F114" w14:textId="77777777" w:rsidR="00C15323" w:rsidRPr="00C15323" w:rsidRDefault="00C15323" w:rsidP="00547DA9">
      <w:pPr>
        <w:widowControl/>
        <w:shd w:val="clear" w:color="auto" w:fill="FFFFFF"/>
        <w:spacing w:before="240" w:after="240"/>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List of Materials to Submit:</w:t>
      </w:r>
    </w:p>
    <w:p w14:paraId="0CD4953D" w14:textId="77777777" w:rsidR="00C15323" w:rsidRPr="00C15323" w:rsidRDefault="00C15323" w:rsidP="00547DA9">
      <w:pPr>
        <w:widowControl/>
        <w:numPr>
          <w:ilvl w:val="0"/>
          <w:numId w:val="7"/>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Contract Design Document</w:t>
      </w:r>
      <w:r w:rsidRPr="00C15323">
        <w:rPr>
          <w:rFonts w:ascii="Times New Roman" w:eastAsia="宋体" w:hAnsi="Times New Roman" w:cs="Times New Roman"/>
          <w:color w:val="0F1115"/>
          <w:kern w:val="0"/>
          <w:sz w:val="24"/>
          <w:szCs w:val="24"/>
        </w:rPr>
        <w:t xml:space="preserve"> (PDF format): no more than 2,000 words, and must include a contract terms table and a reference list</w:t>
      </w:r>
    </w:p>
    <w:p w14:paraId="526DFA22" w14:textId="77777777" w:rsidR="00C15323" w:rsidRPr="00C15323" w:rsidRDefault="00C15323" w:rsidP="00547DA9">
      <w:pPr>
        <w:widowControl/>
        <w:numPr>
          <w:ilvl w:val="0"/>
          <w:numId w:val="7"/>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Group Discussion Minutes</w:t>
      </w:r>
      <w:r w:rsidRPr="00C15323">
        <w:rPr>
          <w:rFonts w:ascii="Times New Roman" w:eastAsia="宋体" w:hAnsi="Times New Roman" w:cs="Times New Roman"/>
          <w:color w:val="0F1115"/>
          <w:kern w:val="0"/>
          <w:sz w:val="24"/>
          <w:szCs w:val="24"/>
        </w:rPr>
        <w:t xml:space="preserve"> (as an appendix): record the main content and decision-making process of the 3 discussions</w:t>
      </w:r>
    </w:p>
    <w:p w14:paraId="6021D44C" w14:textId="77777777" w:rsidR="00C15323" w:rsidRPr="00C15323" w:rsidRDefault="00C15323" w:rsidP="00547DA9">
      <w:pPr>
        <w:widowControl/>
        <w:numPr>
          <w:ilvl w:val="0"/>
          <w:numId w:val="7"/>
        </w:numPr>
        <w:shd w:val="clear" w:color="auto" w:fill="FFFFFF"/>
        <w:spacing w:before="100" w:beforeAutospacing="1"/>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Division of Labor Statement:</w:t>
      </w:r>
      <w:r w:rsidRPr="00C15323">
        <w:rPr>
          <w:rFonts w:ascii="Times New Roman" w:eastAsia="宋体" w:hAnsi="Times New Roman" w:cs="Times New Roman"/>
          <w:color w:val="0F1115"/>
          <w:kern w:val="0"/>
          <w:sz w:val="24"/>
          <w:szCs w:val="24"/>
        </w:rPr>
        <w:t xml:space="preserve"> clearly specify each member’s specific contributions</w:t>
      </w:r>
    </w:p>
    <w:p w14:paraId="0CDA61AC"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Formatting Requirements:</w:t>
      </w:r>
    </w:p>
    <w:p w14:paraId="30E1B2D7" w14:textId="77777777" w:rsidR="00C15323" w:rsidRPr="00C15323" w:rsidRDefault="00C15323" w:rsidP="00C15323">
      <w:pPr>
        <w:widowControl/>
        <w:numPr>
          <w:ilvl w:val="0"/>
          <w:numId w:val="8"/>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Chinese or English is acceptable; the main text must not exceed 2,000 words (excluding references and contract tables)</w:t>
      </w:r>
    </w:p>
    <w:p w14:paraId="5D96B427" w14:textId="77777777" w:rsidR="00C15323" w:rsidRPr="00C15323" w:rsidRDefault="00C15323" w:rsidP="00C15323">
      <w:pPr>
        <w:widowControl/>
        <w:numPr>
          <w:ilvl w:val="0"/>
          <w:numId w:val="8"/>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References should follow APA style</w:t>
      </w:r>
    </w:p>
    <w:p w14:paraId="798A1208" w14:textId="77777777" w:rsidR="00C15323" w:rsidRPr="00C15323" w:rsidRDefault="00C15323" w:rsidP="00C15323">
      <w:pPr>
        <w:widowControl/>
        <w:numPr>
          <w:ilvl w:val="0"/>
          <w:numId w:val="8"/>
        </w:numPr>
        <w:shd w:val="clear" w:color="auto" w:fill="FFFFFF"/>
        <w:spacing w:before="100" w:beforeAutospacing="1"/>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color w:val="0F1115"/>
          <w:kern w:val="0"/>
          <w:sz w:val="24"/>
          <w:szCs w:val="24"/>
        </w:rPr>
        <w:t>The contract terms table must be clear and standardized, and each parameter must be accompanied by a brief design explanation</w:t>
      </w:r>
    </w:p>
    <w:p w14:paraId="40E2C341" w14:textId="329F1822"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Submission Deadline:</w:t>
      </w:r>
      <w:r w:rsidRPr="00C15323">
        <w:rPr>
          <w:rFonts w:ascii="Times New Roman" w:eastAsia="宋体" w:hAnsi="Times New Roman" w:cs="Times New Roman"/>
          <w:color w:val="FF0000"/>
          <w:kern w:val="0"/>
          <w:sz w:val="24"/>
          <w:szCs w:val="24"/>
        </w:rPr>
        <w:t xml:space="preserve"> </w:t>
      </w:r>
      <w:r w:rsidR="00547DA9" w:rsidRPr="00A00500">
        <w:rPr>
          <w:rFonts w:ascii="Times New Roman" w:eastAsia="宋体" w:hAnsi="Times New Roman" w:cs="Times New Roman"/>
          <w:color w:val="FF0000"/>
          <w:kern w:val="0"/>
          <w:sz w:val="24"/>
          <w:szCs w:val="24"/>
        </w:rPr>
        <w:t>Oct.13, before class.</w:t>
      </w:r>
    </w:p>
    <w:p w14:paraId="56696250" w14:textId="77777777" w:rsidR="00C15323" w:rsidRPr="00C15323" w:rsidRDefault="00C15323" w:rsidP="00C15323">
      <w:pPr>
        <w:widowControl/>
        <w:shd w:val="clear" w:color="auto" w:fill="FFFFFF"/>
        <w:spacing w:before="240" w:after="240"/>
        <w:jc w:val="left"/>
        <w:rPr>
          <w:rFonts w:ascii="Times New Roman" w:eastAsia="宋体" w:hAnsi="Times New Roman" w:cs="Times New Roman"/>
          <w:color w:val="0F1115"/>
          <w:kern w:val="0"/>
          <w:sz w:val="24"/>
          <w:szCs w:val="24"/>
        </w:rPr>
      </w:pPr>
      <w:r w:rsidRPr="00C15323">
        <w:rPr>
          <w:rFonts w:ascii="Times New Roman" w:eastAsia="宋体" w:hAnsi="Times New Roman" w:cs="Times New Roman"/>
          <w:b/>
          <w:bCs/>
          <w:color w:val="0F1115"/>
          <w:kern w:val="0"/>
          <w:sz w:val="24"/>
          <w:szCs w:val="24"/>
        </w:rPr>
        <w:t>Presentation Arrangements:</w:t>
      </w:r>
      <w:r w:rsidRPr="00C15323">
        <w:rPr>
          <w:rFonts w:ascii="Times New Roman" w:eastAsia="宋体" w:hAnsi="Times New Roman" w:cs="Times New Roman"/>
          <w:color w:val="0F1115"/>
          <w:kern w:val="0"/>
          <w:sz w:val="24"/>
          <w:szCs w:val="24"/>
        </w:rPr>
        <w:t xml:space="preserve"> Outstanding reports will be selected for classroom presentation. The presentation session includes a 10-minute report and a 5-minute Q&amp;A.</w:t>
      </w:r>
    </w:p>
    <w:p w14:paraId="41E80515" w14:textId="77777777" w:rsidR="00C15323" w:rsidRPr="00547DA9" w:rsidRDefault="00C15323">
      <w:pPr>
        <w:rPr>
          <w:rFonts w:ascii="Times New Roman" w:eastAsia="宋体" w:hAnsi="Times New Roman" w:cs="Times New Roman"/>
          <w:sz w:val="24"/>
          <w:szCs w:val="24"/>
        </w:rPr>
      </w:pPr>
    </w:p>
    <w:sectPr w:rsidR="00C15323" w:rsidRPr="00547D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62BD"/>
    <w:multiLevelType w:val="multilevel"/>
    <w:tmpl w:val="6ED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A7231"/>
    <w:multiLevelType w:val="multilevel"/>
    <w:tmpl w:val="464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42438"/>
    <w:multiLevelType w:val="multilevel"/>
    <w:tmpl w:val="4C3A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310D9"/>
    <w:multiLevelType w:val="multilevel"/>
    <w:tmpl w:val="F778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93A52"/>
    <w:multiLevelType w:val="multilevel"/>
    <w:tmpl w:val="49A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66AD6"/>
    <w:multiLevelType w:val="multilevel"/>
    <w:tmpl w:val="B25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104FE"/>
    <w:multiLevelType w:val="hybridMultilevel"/>
    <w:tmpl w:val="D24E90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2AE5818"/>
    <w:multiLevelType w:val="multilevel"/>
    <w:tmpl w:val="ACF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C21D9"/>
    <w:multiLevelType w:val="multilevel"/>
    <w:tmpl w:val="5A1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160512">
    <w:abstractNumId w:val="3"/>
  </w:num>
  <w:num w:numId="2" w16cid:durableId="1145052442">
    <w:abstractNumId w:val="8"/>
  </w:num>
  <w:num w:numId="3" w16cid:durableId="1216240981">
    <w:abstractNumId w:val="5"/>
  </w:num>
  <w:num w:numId="4" w16cid:durableId="2032950361">
    <w:abstractNumId w:val="7"/>
  </w:num>
  <w:num w:numId="5" w16cid:durableId="1824078404">
    <w:abstractNumId w:val="1"/>
  </w:num>
  <w:num w:numId="6" w16cid:durableId="430051566">
    <w:abstractNumId w:val="0"/>
  </w:num>
  <w:num w:numId="7" w16cid:durableId="1939486310">
    <w:abstractNumId w:val="2"/>
  </w:num>
  <w:num w:numId="8" w16cid:durableId="1566257197">
    <w:abstractNumId w:val="4"/>
  </w:num>
  <w:num w:numId="9" w16cid:durableId="906261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323"/>
    <w:rsid w:val="001C76DF"/>
    <w:rsid w:val="00547DA9"/>
    <w:rsid w:val="00713F12"/>
    <w:rsid w:val="007B5BDD"/>
    <w:rsid w:val="007F321F"/>
    <w:rsid w:val="0093710D"/>
    <w:rsid w:val="00A00500"/>
    <w:rsid w:val="00C15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E939"/>
  <w15:chartTrackingRefBased/>
  <w15:docId w15:val="{BCB29C74-4FE2-490B-96C8-92CAC1B1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1532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C15323"/>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5323"/>
    <w:rPr>
      <w:rFonts w:ascii="宋体" w:eastAsia="宋体" w:hAnsi="宋体" w:cs="宋体"/>
      <w:b/>
      <w:bCs/>
      <w:kern w:val="36"/>
      <w:sz w:val="48"/>
      <w:szCs w:val="48"/>
    </w:rPr>
  </w:style>
  <w:style w:type="character" w:customStyle="1" w:styleId="20">
    <w:name w:val="标题 2 字符"/>
    <w:basedOn w:val="a0"/>
    <w:link w:val="2"/>
    <w:uiPriority w:val="9"/>
    <w:rsid w:val="00C15323"/>
    <w:rPr>
      <w:rFonts w:ascii="宋体" w:eastAsia="宋体" w:hAnsi="宋体" w:cs="宋体"/>
      <w:b/>
      <w:bCs/>
      <w:kern w:val="0"/>
      <w:sz w:val="36"/>
      <w:szCs w:val="36"/>
    </w:rPr>
  </w:style>
  <w:style w:type="paragraph" w:customStyle="1" w:styleId="ds-markdown-paragraph">
    <w:name w:val="ds-markdown-paragraph"/>
    <w:basedOn w:val="a"/>
    <w:rsid w:val="00C15323"/>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C15323"/>
    <w:rPr>
      <w:b/>
      <w:bCs/>
    </w:rPr>
  </w:style>
  <w:style w:type="paragraph" w:styleId="a4">
    <w:name w:val="List Paragraph"/>
    <w:basedOn w:val="a"/>
    <w:uiPriority w:val="34"/>
    <w:qFormat/>
    <w:rsid w:val="00A0050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91570">
      <w:bodyDiv w:val="1"/>
      <w:marLeft w:val="0"/>
      <w:marRight w:val="0"/>
      <w:marTop w:val="0"/>
      <w:marBottom w:val="0"/>
      <w:divBdr>
        <w:top w:val="none" w:sz="0" w:space="0" w:color="auto"/>
        <w:left w:val="none" w:sz="0" w:space="0" w:color="auto"/>
        <w:bottom w:val="none" w:sz="0" w:space="0" w:color="auto"/>
        <w:right w:val="none" w:sz="0" w:space="0" w:color="auto"/>
      </w:divBdr>
      <w:divsChild>
        <w:div w:id="1998151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陈海强</dc:creator>
  <cp:keywords/>
  <dc:description/>
  <cp:lastModifiedBy>HB153573@365mak.com</cp:lastModifiedBy>
  <cp:revision>6</cp:revision>
  <dcterms:created xsi:type="dcterms:W3CDTF">2026-09-14T14:22:00Z</dcterms:created>
  <dcterms:modified xsi:type="dcterms:W3CDTF">2026-09-28T05:11:00Z</dcterms:modified>
</cp:coreProperties>
</file>