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36"/>
          <w:szCs w:val="36"/>
        </w:rPr>
        <w:t xml:space="preserve">APPLICATION GESTION DES VOLS ASL</w:t>
      </w:r>
    </w:p>
    <w:p>
      <w:pPr>
        <w:spacing w:after="100"/>
      </w:pPr>
      <w:r>
        <w:rPr>
          <w:i/>
          <w:iCs/>
          <w:sz w:val="24"/>
          <w:szCs w:val="24"/>
        </w:rPr>
        <w:t xml:space="preserve">Document de spécifications — Version 3</w:t>
      </w:r>
    </w:p>
    <w:p>
      <w:pPr>
        <w:spacing w:after="400"/>
      </w:pPr>
      <w:r>
        <w:rPr>
          <w:color w:val="666666"/>
          <w:sz w:val="20"/>
          <w:szCs w:val="20"/>
        </w:rPr>
        <w:t xml:space="preserve">Terres d'Aventure — Application développée avec Claude Code, hébergée sur Clever Cloud</w:t>
      </w:r>
    </w:p>
    <w:p>
      <w:pPr>
        <w:pStyle w:val="Heading1"/>
        <w:spacing w:after="150" w:before="300"/>
      </w:pPr>
      <w:r>
        <w:t xml:space="preserve">1. Contexte et objectif</w:t>
      </w:r>
    </w:p>
    <w:p>
      <w:pPr>
        <w:spacing w:after="120"/>
      </w:pPr>
      <w:r>
        <w:t xml:space="preserve">L'application ASL gère le remplissage des vols affrétés Paris (CDG) – Atar (ATR) auprès de la compagnie aérienne ASL, en remplacement de l'ancienne application Bubble : création des vols, attribution de contingents de sièges aux entreprises clientes, saisie des passagers, extraction des listes destinées à la compagnie aérienne, suivi statistique et bilan financier de l'exploitation.</w:t>
      </w:r>
    </w:p>
    <w:p>
      <w:pPr>
        <w:spacing w:after="120"/>
      </w:pPr>
      <w:r>
        <w:t xml:space="preserve">Aucune intégration à un GDS. Les échanges de données avec ASL se font par fichiers Excel (import et export).</w:t>
      </w:r>
    </w:p>
    <w:p>
      <w:pPr>
        <w:pStyle w:val="Heading1"/>
        <w:spacing w:after="150" w:before="300"/>
      </w:pPr>
      <w:r>
        <w:t xml:space="preserve">2. Comptes et accès</w:t>
      </w:r>
    </w:p>
    <w:p>
      <w:pPr>
        <w:pStyle w:val="ListParagraph"/>
        <w:numPr>
          <w:ilvl w:val="0"/>
          <w:numId w:val="2"/>
        </w:numPr>
        <w:spacing w:after="60"/>
      </w:pPr>
      <w:r>
        <w:t xml:space="preserve">Profil unique : administrateur, sans distinction de rôle. Plusieurs comptes peuvent coexister.</w:t>
      </w:r>
    </w:p>
    <w:p>
      <w:pPr>
        <w:pStyle w:val="ListParagraph"/>
        <w:numPr>
          <w:ilvl w:val="0"/>
          <w:numId w:val="2"/>
        </w:numPr>
        <w:spacing w:after="60"/>
      </w:pPr>
      <w:r>
        <w:t xml:space="preserve">Authentification par email / mot de passe, session par cookie signé (7 jours).</w:t>
      </w:r>
    </w:p>
    <w:p>
      <w:pPr>
        <w:pStyle w:val="ListParagraph"/>
        <w:numPr>
          <w:ilvl w:val="0"/>
          <w:numId w:val="2"/>
        </w:numPr>
        <w:spacing w:after="60"/>
      </w:pPr>
      <w:r>
        <w:t xml:space="preserve">Écran dédié ("Comptes") permettant à tout administrateur connecté de créer, modifier ou supprimer d'autres comptes, sans intervention technique.</w:t>
      </w:r>
    </w:p>
    <w:p>
      <w:pPr>
        <w:pStyle w:val="ListParagraph"/>
        <w:numPr>
          <w:ilvl w:val="0"/>
          <w:numId w:val="2"/>
        </w:numPr>
        <w:spacing w:after="60"/>
      </w:pPr>
      <w:r>
        <w:t xml:space="preserve">Sécurités : email unique par compte ; impossible de supprimer son propre compte en session active ; impossible de supprimer le dernier compte restant.</w:t>
      </w:r>
    </w:p>
    <w:p>
      <w:pPr>
        <w:pStyle w:val="Heading1"/>
        <w:spacing w:after="150" w:before="300"/>
      </w:pPr>
      <w:r>
        <w:t xml:space="preserve">3. Entreprises clientes</w:t>
      </w:r>
    </w:p>
    <w:p>
      <w:pPr>
        <w:spacing w:after="120"/>
      </w:pPr>
      <w:r>
        <w:t xml:space="preserve">Une entreprise cliente est une structure avec laquelle Terres d'Aventure a un accord de remplissage d'avion.</w:t>
      </w:r>
    </w:p>
    <w:p>
      <w:pPr>
        <w:pStyle w:val="ListParagraph"/>
        <w:numPr>
          <w:ilvl w:val="0"/>
          <w:numId w:val="2"/>
        </w:numPr>
        <w:spacing w:after="60"/>
      </w:pPr>
      <w:r>
        <w:t xml:space="preserve">Attributs : nom, et code sur 3 lettres (obligatoire, mis en majuscules automatiquement) utilisé pour abréger le nom dans les tableaux à forte densité (vues statistiques par entreprise).</w:t>
      </w:r>
    </w:p>
    <w:p>
      <w:pPr>
        <w:pStyle w:val="ListParagraph"/>
        <w:numPr>
          <w:ilvl w:val="0"/>
          <w:numId w:val="2"/>
        </w:numPr>
        <w:spacing w:after="60"/>
      </w:pPr>
      <w:r>
        <w:t xml:space="preserve">CRUD complet réservé à l'administrateur. Suppression bloquée si des passagers sont encore rattachés à l'entreprise.</w:t>
      </w:r>
    </w:p>
    <w:p>
      <w:pPr>
        <w:pStyle w:val="ListParagraph"/>
        <w:numPr>
          <w:ilvl w:val="0"/>
          <w:numId w:val="2"/>
        </w:numPr>
        <w:spacing w:after="60"/>
      </w:pPr>
      <w:r>
        <w:t xml:space="preserve">Aucun accès à l'application pour les entreprises clientes elles-mêmes.</w:t>
      </w:r>
    </w:p>
    <w:p>
      <w:pPr>
        <w:pStyle w:val="Heading1"/>
        <w:spacing w:after="150" w:before="300"/>
      </w:pPr>
      <w:r>
        <w:t xml:space="preserve">4. Gestion des vols</w:t>
      </w:r>
    </w:p>
    <w:p>
      <w:pPr>
        <w:pStyle w:val="Heading2"/>
        <w:spacing w:after="100" w:before="200"/>
      </w:pPr>
      <w:r>
        <w:t xml:space="preserve">4.1 Création</w:t>
      </w:r>
    </w:p>
    <w:p>
      <w:pPr>
        <w:pStyle w:val="ListParagraph"/>
        <w:numPr>
          <w:ilvl w:val="0"/>
          <w:numId w:val="2"/>
        </w:numPr>
        <w:spacing w:after="60"/>
      </w:pPr>
      <w:r>
        <w:t xml:space="preserve">Un vol est créé dans un seul sens à la fois (aller PAR→ATR ou retour ATR→PAR).</w:t>
      </w:r>
    </w:p>
    <w:p>
      <w:pPr>
        <w:pStyle w:val="ListParagraph"/>
        <w:numPr>
          <w:ilvl w:val="0"/>
          <w:numId w:val="2"/>
        </w:numPr>
        <w:spacing w:after="60"/>
      </w:pPr>
      <w:r>
        <w:t xml:space="preserve">Création en série : l'administrateur saisit la date du premier vol et une date de fin ; un vol est créé chaque semaine à la même récurrence.</w:t>
      </w:r>
    </w:p>
    <w:p>
      <w:pPr>
        <w:pStyle w:val="ListParagraph"/>
        <w:numPr>
          <w:ilvl w:val="0"/>
          <w:numId w:val="2"/>
        </w:numPr>
        <w:spacing w:after="60"/>
      </w:pPr>
      <w:r>
        <w:t xml:space="preserve">Vols aller : numéro de vol répliqué automatiquement sur toute la série (modifiable ensuite vol par vol).</w:t>
      </w:r>
    </w:p>
    <w:p>
      <w:pPr>
        <w:pStyle w:val="ListParagraph"/>
        <w:numPr>
          <w:ilvl w:val="0"/>
          <w:numId w:val="2"/>
        </w:numPr>
        <w:spacing w:after="60"/>
      </w:pPr>
      <w:r>
        <w:t xml:space="preserve">Vols retour : numéro de vol non répliqué (il varie généralement d'une occurrence à l'autre), saisi individuellement après création.</w:t>
      </w:r>
    </w:p>
    <w:p>
      <w:pPr>
        <w:pStyle w:val="ListParagraph"/>
        <w:numPr>
          <w:ilvl w:val="0"/>
          <w:numId w:val="2"/>
        </w:numPr>
        <w:spacing w:after="60"/>
      </w:pPr>
      <w:r>
        <w:t xml:space="preserve">Liste triée par ordre chronologique croissant, dates au format JJ/MM/AAAA.</w:t>
      </w:r>
    </w:p>
    <w:p>
      <w:pPr>
        <w:pStyle w:val="Heading2"/>
        <w:spacing w:after="100" w:before="200"/>
      </w:pPr>
      <w:r>
        <w:t xml:space="preserve">4.2 Modification et suppression</w:t>
      </w:r>
    </w:p>
    <w:p>
      <w:pPr>
        <w:pStyle w:val="ListParagraph"/>
        <w:numPr>
          <w:ilvl w:val="0"/>
          <w:numId w:val="2"/>
        </w:numPr>
        <w:spacing w:after="60"/>
      </w:pPr>
      <w:r>
        <w:t xml:space="preserve">Modification libre à tout moment.</w:t>
      </w:r>
    </w:p>
    <w:p>
      <w:pPr>
        <w:pStyle w:val="ListParagraph"/>
        <w:numPr>
          <w:ilvl w:val="0"/>
          <w:numId w:val="2"/>
        </w:numPr>
        <w:spacing w:after="60"/>
      </w:pPr>
      <w:r>
        <w:t xml:space="preserve">Suppression bloquée si des passagers sont enregistrés sur le vol, avec message explicite affiché à l'écran : « Des passagers sont enregistrés sur ce vol, les supprimer avant de supprimer le vol. »</w:t>
      </w:r>
    </w:p>
    <w:p>
      <w:pPr>
        <w:pStyle w:val="Heading1"/>
        <w:spacing w:after="150" w:before="300"/>
      </w:pPr>
      <w:r>
        <w:t xml:space="preserve">5. Stocks et contingents (assignations)</w:t>
      </w:r>
    </w:p>
    <w:p>
      <w:pPr>
        <w:spacing w:after="120"/>
      </w:pPr>
      <w:r>
        <w:t xml:space="preserve">Attribution de contingents de sièges (engagement et free-sale) aux entreprises clientes, vol par vol.</w:t>
      </w:r>
    </w:p>
    <w:p>
      <w:pPr>
        <w:pStyle w:val="Heading2"/>
        <w:spacing w:after="100" w:before="200"/>
      </w:pPr>
      <w:r>
        <w:t xml:space="preserve">5.1 Attribution</w:t>
      </w:r>
    </w:p>
    <w:p>
      <w:pPr>
        <w:pStyle w:val="ListParagraph"/>
        <w:numPr>
          <w:ilvl w:val="0"/>
          <w:numId w:val="2"/>
        </w:numPr>
        <w:spacing w:after="60"/>
      </w:pPr>
      <w:r>
        <w:t xml:space="preserve">Vol par vol, ou en masse sur plusieurs vols sélectionnés (même quantité appliquée à chacun).</w:t>
      </w:r>
    </w:p>
    <w:p>
      <w:pPr>
        <w:pStyle w:val="ListParagraph"/>
        <w:numPr>
          <w:ilvl w:val="0"/>
          <w:numId w:val="2"/>
        </w:numPr>
        <w:spacing w:after="60"/>
      </w:pPr>
      <w:r>
        <w:t xml:space="preserve">Une nouvelle assignation sur un couple (vol, entreprise) déjà existant écrase l'ancienne (ne s'additionne pas).</w:t>
      </w:r>
    </w:p>
    <w:p>
      <w:pPr>
        <w:pStyle w:val="Heading2"/>
        <w:spacing w:after="100" w:before="200"/>
      </w:pPr>
      <w:r>
        <w:t xml:space="preserve">5.2 Contrôles</w:t>
      </w:r>
    </w:p>
    <w:p>
      <w:pPr>
        <w:pStyle w:val="ListParagraph"/>
        <w:numPr>
          <w:ilvl w:val="0"/>
          <w:numId w:val="2"/>
        </w:numPr>
        <w:spacing w:after="60"/>
      </w:pPr>
      <w:r>
        <w:t xml:space="preserve">Anti-surbooking : le total attribué (engagement + free-sale, toutes entreprises) ne peut jamais dépasser le nombre de sièges du vol — contrôle bloquant, message affiché à l'écran.</w:t>
      </w:r>
    </w:p>
    <w:p>
      <w:pPr>
        <w:pStyle w:val="ListParagraph"/>
        <w:numPr>
          <w:ilvl w:val="0"/>
          <w:numId w:val="2"/>
        </w:numPr>
        <w:spacing w:after="60"/>
      </w:pPr>
      <w:r>
        <w:t xml:space="preserve">Anti-sous-attribution : une modification est refusée si l'entreprise a déjà plus de passagers enregistrés (par type de siège) que la nouvelle quantité proposée.</w:t>
      </w:r>
    </w:p>
    <w:p>
      <w:pPr>
        <w:pStyle w:val="Heading2"/>
        <w:spacing w:after="100" w:before="200"/>
      </w:pPr>
      <w:r>
        <w:t xml:space="preserve">5.3 Affichage</w:t>
      </w:r>
    </w:p>
    <w:p>
      <w:pPr>
        <w:pStyle w:val="ListParagraph"/>
        <w:numPr>
          <w:ilvl w:val="0"/>
          <w:numId w:val="2"/>
        </w:numPr>
        <w:spacing w:after="60"/>
      </w:pPr>
      <w:r>
        <w:t xml:space="preserve">Les vols aller et retour sont affichés côte à côte (deux colonnes), appariés par date de départ : un aller et un retour à la même date apparaissent sur la même ligne. Case vide si l'un des deux sens n'a pas de vol à cette date.</w:t>
      </w:r>
    </w:p>
    <w:p>
      <w:pPr>
        <w:pStyle w:val="ListParagraph"/>
        <w:numPr>
          <w:ilvl w:val="0"/>
          <w:numId w:val="2"/>
        </w:numPr>
        <w:spacing w:after="60"/>
      </w:pPr>
      <w:r>
        <w:t xml:space="preserve">Tableau par vol, colonnes dans cet ordre : Engagement, Reste Eng., Free sale, Reste F.S., Reste Total.</w:t>
      </w:r>
    </w:p>
    <w:p>
      <w:pPr>
        <w:pStyle w:val="ListParagraph"/>
        <w:numPr>
          <w:ilvl w:val="0"/>
          <w:numId w:val="2"/>
        </w:numPr>
        <w:spacing w:after="60"/>
      </w:pPr>
      <w:r>
        <w:t xml:space="preserve">Clic sur le nom d'une entreprise (souligné) : fenêtre modale de modification rapide, avec les champs nombre de sièges engagement, nombre de sièges free-sale, prix engagement HT, prix free-sale HT, taxes engagement, taxes free-sale. Boutons Valider / Annuler. Mêmes contrôles anti-surbooking / anti-sous-attribution qu'à la création.</w:t>
      </w:r>
    </w:p>
    <w:p>
      <w:pPr>
        <w:pStyle w:val="Heading1"/>
        <w:spacing w:after="150" w:before="300"/>
      </w:pPr>
      <w:r>
        <w:t xml:space="preserve">6. Passagers</w:t>
      </w:r>
    </w:p>
    <w:p>
      <w:pPr>
        <w:pStyle w:val="Heading2"/>
        <w:spacing w:after="100" w:before="200"/>
      </w:pPr>
      <w:r>
        <w:t xml:space="preserve">6.1 Règles générales</w:t>
      </w:r>
    </w:p>
    <w:p>
      <w:pPr>
        <w:pStyle w:val="ListParagraph"/>
        <w:numPr>
          <w:ilvl w:val="0"/>
          <w:numId w:val="2"/>
        </w:numPr>
        <w:spacing w:after="60"/>
      </w:pPr>
      <w:r>
        <w:t xml:space="preserve">Un passager peut figurer sur un vol aller et un vol retour distincts, ou deux fois à des dates différentes ; il ne peut pas figurer deux fois sur le même vol.</w:t>
      </w:r>
    </w:p>
    <w:p>
      <w:pPr>
        <w:pStyle w:val="Heading2"/>
        <w:spacing w:after="100" w:before="200"/>
      </w:pPr>
      <w:r>
        <w:t xml:space="preserve">6.2 Saisie manuelle</w:t>
      </w:r>
    </w:p>
    <w:p>
      <w:pPr>
        <w:pStyle w:val="ListParagraph"/>
        <w:numPr>
          <w:ilvl w:val="0"/>
          <w:numId w:val="2"/>
        </w:numPr>
        <w:spacing w:after="60"/>
      </w:pPr>
      <w:r>
        <w:t xml:space="preserve">Champs : type de siège, civilité (MR/MRS/MME), nom, prénom, date de naissance, genre, numéro de réservation (optionnel), code pays nationalité, type de document (PP, CNI prévu pour évolution future), numéro de document (optionnel), code pays d'émission du document, date d'émission (optionnel), date d'expiration (optionnel), numéro de siège (optionnel), excess bag (optionnel).</w:t>
      </w:r>
    </w:p>
    <w:p>
      <w:pPr>
        <w:pStyle w:val="ListParagraph"/>
        <w:numPr>
          <w:ilvl w:val="0"/>
          <w:numId w:val="2"/>
        </w:numPr>
        <w:spacing w:after="60"/>
      </w:pPr>
      <w:r>
        <w:t xml:space="preserve">Modification individuelle : clic sur le nom du passager (souligné) dans la liste → fenêtre modale reprenant exactement les mêmes champs, le même ordre et la même présentation que la saisie. Boutons Valider / Annuler. Le vol du passager n'est pas modifiable depuis cette fenêtre.</w:t>
      </w:r>
    </w:p>
    <w:p>
      <w:pPr>
        <w:pStyle w:val="Heading2"/>
        <w:spacing w:after="100" w:before="200"/>
      </w:pPr>
      <w:r>
        <w:t xml:space="preserve">6.3 Import Excel (.xlsx)</w:t>
      </w:r>
    </w:p>
    <w:p>
      <w:pPr>
        <w:pStyle w:val="ListParagraph"/>
        <w:numPr>
          <w:ilvl w:val="0"/>
          <w:numId w:val="2"/>
        </w:numPr>
        <w:spacing w:after="60"/>
      </w:pPr>
      <w:r>
        <w:t xml:space="preserve">Format du fichier modèle fourni par ASL, conservé à l'identique (toutes les colonnes présentes, numéro de document et date d'expiration non obligatoires dans le fichier).</w:t>
      </w:r>
    </w:p>
    <w:p>
      <w:pPr>
        <w:pStyle w:val="ListParagraph"/>
        <w:numPr>
          <w:ilvl w:val="0"/>
          <w:numId w:val="2"/>
        </w:numPr>
        <w:spacing w:after="60"/>
      </w:pPr>
      <w:r>
        <w:t xml:space="preserve">Cinématique de remplacement : un import pour une entreprise sur un vol supprime d'abord tous les passagers existants de cette entreprise sur ce vol (importés ET saisis manuellement), puis insère la nouvelle liste — opération tout-ou-rien. La saisie manuelle ultérieure reste additive ; seul un nouvel import réinitialise à nouveau.</w:t>
      </w:r>
    </w:p>
    <w:p>
      <w:pPr>
        <w:pStyle w:val="ListParagraph"/>
        <w:numPr>
          <w:ilvl w:val="0"/>
          <w:numId w:val="2"/>
        </w:numPr>
        <w:spacing w:after="60"/>
      </w:pPr>
      <w:r>
        <w:t xml:space="preserve">Rejet total du fichier en cas d'erreur, avec message précisant ligne, champ et nature du problème.</w:t>
      </w:r>
    </w:p>
    <w:p>
      <w:pPr>
        <w:pStyle w:val="Heading2"/>
        <w:spacing w:after="100" w:before="200"/>
      </w:pPr>
      <w:r>
        <w:t xml:space="preserve">6.4 Suppression en masse</w:t>
      </w:r>
    </w:p>
    <w:p>
      <w:pPr>
        <w:pStyle w:val="ListParagraph"/>
        <w:numPr>
          <w:ilvl w:val="0"/>
          <w:numId w:val="2"/>
        </w:numPr>
        <w:spacing w:after="60"/>
      </w:pPr>
      <w:r>
        <w:t xml:space="preserve">Suppression de tous les passagers d'un vol, ou de tous les passagers d'une entreprise sur un vol, avec avertissement fort et double confirmation.</w:t>
      </w:r>
    </w:p>
    <w:p>
      <w:pPr>
        <w:pStyle w:val="Heading1"/>
        <w:spacing w:after="150" w:before="300"/>
      </w:pPr>
      <w:r>
        <w:t xml:space="preserve">7. Export des listes de passagers (destination ASL)</w:t>
      </w:r>
    </w:p>
    <w:p>
      <w:pPr>
        <w:spacing w:after="120"/>
      </w:pPr>
      <w:r>
        <w:t xml:space="preserve">Un fichier Excel (.xlsx) par vol, format de colonnes imposé par ASL et respecté à l'identique : Brand, FlightDate, FlightNumber, OriginCode, DestinationCode, CivilityCode, Surname, FirstName, BirthDate, BookingNumber, Gender, NationalityCountryCode, DocumentTypeCode, DocumentNumber, DocumentIssuingCountryCode, DocumentIssuanceDate, DocumentExpiryDate, PassengerEmail, PassengerPhone, SeatRow, ExcessBag.</w:t>
      </w:r>
    </w:p>
    <w:p>
      <w:pPr>
        <w:pStyle w:val="ListParagraph"/>
        <w:numPr>
          <w:ilvl w:val="0"/>
          <w:numId w:val="2"/>
        </w:numPr>
        <w:spacing w:after="60"/>
      </w:pPr>
      <w:r>
        <w:t xml:space="preserve">Dates en texte au format JJ/MM/AAAA (jamais en type date Excel natif).</w:t>
      </w:r>
    </w:p>
    <w:p>
      <w:pPr>
        <w:pStyle w:val="ListParagraph"/>
        <w:numPr>
          <w:ilvl w:val="0"/>
          <w:numId w:val="2"/>
        </w:numPr>
        <w:spacing w:after="60"/>
      </w:pPr>
      <w:r>
        <w:t xml:space="preserve">PassengerEmail / PassengerPhone toujours vides (non collectés). Valeurs manquantes en chaîne vide, jamais nulles.</w:t>
      </w:r>
    </w:p>
    <w:p>
      <w:pPr>
        <w:pStyle w:val="Heading1"/>
        <w:spacing w:after="150" w:before="300"/>
      </w:pPr>
      <w:r>
        <w:t xml:space="preserve">8. Statistiques</w:t>
      </w:r>
    </w:p>
    <w:p>
      <w:pPr>
        <w:spacing w:after="120"/>
      </w:pPr>
      <w:r>
        <w:t xml:space="preserve">Écran organisé en 4 onglets.</w:t>
      </w:r>
    </w:p>
    <w:p>
      <w:pPr>
        <w:pStyle w:val="Heading2"/>
        <w:spacing w:after="100" w:before="200"/>
      </w:pPr>
      <w:r>
        <w:t xml:space="preserve">8.1 Vue globale</w:t>
      </w:r>
    </w:p>
    <w:p>
      <w:pPr>
        <w:spacing w:after="120"/>
      </w:pPr>
      <w:r>
        <w:t xml:space="preserve">Une ligne par vol, tous les vols, aller et retour confondus, triée chronologiquement croissant. Colonnes : Date du vol, Origine, Destination, Sièges engagés, Sièges occupés, Sièges libres, Sièges total, Taux de remplissage, Ventes HT.</w:t>
      </w:r>
    </w:p>
    <w:p>
      <w:pPr>
        <w:pStyle w:val="ListParagraph"/>
        <w:numPr>
          <w:ilvl w:val="0"/>
          <w:numId w:val="2"/>
        </w:numPr>
        <w:spacing w:after="60"/>
      </w:pPr>
      <w:r>
        <w:t xml:space="preserve">Sièges engagés = somme des contingents engagement attribués sur ce vol (toutes entreprises, considérés consommés dès attribution) + passagers réellement enregistrés en free-sale sur ce vol.</w:t>
      </w:r>
    </w:p>
    <w:p>
      <w:pPr>
        <w:pStyle w:val="ListParagraph"/>
        <w:numPr>
          <w:ilvl w:val="0"/>
          <w:numId w:val="2"/>
        </w:numPr>
        <w:spacing w:after="60"/>
      </w:pPr>
      <w:r>
        <w:t xml:space="preserve">Sièges occupés = décompte réel des passagers enregistrés sur ce vol, tous types confondus.</w:t>
      </w:r>
    </w:p>
    <w:p>
      <w:pPr>
        <w:pStyle w:val="ListParagraph"/>
        <w:numPr>
          <w:ilvl w:val="0"/>
          <w:numId w:val="2"/>
        </w:numPr>
        <w:spacing w:after="60"/>
      </w:pPr>
      <w:r>
        <w:t xml:space="preserve">Ventes HT = somme, pour chaque entreprise ayant un contingent sur le vol, de (contingent engagement total × prix engagement HT) + (passagers réellement enregistrés en free-sale pour cette entreprise × prix free-sale HT). L'engagement est facturé en totalité qu'il soit utilisé ou non ; le free-sale n'est facturé qu'à l'usage réel.</w:t>
      </w:r>
    </w:p>
    <w:p>
      <w:pPr>
        <w:pStyle w:val="Heading2"/>
        <w:spacing w:after="100" w:before="200"/>
      </w:pPr>
      <w:r>
        <w:t xml:space="preserve">8.2 Vue entreprise sièges engagés / Vue entreprise sièges réels</w:t>
      </w:r>
    </w:p>
    <w:p>
      <w:pPr>
        <w:spacing w:after="120"/>
      </w:pPr>
      <w:r>
        <w:t xml:space="preserve">Deux tableaux côte à côte (Aller / Retour), alignés sur un axe de dates commun (case vide si l'un des deux sens n'a pas de vol à une date). Une colonne par entreprise (identifiée par son code 3 lettres), plus Total / Stock / Reste / %.</w:t>
      </w:r>
    </w:p>
    <w:p>
      <w:pPr>
        <w:pStyle w:val="ListParagraph"/>
        <w:numPr>
          <w:ilvl w:val="0"/>
          <w:numId w:val="2"/>
        </w:numPr>
        <w:spacing w:after="60"/>
      </w:pPr>
      <w:r>
        <w:t xml:space="preserve">Sièges engagés par entreprise = son contingent engagement total + ses passagers free-sale réellement enregistrés.</w:t>
      </w:r>
    </w:p>
    <w:p>
      <w:pPr>
        <w:pStyle w:val="ListParagraph"/>
        <w:numPr>
          <w:ilvl w:val="0"/>
          <w:numId w:val="2"/>
        </w:numPr>
        <w:spacing w:after="60"/>
      </w:pPr>
      <w:r>
        <w:t xml:space="preserve">Sièges réels par entreprise = tous ses passagers réellement enregistrés (engagement + free-sale).</w:t>
      </w:r>
    </w:p>
    <w:p>
      <w:pPr>
        <w:pStyle w:val="ListParagraph"/>
        <w:numPr>
          <w:ilvl w:val="0"/>
          <w:numId w:val="2"/>
        </w:numPr>
        <w:spacing w:after="60"/>
      </w:pPr>
      <w:r>
        <w:t xml:space="preserve">Police agrandie, tableaux en pleine largeur du bloc, sans contrainte de hauteur entre les blocs Aller et Retour.</w:t>
      </w:r>
    </w:p>
    <w:p>
      <w:pPr>
        <w:pStyle w:val="Heading2"/>
        <w:spacing w:after="100" w:before="200"/>
      </w:pPr>
      <w:r>
        <w:t xml:space="preserve">8.3 Bilan financier</w:t>
      </w:r>
    </w:p>
    <w:p>
      <w:pPr>
        <w:spacing w:after="120"/>
      </w:pPr>
      <w:r>
        <w:t xml:space="preserve">Calcule l'équilibre économique de l'ensemble des affrètements ASL.</w:t>
      </w:r>
    </w:p>
    <w:p>
      <w:pPr>
        <w:pStyle w:val="ListParagraph"/>
        <w:numPr>
          <w:ilvl w:val="0"/>
          <w:numId w:val="2"/>
        </w:numPr>
        <w:spacing w:after="60"/>
      </w:pPr>
      <w:r>
        <w:t xml:space="preserve">5 valeurs initiales saisies par l'administrateur via une fenêtre modale (« Valeurs initiales ») : Coûts ASL, Révision carburant, Apport Mauritanie, Frais administratifs, Frais aéroport Mauritanie. Un seul jeu de valeurs pour toute l'exploitation.</w:t>
      </w:r>
    </w:p>
    <w:p>
      <w:pPr>
        <w:pStyle w:val="ListParagraph"/>
        <w:numPr>
          <w:ilvl w:val="0"/>
          <w:numId w:val="2"/>
        </w:numPr>
        <w:spacing w:after="60"/>
      </w:pPr>
      <w:r>
        <w:t xml:space="preserve">Saison configurable par l'administrateur via une fenêtre modale (« Configurer la saison ») : date de début et de fin déterminant les colonnes mensuelles du tableau (une par fin de mois entre ces deux dates, générées dynamiquement).</w:t>
      </w:r>
    </w:p>
    <w:p>
      <w:pPr>
        <w:pStyle w:val="ListParagraph"/>
        <w:numPr>
          <w:ilvl w:val="0"/>
          <w:numId w:val="2"/>
        </w:numPr>
        <w:spacing w:after="60"/>
      </w:pPr>
      <w:r>
        <w:t xml:space="preserve">Tableau mensuel : sous-titre « Calcul du bilan financier avec les ventes réalisées à la fin de chaque mois. » Chaque colonne reprend les 5 valeurs initiales, puis calcule Ventes réalisées et Résultat financier uniquement pour les mois déjà atteints (mois futurs vides sur ces deux lignes).</w:t>
      </w:r>
    </w:p>
    <w:p>
      <w:pPr>
        <w:pStyle w:val="ListParagraph"/>
        <w:numPr>
          <w:ilvl w:val="0"/>
          <w:numId w:val="2"/>
        </w:numPr>
        <w:spacing w:after="60"/>
      </w:pPr>
      <w:r>
        <w:t xml:space="preserve">Ventes réalisées à une date D = somme, sur les assignations créées au plus tard le jour D, de (contingent engagement total × prix engagement HT), plus somme, sur les passagers free-sale enregistrés au plus tard le jour D, de leur prix free-sale HT.</w:t>
      </w:r>
    </w:p>
    <w:p>
      <w:pPr>
        <w:pStyle w:val="ListParagraph"/>
        <w:numPr>
          <w:ilvl w:val="0"/>
          <w:numId w:val="2"/>
        </w:numPr>
        <w:spacing w:after="60"/>
      </w:pPr>
      <w:r>
        <w:t xml:space="preserve">Approximation validée : si un contingent est modifié après sa création initiale, le calcul rétroactif utilise sa valeur actuelle appliquée depuis sa date de création d'origine (pas d'historique de versioning).</w:t>
      </w:r>
    </w:p>
    <w:p>
      <w:pPr>
        <w:pStyle w:val="ListParagraph"/>
        <w:numPr>
          <w:ilvl w:val="0"/>
          <w:numId w:val="2"/>
        </w:numPr>
        <w:spacing w:after="60"/>
      </w:pPr>
      <w:r>
        <w:t xml:space="preserve">Calcul à une date donnée : formulaire indépendant, pré-calculé automatiquement à l'ouverture de la page avec la date du jour, recalculable à la demande pour toute autre date.</w:t>
      </w:r>
    </w:p>
    <w:p>
      <w:pPr>
        <w:pStyle w:val="ListParagraph"/>
        <w:numPr>
          <w:ilvl w:val="0"/>
          <w:numId w:val="2"/>
        </w:numPr>
        <w:spacing w:after="60"/>
      </w:pPr>
      <w:r>
        <w:t xml:space="preserve">Tous les montants sont arrondis à l'euro (sans décimales), affichés en rouge si négatifs, en vert si positifs.</w:t>
      </w:r>
    </w:p>
    <w:p>
      <w:pPr>
        <w:pStyle w:val="Heading2"/>
        <w:spacing w:after="100" w:before="200"/>
      </w:pPr>
      <w:r>
        <w:t xml:space="preserve">8.4 Exports Excel</w:t>
      </w:r>
    </w:p>
    <w:p>
      <w:pPr>
        <w:spacing w:after="120"/>
      </w:pPr>
      <w:r>
        <w:t xml:space="preserve">Un export Excel est disponible pour chacun des 4 onglets, reprenant à l'identique les colonnes et règles de calcul affichées à l'écran (les deux vues par entreprise exportent 2 feuilles Aller/Retour ; le bilan financier exporte le tableau mensuel et le calcul à une date en 2 feuilles).</w:t>
      </w:r>
    </w:p>
    <w:p>
      <w:pPr>
        <w:pStyle w:val="Heading1"/>
        <w:spacing w:after="150" w:before="300"/>
      </w:pPr>
      <w:r>
        <w:t xml:space="preserve">9. Sauvegarde quotidienne</w:t>
      </w:r>
    </w:p>
    <w:p>
      <w:pPr>
        <w:spacing w:after="120"/>
      </w:pPr>
      <w:r>
        <w:t xml:space="preserve">Route technique protégée par jeton secret, destinée à être appelée une fois par jour par un service de cron externe gratuit (cron-job.org). Envoie par email deux pièces jointes :</w:t>
      </w:r>
    </w:p>
    <w:p>
      <w:pPr>
        <w:pStyle w:val="ListParagraph"/>
        <w:numPr>
          <w:ilvl w:val="0"/>
          <w:numId w:val="2"/>
        </w:numPr>
        <w:spacing w:after="60"/>
      </w:pPr>
      <w:r>
        <w:t xml:space="preserve">Un dump SQL complet et autonome (schéma + toutes les données), rechargeable tel quel sur une base neuve — protection indépendante de la plateforme d'hébergement.</w:t>
      </w:r>
    </w:p>
    <w:p>
      <w:pPr>
        <w:pStyle w:val="ListParagraph"/>
        <w:numPr>
          <w:ilvl w:val="0"/>
          <w:numId w:val="2"/>
        </w:numPr>
        <w:spacing w:after="60"/>
      </w:pPr>
      <w:r>
        <w:t xml:space="preserve">Un classeur Excel à 3 onglets (Vols, Assignations, Passagers), lisible sans outil technique, filet de sécurité opérationnel en cas de panne temporaire.</w:t>
      </w:r>
    </w:p>
    <w:p>
      <w:pPr>
        <w:pStyle w:val="Heading1"/>
        <w:spacing w:after="150" w:before="300"/>
      </w:pPr>
      <w:r>
        <w:t xml:space="preserve">10. Modèle de données cible</w:t>
      </w:r>
    </w:p>
    <w:p>
      <w:pPr>
        <w:pStyle w:val="Heading2"/>
        <w:spacing w:after="100" w:before="200"/>
      </w:pPr>
      <w:r>
        <w:t xml:space="preserve">10.1 Entreprise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F2F2F2" w:val="clear"/>
          </w:tcPr>
          <w:p>
            <w:r>
              <w:rPr>
                <w:b/>
                <w:bCs/>
                <w:sz w:val="18"/>
                <w:szCs w:val="18"/>
              </w:rPr>
              <w:t xml:space="preserve">Champ</w:t>
            </w:r>
          </w:p>
        </w:tc>
        <w:tc>
          <w:tcPr>
            <w:tcW w:type="dxa" w:w="3000"/>
            <w:shd w:fill="F2F2F2" w:val="clear"/>
          </w:tcPr>
          <w:p>
            <w:r>
              <w:rPr>
                <w:b/>
                <w:bCs/>
                <w:sz w:val="18"/>
                <w:szCs w:val="18"/>
              </w:rPr>
              <w:t xml:space="preserve">Type</w:t>
            </w:r>
          </w:p>
        </w:tc>
      </w:tr>
      <w:tr>
        <w:tc>
          <w:tcPr>
            <w:tcW w:type="dxa" w:w="2000"/>
          </w:tcPr>
          <w:p>
            <w:r>
              <w:rPr>
                <w:b w:val="false"/>
                <w:bCs w:val="false"/>
                <w:sz w:val="18"/>
                <w:szCs w:val="18"/>
              </w:rPr>
              <w:t xml:space="preserve">nom</w:t>
            </w:r>
          </w:p>
        </w:tc>
        <w:tc>
          <w:tcPr>
            <w:tcW w:type="dxa" w:w="2000"/>
          </w:tcPr>
          <w:p>
            <w:r>
              <w:rPr>
                <w:b w:val="false"/>
                <w:bCs w:val="false"/>
                <w:sz w:val="18"/>
                <w:szCs w:val="18"/>
              </w:rPr>
              <w:t xml:space="preserve">texte</w:t>
            </w:r>
          </w:p>
        </w:tc>
      </w:tr>
      <w:tr>
        <w:tc>
          <w:tcPr>
            <w:tcW w:type="dxa" w:w="2000"/>
          </w:tcPr>
          <w:p>
            <w:r>
              <w:rPr>
                <w:b w:val="false"/>
                <w:bCs w:val="false"/>
                <w:sz w:val="18"/>
                <w:szCs w:val="18"/>
              </w:rPr>
              <w:t xml:space="preserve">code 3 lettres</w:t>
            </w:r>
          </w:p>
        </w:tc>
        <w:tc>
          <w:tcPr>
            <w:tcW w:type="dxa" w:w="2000"/>
          </w:tcPr>
          <w:p>
            <w:r>
              <w:rPr>
                <w:b w:val="false"/>
                <w:bCs w:val="false"/>
                <w:sz w:val="18"/>
                <w:szCs w:val="18"/>
              </w:rPr>
              <w:t xml:space="preserve">texte, obligatoire, majuscules</w:t>
            </w:r>
          </w:p>
        </w:tc>
      </w:tr>
    </w:tbl>
    <w:p>
      <w:pPr>
        <w:spacing w:after="120"/>
      </w:pPr>
      <w:r>
        <w:t xml:space="preserve"/>
      </w:r>
    </w:p>
    <w:p>
      <w:pPr>
        <w:pStyle w:val="Heading2"/>
        <w:spacing w:after="100" w:before="200"/>
      </w:pPr>
      <w:r>
        <w:t xml:space="preserve">10.2 Vol</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tblGrid>
      <w:tr>
        <w:tc>
          <w:tcPr>
            <w:tcW w:type="dxa" w:w="3500"/>
            <w:shd w:fill="F2F2F2" w:val="clear"/>
          </w:tcPr>
          <w:p>
            <w:r>
              <w:rPr>
                <w:b/>
                <w:bCs/>
                <w:sz w:val="18"/>
                <w:szCs w:val="18"/>
              </w:rPr>
              <w:t xml:space="preserve">Champ</w:t>
            </w:r>
          </w:p>
        </w:tc>
        <w:tc>
          <w:tcPr>
            <w:tcW w:type="dxa" w:w="3000"/>
            <w:shd w:fill="F2F2F2" w:val="clear"/>
          </w:tcPr>
          <w:p>
            <w:r>
              <w:rPr>
                <w:b/>
                <w:bCs/>
                <w:sz w:val="18"/>
                <w:szCs w:val="18"/>
              </w:rPr>
              <w:t xml:space="preserve">Type</w:t>
            </w:r>
          </w:p>
        </w:tc>
      </w:tr>
      <w:tr>
        <w:tc>
          <w:tcPr>
            <w:tcW w:type="dxa" w:w="2000"/>
          </w:tcPr>
          <w:p>
            <w:r>
              <w:rPr>
                <w:b w:val="false"/>
                <w:bCs w:val="false"/>
                <w:sz w:val="18"/>
                <w:szCs w:val="18"/>
              </w:rPr>
              <w:t xml:space="preserve">numéro de vol</w:t>
            </w:r>
          </w:p>
        </w:tc>
        <w:tc>
          <w:tcPr>
            <w:tcW w:type="dxa" w:w="2000"/>
          </w:tcPr>
          <w:p>
            <w:r>
              <w:rPr>
                <w:b w:val="false"/>
                <w:bCs w:val="false"/>
                <w:sz w:val="18"/>
                <w:szCs w:val="18"/>
              </w:rPr>
              <w:t xml:space="preserve">texte</w:t>
            </w:r>
          </w:p>
        </w:tc>
      </w:tr>
      <w:tr>
        <w:tc>
          <w:tcPr>
            <w:tcW w:type="dxa" w:w="2000"/>
          </w:tcPr>
          <w:p>
            <w:r>
              <w:rPr>
                <w:b w:val="false"/>
                <w:bCs w:val="false"/>
                <w:sz w:val="18"/>
                <w:szCs w:val="18"/>
              </w:rPr>
              <w:t xml:space="preserve">aéroport de départ / d'arrivée</w:t>
            </w:r>
          </w:p>
        </w:tc>
        <w:tc>
          <w:tcPr>
            <w:tcW w:type="dxa" w:w="2000"/>
          </w:tcPr>
          <w:p>
            <w:r>
              <w:rPr>
                <w:b w:val="false"/>
                <w:bCs w:val="false"/>
                <w:sz w:val="18"/>
                <w:szCs w:val="18"/>
              </w:rPr>
              <w:t xml:space="preserve">texte (code)</w:t>
            </w:r>
          </w:p>
        </w:tc>
      </w:tr>
      <w:tr>
        <w:tc>
          <w:tcPr>
            <w:tcW w:type="dxa" w:w="2000"/>
          </w:tcPr>
          <w:p>
            <w:r>
              <w:rPr>
                <w:b w:val="false"/>
                <w:bCs w:val="false"/>
                <w:sz w:val="18"/>
                <w:szCs w:val="18"/>
              </w:rPr>
              <w:t xml:space="preserve">date de départ / d'arrivée</w:t>
            </w:r>
          </w:p>
        </w:tc>
        <w:tc>
          <w:tcPr>
            <w:tcW w:type="dxa" w:w="2000"/>
          </w:tcPr>
          <w:p>
            <w:r>
              <w:rPr>
                <w:b w:val="false"/>
                <w:bCs w:val="false"/>
                <w:sz w:val="18"/>
                <w:szCs w:val="18"/>
              </w:rPr>
              <w:t xml:space="preserve">date</w:t>
            </w:r>
          </w:p>
        </w:tc>
      </w:tr>
      <w:tr>
        <w:tc>
          <w:tcPr>
            <w:tcW w:type="dxa" w:w="2000"/>
          </w:tcPr>
          <w:p>
            <w:r>
              <w:rPr>
                <w:b w:val="false"/>
                <w:bCs w:val="false"/>
                <w:sz w:val="18"/>
                <w:szCs w:val="18"/>
              </w:rPr>
              <w:t xml:space="preserve">nombre de sièges</w:t>
            </w:r>
          </w:p>
        </w:tc>
        <w:tc>
          <w:tcPr>
            <w:tcW w:type="dxa" w:w="2000"/>
          </w:tcPr>
          <w:p>
            <w:r>
              <w:rPr>
                <w:b w:val="false"/>
                <w:bCs w:val="false"/>
                <w:sz w:val="18"/>
                <w:szCs w:val="18"/>
              </w:rPr>
              <w:t xml:space="preserve">nombre</w:t>
            </w:r>
          </w:p>
        </w:tc>
      </w:tr>
      <w:tr>
        <w:tc>
          <w:tcPr>
            <w:tcW w:type="dxa" w:w="2000"/>
          </w:tcPr>
          <w:p>
            <w:r>
              <w:rPr>
                <w:b w:val="false"/>
                <w:bCs w:val="false"/>
                <w:sz w:val="18"/>
                <w:szCs w:val="18"/>
              </w:rPr>
              <w:t xml:space="preserve">coût du vol HT</w:t>
            </w:r>
          </w:p>
        </w:tc>
        <w:tc>
          <w:tcPr>
            <w:tcW w:type="dxa" w:w="2000"/>
          </w:tcPr>
          <w:p>
            <w:r>
              <w:rPr>
                <w:b w:val="false"/>
                <w:bCs w:val="false"/>
                <w:sz w:val="18"/>
                <w:szCs w:val="18"/>
              </w:rPr>
              <w:t xml:space="preserve">nombre</w:t>
            </w:r>
          </w:p>
        </w:tc>
      </w:tr>
      <w:tr>
        <w:tc>
          <w:tcPr>
            <w:tcW w:type="dxa" w:w="2000"/>
          </w:tcPr>
          <w:p>
            <w:r>
              <w:rPr>
                <w:b w:val="false"/>
                <w:bCs w:val="false"/>
                <w:sz w:val="18"/>
                <w:szCs w:val="18"/>
              </w:rPr>
              <w:t xml:space="preserve">taxes</w:t>
            </w:r>
          </w:p>
        </w:tc>
        <w:tc>
          <w:tcPr>
            <w:tcW w:type="dxa" w:w="2000"/>
          </w:tcPr>
          <w:p>
            <w:r>
              <w:rPr>
                <w:b w:val="false"/>
                <w:bCs w:val="false"/>
                <w:sz w:val="18"/>
                <w:szCs w:val="18"/>
              </w:rPr>
              <w:t xml:space="preserve">nombre</w:t>
            </w:r>
          </w:p>
        </w:tc>
      </w:tr>
      <w:tr>
        <w:tc>
          <w:tcPr>
            <w:tcW w:type="dxa" w:w="2000"/>
          </w:tcPr>
          <w:p>
            <w:r>
              <w:rPr>
                <w:b w:val="false"/>
                <w:bCs w:val="false"/>
                <w:sz w:val="18"/>
                <w:szCs w:val="18"/>
              </w:rPr>
              <w:t xml:space="preserve">sens (aller / retour)</w:t>
            </w:r>
          </w:p>
        </w:tc>
        <w:tc>
          <w:tcPr>
            <w:tcW w:type="dxa" w:w="2000"/>
          </w:tcPr>
          <w:p>
            <w:r>
              <w:rPr>
                <w:b w:val="false"/>
                <w:bCs w:val="false"/>
                <w:sz w:val="18"/>
                <w:szCs w:val="18"/>
              </w:rPr>
              <w:t xml:space="preserve">booléen</w:t>
            </w:r>
          </w:p>
        </w:tc>
      </w:tr>
      <w:tr>
        <w:tc>
          <w:tcPr>
            <w:tcW w:type="dxa" w:w="2000"/>
          </w:tcPr>
          <w:p>
            <w:r>
              <w:rPr>
                <w:b w:val="false"/>
                <w:bCs w:val="false"/>
                <w:sz w:val="18"/>
                <w:szCs w:val="18"/>
              </w:rPr>
              <w:t xml:space="preserve">identifiant de série</w:t>
            </w:r>
          </w:p>
        </w:tc>
        <w:tc>
          <w:tcPr>
            <w:tcW w:type="dxa" w:w="2000"/>
          </w:tcPr>
          <w:p>
            <w:r>
              <w:rPr>
                <w:b w:val="false"/>
                <w:bCs w:val="false"/>
                <w:sz w:val="18"/>
                <w:szCs w:val="18"/>
              </w:rPr>
              <w:t xml:space="preserve">texte, optionnel</w:t>
            </w:r>
          </w:p>
        </w:tc>
      </w:tr>
    </w:tbl>
    <w:p>
      <w:pPr>
        <w:spacing w:after="120"/>
      </w:pPr>
      <w:r>
        <w:t xml:space="preserve"/>
      </w:r>
    </w:p>
    <w:p>
      <w:pPr>
        <w:pStyle w:val="Heading2"/>
        <w:spacing w:after="100" w:before="200"/>
      </w:pPr>
      <w:r>
        <w:t xml:space="preserve">10.3 Assignation (stock)</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tblGrid>
      <w:tr>
        <w:tc>
          <w:tcPr>
            <w:tcW w:type="dxa" w:w="3500"/>
            <w:shd w:fill="F2F2F2" w:val="clear"/>
          </w:tcPr>
          <w:p>
            <w:r>
              <w:rPr>
                <w:b/>
                <w:bCs/>
                <w:sz w:val="18"/>
                <w:szCs w:val="18"/>
              </w:rPr>
              <w:t xml:space="preserve">Champ</w:t>
            </w:r>
          </w:p>
        </w:tc>
        <w:tc>
          <w:tcPr>
            <w:tcW w:type="dxa" w:w="3000"/>
            <w:shd w:fill="F2F2F2" w:val="clear"/>
          </w:tcPr>
          <w:p>
            <w:r>
              <w:rPr>
                <w:b/>
                <w:bCs/>
                <w:sz w:val="18"/>
                <w:szCs w:val="18"/>
              </w:rPr>
              <w:t xml:space="preserve">Type</w:t>
            </w:r>
          </w:p>
        </w:tc>
      </w:tr>
      <w:tr>
        <w:tc>
          <w:tcPr>
            <w:tcW w:type="dxa" w:w="2000"/>
          </w:tcPr>
          <w:p>
            <w:r>
              <w:rPr>
                <w:b w:val="false"/>
                <w:bCs w:val="false"/>
                <w:sz w:val="18"/>
                <w:szCs w:val="18"/>
              </w:rPr>
              <w:t xml:space="preserve">vol / entreprise</w:t>
            </w:r>
          </w:p>
        </w:tc>
        <w:tc>
          <w:tcPr>
            <w:tcW w:type="dxa" w:w="2000"/>
          </w:tcPr>
          <w:p>
            <w:r>
              <w:rPr>
                <w:b w:val="false"/>
                <w:bCs w:val="false"/>
                <w:sz w:val="18"/>
                <w:szCs w:val="18"/>
              </w:rPr>
              <w:t xml:space="preserve">références</w:t>
            </w:r>
          </w:p>
        </w:tc>
      </w:tr>
      <w:tr>
        <w:tc>
          <w:tcPr>
            <w:tcW w:type="dxa" w:w="2000"/>
          </w:tcPr>
          <w:p>
            <w:r>
              <w:rPr>
                <w:b w:val="false"/>
                <w:bCs w:val="false"/>
                <w:sz w:val="18"/>
                <w:szCs w:val="18"/>
              </w:rPr>
              <w:t xml:space="preserve">nb sièges engagement / free-sale</w:t>
            </w:r>
          </w:p>
        </w:tc>
        <w:tc>
          <w:tcPr>
            <w:tcW w:type="dxa" w:w="2000"/>
          </w:tcPr>
          <w:p>
            <w:r>
              <w:rPr>
                <w:b w:val="false"/>
                <w:bCs w:val="false"/>
                <w:sz w:val="18"/>
                <w:szCs w:val="18"/>
              </w:rPr>
              <w:t xml:space="preserve">nombre</w:t>
            </w:r>
          </w:p>
        </w:tc>
      </w:tr>
      <w:tr>
        <w:tc>
          <w:tcPr>
            <w:tcW w:type="dxa" w:w="2000"/>
          </w:tcPr>
          <w:p>
            <w:r>
              <w:rPr>
                <w:b w:val="false"/>
                <w:bCs w:val="false"/>
                <w:sz w:val="18"/>
                <w:szCs w:val="18"/>
              </w:rPr>
              <w:t xml:space="preserve">prix engagement / free-sale HT</w:t>
            </w:r>
          </w:p>
        </w:tc>
        <w:tc>
          <w:tcPr>
            <w:tcW w:type="dxa" w:w="2000"/>
          </w:tcPr>
          <w:p>
            <w:r>
              <w:rPr>
                <w:b w:val="false"/>
                <w:bCs w:val="false"/>
                <w:sz w:val="18"/>
                <w:szCs w:val="18"/>
              </w:rPr>
              <w:t xml:space="preserve">nombre</w:t>
            </w:r>
          </w:p>
        </w:tc>
      </w:tr>
      <w:tr>
        <w:tc>
          <w:tcPr>
            <w:tcW w:type="dxa" w:w="2000"/>
          </w:tcPr>
          <w:p>
            <w:r>
              <w:rPr>
                <w:b w:val="false"/>
                <w:bCs w:val="false"/>
                <w:sz w:val="18"/>
                <w:szCs w:val="18"/>
              </w:rPr>
              <w:t xml:space="preserve">taxes engagement / free-sale</w:t>
            </w:r>
          </w:p>
        </w:tc>
        <w:tc>
          <w:tcPr>
            <w:tcW w:type="dxa" w:w="2000"/>
          </w:tcPr>
          <w:p>
            <w:r>
              <w:rPr>
                <w:b w:val="false"/>
                <w:bCs w:val="false"/>
                <w:sz w:val="18"/>
                <w:szCs w:val="18"/>
              </w:rPr>
              <w:t xml:space="preserve">nombre</w:t>
            </w:r>
          </w:p>
        </w:tc>
      </w:tr>
    </w:tbl>
    <w:p>
      <w:pPr>
        <w:spacing w:after="120"/>
      </w:pPr>
      <w:r>
        <w:t xml:space="preserve"/>
      </w:r>
    </w:p>
    <w:p>
      <w:pPr>
        <w:pStyle w:val="Heading2"/>
        <w:spacing w:after="100" w:before="200"/>
      </w:pPr>
      <w:r>
        <w:t xml:space="preserve">10.4 Passager</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tblGrid>
      <w:tr>
        <w:tc>
          <w:tcPr>
            <w:tcW w:type="dxa" w:w="3500"/>
            <w:shd w:fill="F2F2F2" w:val="clear"/>
          </w:tcPr>
          <w:p>
            <w:r>
              <w:rPr>
                <w:b/>
                <w:bCs/>
                <w:sz w:val="18"/>
                <w:szCs w:val="18"/>
              </w:rPr>
              <w:t xml:space="preserve">Champ</w:t>
            </w:r>
          </w:p>
        </w:tc>
        <w:tc>
          <w:tcPr>
            <w:tcW w:type="dxa" w:w="3000"/>
            <w:shd w:fill="F2F2F2" w:val="clear"/>
          </w:tcPr>
          <w:p>
            <w:r>
              <w:rPr>
                <w:b/>
                <w:bCs/>
                <w:sz w:val="18"/>
                <w:szCs w:val="18"/>
              </w:rPr>
              <w:t xml:space="preserve">Type</w:t>
            </w:r>
          </w:p>
        </w:tc>
      </w:tr>
      <w:tr>
        <w:tc>
          <w:tcPr>
            <w:tcW w:type="dxa" w:w="2000"/>
          </w:tcPr>
          <w:p>
            <w:r>
              <w:rPr>
                <w:b w:val="false"/>
                <w:bCs w:val="false"/>
                <w:sz w:val="18"/>
                <w:szCs w:val="18"/>
              </w:rPr>
              <w:t xml:space="preserve">vol / entreprise</w:t>
            </w:r>
          </w:p>
        </w:tc>
        <w:tc>
          <w:tcPr>
            <w:tcW w:type="dxa" w:w="2000"/>
          </w:tcPr>
          <w:p>
            <w:r>
              <w:rPr>
                <w:b w:val="false"/>
                <w:bCs w:val="false"/>
                <w:sz w:val="18"/>
                <w:szCs w:val="18"/>
              </w:rPr>
              <w:t xml:space="preserve">références</w:t>
            </w:r>
          </w:p>
        </w:tc>
      </w:tr>
      <w:tr>
        <w:tc>
          <w:tcPr>
            <w:tcW w:type="dxa" w:w="2000"/>
          </w:tcPr>
          <w:p>
            <w:r>
              <w:rPr>
                <w:b w:val="false"/>
                <w:bCs w:val="false"/>
                <w:sz w:val="18"/>
                <w:szCs w:val="18"/>
              </w:rPr>
              <w:t xml:space="preserve">type de siège</w:t>
            </w:r>
          </w:p>
        </w:tc>
        <w:tc>
          <w:tcPr>
            <w:tcW w:type="dxa" w:w="2000"/>
          </w:tcPr>
          <w:p>
            <w:r>
              <w:rPr>
                <w:b w:val="false"/>
                <w:bCs w:val="false"/>
                <w:sz w:val="18"/>
                <w:szCs w:val="18"/>
              </w:rPr>
              <w:t xml:space="preserve">Engagement / Free-sale</w:t>
            </w:r>
          </w:p>
        </w:tc>
      </w:tr>
      <w:tr>
        <w:tc>
          <w:tcPr>
            <w:tcW w:type="dxa" w:w="2000"/>
          </w:tcPr>
          <w:p>
            <w:r>
              <w:rPr>
                <w:b w:val="false"/>
                <w:bCs w:val="false"/>
                <w:sz w:val="18"/>
                <w:szCs w:val="18"/>
              </w:rPr>
              <w:t xml:space="preserve">civilité</w:t>
            </w:r>
          </w:p>
        </w:tc>
        <w:tc>
          <w:tcPr>
            <w:tcW w:type="dxa" w:w="2000"/>
          </w:tcPr>
          <w:p>
            <w:r>
              <w:rPr>
                <w:b w:val="false"/>
                <w:bCs w:val="false"/>
                <w:sz w:val="18"/>
                <w:szCs w:val="18"/>
              </w:rPr>
              <w:t xml:space="preserve">MR / MRS / MME</w:t>
            </w:r>
          </w:p>
        </w:tc>
      </w:tr>
      <w:tr>
        <w:tc>
          <w:tcPr>
            <w:tcW w:type="dxa" w:w="2000"/>
          </w:tcPr>
          <w:p>
            <w:r>
              <w:rPr>
                <w:b w:val="false"/>
                <w:bCs w:val="false"/>
                <w:sz w:val="18"/>
                <w:szCs w:val="18"/>
              </w:rPr>
              <w:t xml:space="preserve">nom / prénom</w:t>
            </w:r>
          </w:p>
        </w:tc>
        <w:tc>
          <w:tcPr>
            <w:tcW w:type="dxa" w:w="2000"/>
          </w:tcPr>
          <w:p>
            <w:r>
              <w:rPr>
                <w:b w:val="false"/>
                <w:bCs w:val="false"/>
                <w:sz w:val="18"/>
                <w:szCs w:val="18"/>
              </w:rPr>
              <w:t xml:space="preserve">texte</w:t>
            </w:r>
          </w:p>
        </w:tc>
      </w:tr>
      <w:tr>
        <w:tc>
          <w:tcPr>
            <w:tcW w:type="dxa" w:w="2000"/>
          </w:tcPr>
          <w:p>
            <w:r>
              <w:rPr>
                <w:b w:val="false"/>
                <w:bCs w:val="false"/>
                <w:sz w:val="18"/>
                <w:szCs w:val="18"/>
              </w:rPr>
              <w:t xml:space="preserve">date de naissance</w:t>
            </w:r>
          </w:p>
        </w:tc>
        <w:tc>
          <w:tcPr>
            <w:tcW w:type="dxa" w:w="2000"/>
          </w:tcPr>
          <w:p>
            <w:r>
              <w:rPr>
                <w:b w:val="false"/>
                <w:bCs w:val="false"/>
                <w:sz w:val="18"/>
                <w:szCs w:val="18"/>
              </w:rPr>
              <w:t xml:space="preserve">date</w:t>
            </w:r>
          </w:p>
        </w:tc>
      </w:tr>
      <w:tr>
        <w:tc>
          <w:tcPr>
            <w:tcW w:type="dxa" w:w="2000"/>
          </w:tcPr>
          <w:p>
            <w:r>
              <w:rPr>
                <w:b w:val="false"/>
                <w:bCs w:val="false"/>
                <w:sz w:val="18"/>
                <w:szCs w:val="18"/>
              </w:rPr>
              <w:t xml:space="preserve">genre</w:t>
            </w:r>
          </w:p>
        </w:tc>
        <w:tc>
          <w:tcPr>
            <w:tcW w:type="dxa" w:w="2000"/>
          </w:tcPr>
          <w:p>
            <w:r>
              <w:rPr>
                <w:b w:val="false"/>
                <w:bCs w:val="false"/>
                <w:sz w:val="18"/>
                <w:szCs w:val="18"/>
              </w:rPr>
              <w:t xml:space="preserve">M / F</w:t>
            </w:r>
          </w:p>
        </w:tc>
      </w:tr>
      <w:tr>
        <w:tc>
          <w:tcPr>
            <w:tcW w:type="dxa" w:w="2000"/>
          </w:tcPr>
          <w:p>
            <w:r>
              <w:rPr>
                <w:b w:val="false"/>
                <w:bCs w:val="false"/>
                <w:sz w:val="18"/>
                <w:szCs w:val="18"/>
              </w:rPr>
              <w:t xml:space="preserve">numéro de réservation</w:t>
            </w:r>
          </w:p>
        </w:tc>
        <w:tc>
          <w:tcPr>
            <w:tcW w:type="dxa" w:w="2000"/>
          </w:tcPr>
          <w:p>
            <w:r>
              <w:rPr>
                <w:b w:val="false"/>
                <w:bCs w:val="false"/>
                <w:sz w:val="18"/>
                <w:szCs w:val="18"/>
              </w:rPr>
              <w:t xml:space="preserve">texte, optionnel</w:t>
            </w:r>
          </w:p>
        </w:tc>
      </w:tr>
      <w:tr>
        <w:tc>
          <w:tcPr>
            <w:tcW w:type="dxa" w:w="2000"/>
          </w:tcPr>
          <w:p>
            <w:r>
              <w:rPr>
                <w:b w:val="false"/>
                <w:bCs w:val="false"/>
                <w:sz w:val="18"/>
                <w:szCs w:val="18"/>
              </w:rPr>
              <w:t xml:space="preserve">code pays nationalité</w:t>
            </w:r>
          </w:p>
        </w:tc>
        <w:tc>
          <w:tcPr>
            <w:tcW w:type="dxa" w:w="2000"/>
          </w:tcPr>
          <w:p>
            <w:r>
              <w:rPr>
                <w:b w:val="false"/>
                <w:bCs w:val="false"/>
                <w:sz w:val="18"/>
                <w:szCs w:val="18"/>
              </w:rPr>
              <w:t xml:space="preserve">ISO2, référence → Pays</w:t>
            </w:r>
          </w:p>
        </w:tc>
      </w:tr>
      <w:tr>
        <w:tc>
          <w:tcPr>
            <w:tcW w:type="dxa" w:w="2000"/>
          </w:tcPr>
          <w:p>
            <w:r>
              <w:rPr>
                <w:b w:val="false"/>
                <w:bCs w:val="false"/>
                <w:sz w:val="18"/>
                <w:szCs w:val="18"/>
              </w:rPr>
              <w:t xml:space="preserve">type de document</w:t>
            </w:r>
          </w:p>
        </w:tc>
        <w:tc>
          <w:tcPr>
            <w:tcW w:type="dxa" w:w="2000"/>
          </w:tcPr>
          <w:p>
            <w:r>
              <w:rPr>
                <w:b w:val="false"/>
                <w:bCs w:val="false"/>
                <w:sz w:val="18"/>
                <w:szCs w:val="18"/>
              </w:rPr>
              <w:t xml:space="preserve">PP (CNI à prévoir)</w:t>
            </w:r>
          </w:p>
        </w:tc>
      </w:tr>
      <w:tr>
        <w:tc>
          <w:tcPr>
            <w:tcW w:type="dxa" w:w="2000"/>
          </w:tcPr>
          <w:p>
            <w:r>
              <w:rPr>
                <w:b w:val="false"/>
                <w:bCs w:val="false"/>
                <w:sz w:val="18"/>
                <w:szCs w:val="18"/>
              </w:rPr>
              <w:t xml:space="preserve">numéro de document</w:t>
            </w:r>
          </w:p>
        </w:tc>
        <w:tc>
          <w:tcPr>
            <w:tcW w:type="dxa" w:w="2000"/>
          </w:tcPr>
          <w:p>
            <w:r>
              <w:rPr>
                <w:b w:val="false"/>
                <w:bCs w:val="false"/>
                <w:sz w:val="18"/>
                <w:szCs w:val="18"/>
              </w:rPr>
              <w:t xml:space="preserve">texte, optionnel</w:t>
            </w:r>
          </w:p>
        </w:tc>
      </w:tr>
      <w:tr>
        <w:tc>
          <w:tcPr>
            <w:tcW w:type="dxa" w:w="2000"/>
          </w:tcPr>
          <w:p>
            <w:r>
              <w:rPr>
                <w:b w:val="false"/>
                <w:bCs w:val="false"/>
                <w:sz w:val="18"/>
                <w:szCs w:val="18"/>
              </w:rPr>
              <w:t xml:space="preserve">code pays émission document</w:t>
            </w:r>
          </w:p>
        </w:tc>
        <w:tc>
          <w:tcPr>
            <w:tcW w:type="dxa" w:w="2000"/>
          </w:tcPr>
          <w:p>
            <w:r>
              <w:rPr>
                <w:b w:val="false"/>
                <w:bCs w:val="false"/>
                <w:sz w:val="18"/>
                <w:szCs w:val="18"/>
              </w:rPr>
              <w:t xml:space="preserve">ISO2, référence → Pays</w:t>
            </w:r>
          </w:p>
        </w:tc>
      </w:tr>
      <w:tr>
        <w:tc>
          <w:tcPr>
            <w:tcW w:type="dxa" w:w="2000"/>
          </w:tcPr>
          <w:p>
            <w:r>
              <w:rPr>
                <w:b w:val="false"/>
                <w:bCs w:val="false"/>
                <w:sz w:val="18"/>
                <w:szCs w:val="18"/>
              </w:rPr>
              <w:t xml:space="preserve">date d'émission / d'expiration document</w:t>
            </w:r>
          </w:p>
        </w:tc>
        <w:tc>
          <w:tcPr>
            <w:tcW w:type="dxa" w:w="2000"/>
          </w:tcPr>
          <w:p>
            <w:r>
              <w:rPr>
                <w:b w:val="false"/>
                <w:bCs w:val="false"/>
                <w:sz w:val="18"/>
                <w:szCs w:val="18"/>
              </w:rPr>
              <w:t xml:space="preserve">date, optionnel</w:t>
            </w:r>
          </w:p>
        </w:tc>
      </w:tr>
      <w:tr>
        <w:tc>
          <w:tcPr>
            <w:tcW w:type="dxa" w:w="2000"/>
          </w:tcPr>
          <w:p>
            <w:r>
              <w:rPr>
                <w:b w:val="false"/>
                <w:bCs w:val="false"/>
                <w:sz w:val="18"/>
                <w:szCs w:val="18"/>
              </w:rPr>
              <w:t xml:space="preserve">numéro de siège / excess bag</w:t>
            </w:r>
          </w:p>
        </w:tc>
        <w:tc>
          <w:tcPr>
            <w:tcW w:type="dxa" w:w="2000"/>
          </w:tcPr>
          <w:p>
            <w:r>
              <w:rPr>
                <w:b w:val="false"/>
                <w:bCs w:val="false"/>
                <w:sz w:val="18"/>
                <w:szCs w:val="18"/>
              </w:rPr>
              <w:t xml:space="preserve">texte, optionnel</w:t>
            </w:r>
          </w:p>
        </w:tc>
      </w:tr>
    </w:tbl>
    <w:p>
      <w:pPr>
        <w:spacing w:after="120"/>
      </w:pPr>
      <w:r>
        <w:t xml:space="preserve"/>
      </w:r>
    </w:p>
    <w:p>
      <w:pPr>
        <w:pStyle w:val="Heading2"/>
        <w:spacing w:after="100" w:before="200"/>
      </w:pPr>
      <w:r>
        <w:t xml:space="preserve">10.5 Paramètres financiers (singleton)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tblGrid>
      <w:tr>
        <w:tc>
          <w:tcPr>
            <w:tcW w:type="dxa" w:w="3500"/>
            <w:shd w:fill="F2F2F2" w:val="clear"/>
          </w:tcPr>
          <w:p>
            <w:r>
              <w:rPr>
                <w:b/>
                <w:bCs/>
                <w:sz w:val="18"/>
                <w:szCs w:val="18"/>
              </w:rPr>
              <w:t xml:space="preserve">Champ</w:t>
            </w:r>
          </w:p>
        </w:tc>
        <w:tc>
          <w:tcPr>
            <w:tcW w:type="dxa" w:w="3000"/>
            <w:shd w:fill="F2F2F2" w:val="clear"/>
          </w:tcPr>
          <w:p>
            <w:r>
              <w:rPr>
                <w:b/>
                <w:bCs/>
                <w:sz w:val="18"/>
                <w:szCs w:val="18"/>
              </w:rPr>
              <w:t xml:space="preserve">Type</w:t>
            </w:r>
          </w:p>
        </w:tc>
      </w:tr>
      <w:tr>
        <w:tc>
          <w:tcPr>
            <w:tcW w:type="dxa" w:w="2000"/>
          </w:tcPr>
          <w:p>
            <w:r>
              <w:rPr>
                <w:b w:val="false"/>
                <w:bCs w:val="false"/>
                <w:sz w:val="18"/>
                <w:szCs w:val="18"/>
              </w:rPr>
              <w:t xml:space="preserve">coûts ASL / révision carburant / apport Mauritanie / frais administratifs / frais aéroport Mauritanie</w:t>
            </w:r>
          </w:p>
        </w:tc>
        <w:tc>
          <w:tcPr>
            <w:tcW w:type="dxa" w:w="2000"/>
          </w:tcPr>
          <w:p>
            <w:r>
              <w:rPr>
                <w:b w:val="false"/>
                <w:bCs w:val="false"/>
                <w:sz w:val="18"/>
                <w:szCs w:val="18"/>
              </w:rPr>
              <w:t xml:space="preserve">nombre, optionnel</w:t>
            </w:r>
          </w:p>
        </w:tc>
      </w:tr>
      <w:tr>
        <w:tc>
          <w:tcPr>
            <w:tcW w:type="dxa" w:w="2000"/>
          </w:tcPr>
          <w:p>
            <w:r>
              <w:rPr>
                <w:b w:val="false"/>
                <w:bCs w:val="false"/>
                <w:sz w:val="18"/>
                <w:szCs w:val="18"/>
              </w:rPr>
              <w:t xml:space="preserve">saison début / fin</w:t>
            </w:r>
          </w:p>
        </w:tc>
        <w:tc>
          <w:tcPr>
            <w:tcW w:type="dxa" w:w="2000"/>
          </w:tcPr>
          <w:p>
            <w:r>
              <w:rPr>
                <w:b w:val="false"/>
                <w:bCs w:val="false"/>
                <w:sz w:val="18"/>
                <w:szCs w:val="18"/>
              </w:rPr>
              <w:t xml:space="preserve">date, optionnel</w:t>
            </w:r>
          </w:p>
        </w:tc>
      </w:tr>
    </w:tbl>
    <w:p>
      <w:pPr>
        <w:spacing w:after="120"/>
      </w:pPr>
      <w:r>
        <w:t xml:space="preserve"/>
      </w:r>
    </w:p>
    <w:p>
      <w:pPr>
        <w:pStyle w:val="Heading2"/>
        <w:spacing w:after="100" w:before="200"/>
      </w:pPr>
      <w:r>
        <w:t xml:space="preserve">10.6 Pays (référentiel) et Utilisateur (administrateur)</w:t>
      </w:r>
    </w:p>
    <w:p>
      <w:pPr>
        <w:spacing w:after="120"/>
      </w:pPr>
      <w:r>
        <w:t xml:space="preserve">Table Pays pré-remplie avec le référentiel ISO 3166-1 alpha-2 (249 pays). Table Utilisateur : nom, email (unique), mot de passe (haché).</w:t>
      </w:r>
    </w:p>
    <w:p>
      <w:pPr>
        <w:pStyle w:val="Heading1"/>
        <w:spacing w:after="150" w:before="300"/>
      </w:pPr>
      <w:r>
        <w:t xml:space="preserve">11. Fonctionnalités abandonnées (v1 Bubble → v2)</w:t>
      </w:r>
    </w:p>
    <w:p>
      <w:pPr>
        <w:pStyle w:val="ListParagraph"/>
        <w:numPr>
          <w:ilvl w:val="0"/>
          <w:numId w:val="2"/>
        </w:numPr>
        <w:spacing w:after="60"/>
      </w:pPr>
      <w:r>
        <w:t xml:space="preserve">Accès des entreprises clientes à l'application, et gestion de comptes utilisateurs liés à une entreprise.</w:t>
      </w:r>
    </w:p>
    <w:p>
      <w:pPr>
        <w:pStyle w:val="ListParagraph"/>
        <w:numPr>
          <w:ilvl w:val="0"/>
          <w:numId w:val="2"/>
        </w:numPr>
        <w:spacing w:after="60"/>
      </w:pPr>
      <w:r>
        <w:t xml:space="preserve">Statistiques détaillées par vol et par entreprise de la v1 (remplacées par les 4 onglets de la section 8).</w:t>
      </w:r>
    </w:p>
    <w:p>
      <w:pPr>
        <w:pStyle w:val="ListParagraph"/>
        <w:numPr>
          <w:ilvl w:val="0"/>
          <w:numId w:val="2"/>
        </w:numPr>
        <w:spacing w:after="60"/>
      </w:pPr>
      <w:r>
        <w:t xml:space="preserve">Deuxième format d'extraction ASL (une seule extraction conservée), et format CSV (remplacé par Excel pour l'import et l'export).</w:t>
      </w:r>
    </w:p>
    <w:p>
      <w:pPr>
        <w:pStyle w:val="ListParagraph"/>
        <w:numPr>
          <w:ilvl w:val="0"/>
          <w:numId w:val="2"/>
        </w:numPr>
        <w:spacing w:after="60"/>
      </w:pPr>
      <w:r>
        <w:t xml:space="preserve">Reprise de l'historique de données Bubble : démarrage à vide en v2.</w:t>
      </w:r>
    </w:p>
    <w:p>
      <w:pPr>
        <w:pStyle w:val="Heading1"/>
        <w:spacing w:after="150" w:before="300"/>
      </w:pPr>
      <w:r>
        <w:t xml:space="preserve">12. Architecture technique</w:t>
      </w:r>
    </w:p>
    <w:p>
      <w:pPr>
        <w:pStyle w:val="ListParagraph"/>
        <w:numPr>
          <w:ilvl w:val="0"/>
          <w:numId w:val="2"/>
        </w:numPr>
        <w:spacing w:after="60"/>
      </w:pPr>
      <w:r>
        <w:t xml:space="preserve">Next.js (App Router, TypeScript, Tailwind CSS), build de production sur Webpack (Turbopack, expérimental, s'est montré instable en déploiement).</w:t>
      </w:r>
    </w:p>
    <w:p>
      <w:pPr>
        <w:pStyle w:val="ListParagraph"/>
        <w:numPr>
          <w:ilvl w:val="0"/>
          <w:numId w:val="2"/>
        </w:numPr>
        <w:spacing w:after="60"/>
      </w:pPr>
      <w:r>
        <w:t xml:space="preserve">Drizzle ORM + PostgreSQL, exceljs et xlsx pour la génération/lecture des fichiers Excel, nodemailer pour la sauvegarde par email.</w:t>
      </w:r>
    </w:p>
    <w:p>
      <w:pPr>
        <w:pStyle w:val="ListParagraph"/>
        <w:numPr>
          <w:ilvl w:val="0"/>
          <w:numId w:val="2"/>
        </w:numPr>
        <w:spacing w:after="60"/>
      </w:pPr>
      <w:r>
        <w:t xml:space="preserve">Authentification maison (email / mot de passe, session cookie signé), sans fournisseur tiers.</w:t>
      </w:r>
    </w:p>
    <w:p>
      <w:pPr>
        <w:pStyle w:val="ListParagraph"/>
        <w:numPr>
          <w:ilvl w:val="0"/>
          <w:numId w:val="2"/>
        </w:numPr>
        <w:spacing w:after="60"/>
      </w:pPr>
      <w:r>
        <w:t xml:space="preserve">Hébergement : Clever Cloud, société française, région Paris — application et base de données PostgreSQL sur la même plateforme, déploiement automatique à chaque mise à jour du code (Git).</w:t>
      </w:r>
    </w:p>
    <w:p>
      <w:pPr>
        <w:pStyle w:val="ListParagraph"/>
        <w:numPr>
          <w:ilvl w:val="0"/>
          <w:numId w:val="2"/>
        </w:numPr>
        <w:spacing w:after="60"/>
      </w:pPr>
      <w:r>
        <w:t xml:space="preserve">Dépôt de code : GitHub, déploiement continu vers Clever Cloud.</w:t>
      </w:r>
    </w:p>
    <w:p>
      <w:pPr>
        <w:pStyle w:val="ListParagraph"/>
        <w:numPr>
          <w:ilvl w:val="0"/>
          <w:numId w:val="2"/>
        </w:numPr>
        <w:spacing w:after="60"/>
      </w:pPr>
      <w:r>
        <w:t xml:space="preserve">Sécurité : chiffrement des données au repos, connexions HTTPS. Purge manuelle des données passagers, vol par vol.</w:t>
      </w:r>
    </w:p>
    <w:p>
      <w:pPr>
        <w:pStyle w:val="ListParagraph"/>
        <w:numPr>
          <w:ilvl w:val="0"/>
          <w:numId w:val="2"/>
        </w:numPr>
        <w:spacing w:after="60"/>
      </w:pPr>
      <w:r>
        <w:t xml:space="preserve">Maintenance : conçue pour évoluer via Claude Code, avec un document de reprise de projet dédié (DOCUMENTATION_PROJET.md) détaillant l'état technique précis, les pièges déjà rencontrés et les procédures opérationnelles.</w:t>
      </w:r>
    </w:p>
    <w:p>
      <w:pPr>
        <w:pStyle w:val="Heading1"/>
        <w:spacing w:after="150" w:before="300"/>
      </w:pPr>
      <w:r>
        <w:t xml:space="preserve">13. Points ouverts</w:t>
      </w:r>
    </w:p>
    <w:p>
      <w:pPr>
        <w:pStyle w:val="ListParagraph"/>
        <w:numPr>
          <w:ilvl w:val="0"/>
          <w:numId w:val="2"/>
        </w:numPr>
        <w:spacing w:after="60"/>
      </w:pPr>
      <w:r>
        <w:t xml:space="preserve">Nom de domaine dédié non configuré (l'application tourne sur le sous-domaine fourni par Clever Cloud).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lvl w:ilvl="1" w15:tentative="1">
      <w:start w:val="1"/>
      <w:numFmt w:val="bullet"/>
      <w:lvlText w:val="◦"/>
      <w:lvlJc w:val="star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2026-09-03T07:14:53.397Z</dcterms:created>
  <dcterms:modified xsi:type="dcterms:W3CDTF">2026-09-03T07:14:53.414Z</dcterms:modified>
</cp:coreProperties>
</file>

<file path=docProps/custom.xml><?xml version="1.0" encoding="utf-8"?>
<Properties xmlns="http://schemas.openxmlformats.org/officeDocument/2006/custom-properties" xmlns:vt="http://schemas.openxmlformats.org/officeDocument/2006/docPropsVTypes"/>
</file>