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616" w:rsidRDefault="00B06616" w:rsidP="00B06616">
      <w:pPr>
        <w:jc w:val="center"/>
      </w:pPr>
      <w:r>
        <w:t>HW8</w:t>
      </w:r>
    </w:p>
    <w:p w:rsidR="004339AD" w:rsidRDefault="00C80670" w:rsidP="00C80670">
      <w:pPr>
        <w:pStyle w:val="ListParagraph"/>
        <w:numPr>
          <w:ilvl w:val="0"/>
          <w:numId w:val="1"/>
        </w:numPr>
      </w:pPr>
      <w:r>
        <w:t>34.4-7</w:t>
      </w:r>
    </w:p>
    <w:p w:rsidR="00C80670" w:rsidRDefault="00C80670" w:rsidP="00C80670">
      <w:pPr>
        <w:spacing w:after="200" w:line="276" w:lineRule="auto"/>
        <w:ind w:left="0"/>
      </w:pPr>
      <w:r>
        <w:t>2-CNF possibilities (x1 v x2</w:t>
      </w:r>
      <w:proofErr w:type="gramStart"/>
      <w:r>
        <w:t>)  (</w:t>
      </w:r>
      <w:proofErr w:type="gramEnd"/>
      <w:r>
        <w:t>-x1 v –x2)  (-x1 v x2)  (x1 v –x2)</w:t>
      </w:r>
    </w:p>
    <w:p w:rsidR="00C80670" w:rsidRDefault="00C80670" w:rsidP="00C80670">
      <w:pPr>
        <w:spacing w:after="200" w:line="276" w:lineRule="auto"/>
        <w:ind w:left="0"/>
      </w:pPr>
      <w:r>
        <w:t>Truth table</w:t>
      </w:r>
    </w:p>
    <w:tbl>
      <w:tblPr>
        <w:tblStyle w:val="TableGrid"/>
        <w:tblW w:w="0" w:type="auto"/>
        <w:tblLook w:val="04A0"/>
      </w:tblPr>
      <w:tblGrid>
        <w:gridCol w:w="1374"/>
        <w:gridCol w:w="1374"/>
        <w:gridCol w:w="1373"/>
        <w:gridCol w:w="1378"/>
        <w:gridCol w:w="1378"/>
        <w:gridCol w:w="1378"/>
      </w:tblGrid>
      <w:tr w:rsidR="00C80670" w:rsidTr="004226AF">
        <w:tc>
          <w:tcPr>
            <w:tcW w:w="1374" w:type="dxa"/>
          </w:tcPr>
          <w:p w:rsidR="00C80670" w:rsidRDefault="00C80670" w:rsidP="004226AF">
            <w:pPr>
              <w:spacing w:after="200" w:line="276" w:lineRule="auto"/>
              <w:ind w:left="0"/>
              <w:jc w:val="center"/>
            </w:pPr>
            <w:r>
              <w:t>X1</w:t>
            </w:r>
          </w:p>
        </w:tc>
        <w:tc>
          <w:tcPr>
            <w:tcW w:w="1374" w:type="dxa"/>
          </w:tcPr>
          <w:p w:rsidR="00C80670" w:rsidRDefault="00C80670" w:rsidP="004226AF">
            <w:pPr>
              <w:spacing w:after="200" w:line="276" w:lineRule="auto"/>
              <w:ind w:left="0"/>
              <w:jc w:val="center"/>
            </w:pPr>
            <w:r>
              <w:t>X2</w:t>
            </w:r>
          </w:p>
        </w:tc>
        <w:tc>
          <w:tcPr>
            <w:tcW w:w="1373" w:type="dxa"/>
          </w:tcPr>
          <w:p w:rsidR="00C80670" w:rsidRDefault="00C80670" w:rsidP="004226AF">
            <w:pPr>
              <w:spacing w:after="200" w:line="276" w:lineRule="auto"/>
              <w:ind w:left="0"/>
              <w:jc w:val="center"/>
            </w:pPr>
            <w:r>
              <w:t>X1 v x2</w:t>
            </w:r>
          </w:p>
        </w:tc>
        <w:tc>
          <w:tcPr>
            <w:tcW w:w="1378" w:type="dxa"/>
          </w:tcPr>
          <w:p w:rsidR="00C80670" w:rsidRDefault="00C80670" w:rsidP="004226AF">
            <w:pPr>
              <w:spacing w:after="200" w:line="276" w:lineRule="auto"/>
              <w:ind w:left="0"/>
              <w:jc w:val="center"/>
            </w:pPr>
            <w:r>
              <w:t xml:space="preserve"> (-x1 v –x2)</w:t>
            </w:r>
          </w:p>
        </w:tc>
        <w:tc>
          <w:tcPr>
            <w:tcW w:w="1378" w:type="dxa"/>
          </w:tcPr>
          <w:p w:rsidR="00C80670" w:rsidRDefault="00C80670" w:rsidP="004226AF">
            <w:pPr>
              <w:spacing w:after="200" w:line="276" w:lineRule="auto"/>
              <w:ind w:left="0"/>
              <w:jc w:val="center"/>
            </w:pPr>
            <w:r>
              <w:t xml:space="preserve"> (-x1 v x2)</w:t>
            </w:r>
          </w:p>
        </w:tc>
        <w:tc>
          <w:tcPr>
            <w:tcW w:w="1378" w:type="dxa"/>
          </w:tcPr>
          <w:p w:rsidR="00C80670" w:rsidRDefault="00C80670" w:rsidP="004226AF">
            <w:pPr>
              <w:spacing w:after="200" w:line="276" w:lineRule="auto"/>
              <w:ind w:left="0"/>
              <w:jc w:val="center"/>
            </w:pPr>
            <w:r>
              <w:t xml:space="preserve"> (x1 v –x2)</w:t>
            </w:r>
          </w:p>
        </w:tc>
      </w:tr>
      <w:tr w:rsidR="00C80670" w:rsidTr="004226AF">
        <w:tc>
          <w:tcPr>
            <w:tcW w:w="1374" w:type="dxa"/>
          </w:tcPr>
          <w:p w:rsidR="00C80670" w:rsidRDefault="00C80670" w:rsidP="004226AF">
            <w:pPr>
              <w:spacing w:after="200" w:line="276" w:lineRule="auto"/>
              <w:ind w:left="0"/>
              <w:jc w:val="center"/>
            </w:pPr>
            <w:r>
              <w:t>1</w:t>
            </w:r>
          </w:p>
        </w:tc>
        <w:tc>
          <w:tcPr>
            <w:tcW w:w="1374" w:type="dxa"/>
          </w:tcPr>
          <w:p w:rsidR="00C80670" w:rsidRDefault="00C80670" w:rsidP="004226AF">
            <w:pPr>
              <w:spacing w:after="200" w:line="276" w:lineRule="auto"/>
              <w:ind w:left="0"/>
              <w:jc w:val="center"/>
            </w:pPr>
            <w:r>
              <w:t>1</w:t>
            </w:r>
          </w:p>
        </w:tc>
        <w:tc>
          <w:tcPr>
            <w:tcW w:w="1373" w:type="dxa"/>
          </w:tcPr>
          <w:p w:rsidR="00C80670" w:rsidRDefault="00C80670" w:rsidP="004226AF">
            <w:pPr>
              <w:spacing w:after="200" w:line="276" w:lineRule="auto"/>
              <w:ind w:left="0"/>
              <w:jc w:val="center"/>
            </w:pPr>
            <w:r>
              <w:t>1</w:t>
            </w:r>
          </w:p>
        </w:tc>
        <w:tc>
          <w:tcPr>
            <w:tcW w:w="1378" w:type="dxa"/>
          </w:tcPr>
          <w:p w:rsidR="00C80670" w:rsidRDefault="00C80670" w:rsidP="004226AF">
            <w:pPr>
              <w:spacing w:after="200" w:line="276" w:lineRule="auto"/>
              <w:ind w:left="0"/>
              <w:jc w:val="center"/>
            </w:pPr>
            <w:r>
              <w:t>0</w:t>
            </w:r>
          </w:p>
        </w:tc>
        <w:tc>
          <w:tcPr>
            <w:tcW w:w="1378" w:type="dxa"/>
          </w:tcPr>
          <w:p w:rsidR="00C80670" w:rsidRDefault="00C80670" w:rsidP="004226AF">
            <w:pPr>
              <w:spacing w:after="200" w:line="276" w:lineRule="auto"/>
              <w:ind w:left="0"/>
              <w:jc w:val="center"/>
            </w:pPr>
            <w:r>
              <w:t>1</w:t>
            </w:r>
          </w:p>
        </w:tc>
        <w:tc>
          <w:tcPr>
            <w:tcW w:w="1378" w:type="dxa"/>
          </w:tcPr>
          <w:p w:rsidR="00C80670" w:rsidRDefault="00C80670" w:rsidP="004226AF">
            <w:pPr>
              <w:spacing w:after="200" w:line="276" w:lineRule="auto"/>
              <w:ind w:left="0"/>
              <w:jc w:val="center"/>
            </w:pPr>
            <w:r>
              <w:t>1</w:t>
            </w:r>
          </w:p>
        </w:tc>
      </w:tr>
      <w:tr w:rsidR="00C80670" w:rsidTr="004226AF">
        <w:tc>
          <w:tcPr>
            <w:tcW w:w="1374" w:type="dxa"/>
          </w:tcPr>
          <w:p w:rsidR="00C80670" w:rsidRDefault="00C80670" w:rsidP="004226AF">
            <w:pPr>
              <w:spacing w:after="200" w:line="276" w:lineRule="auto"/>
              <w:ind w:left="0"/>
              <w:jc w:val="center"/>
            </w:pPr>
            <w:r>
              <w:t>1</w:t>
            </w:r>
          </w:p>
        </w:tc>
        <w:tc>
          <w:tcPr>
            <w:tcW w:w="1374" w:type="dxa"/>
          </w:tcPr>
          <w:p w:rsidR="00C80670" w:rsidRDefault="00C80670" w:rsidP="004226AF">
            <w:pPr>
              <w:spacing w:after="200" w:line="276" w:lineRule="auto"/>
              <w:ind w:left="0"/>
              <w:jc w:val="center"/>
            </w:pPr>
            <w:r>
              <w:t>0</w:t>
            </w:r>
          </w:p>
        </w:tc>
        <w:tc>
          <w:tcPr>
            <w:tcW w:w="1373" w:type="dxa"/>
          </w:tcPr>
          <w:p w:rsidR="00C80670" w:rsidRDefault="00C80670" w:rsidP="004226AF">
            <w:pPr>
              <w:spacing w:after="200" w:line="276" w:lineRule="auto"/>
              <w:ind w:left="0"/>
              <w:jc w:val="center"/>
            </w:pPr>
            <w:r>
              <w:t>1</w:t>
            </w:r>
          </w:p>
        </w:tc>
        <w:tc>
          <w:tcPr>
            <w:tcW w:w="1378" w:type="dxa"/>
          </w:tcPr>
          <w:p w:rsidR="00C80670" w:rsidRDefault="00C80670" w:rsidP="004226AF">
            <w:pPr>
              <w:spacing w:after="200" w:line="276" w:lineRule="auto"/>
              <w:ind w:left="0"/>
              <w:jc w:val="center"/>
            </w:pPr>
            <w:r>
              <w:t>1</w:t>
            </w:r>
          </w:p>
        </w:tc>
        <w:tc>
          <w:tcPr>
            <w:tcW w:w="1378" w:type="dxa"/>
          </w:tcPr>
          <w:p w:rsidR="00C80670" w:rsidRDefault="00C80670" w:rsidP="004226AF">
            <w:pPr>
              <w:spacing w:after="200" w:line="276" w:lineRule="auto"/>
              <w:ind w:left="0"/>
              <w:jc w:val="center"/>
            </w:pPr>
            <w:r>
              <w:t>0</w:t>
            </w:r>
          </w:p>
        </w:tc>
        <w:tc>
          <w:tcPr>
            <w:tcW w:w="1378" w:type="dxa"/>
          </w:tcPr>
          <w:p w:rsidR="00C80670" w:rsidRDefault="00C80670" w:rsidP="004226AF">
            <w:pPr>
              <w:spacing w:after="200" w:line="276" w:lineRule="auto"/>
              <w:ind w:left="0"/>
              <w:jc w:val="center"/>
            </w:pPr>
            <w:r>
              <w:t>1</w:t>
            </w:r>
          </w:p>
        </w:tc>
      </w:tr>
      <w:tr w:rsidR="00C80670" w:rsidTr="004226AF">
        <w:tc>
          <w:tcPr>
            <w:tcW w:w="1374" w:type="dxa"/>
          </w:tcPr>
          <w:p w:rsidR="00C80670" w:rsidRDefault="00C80670" w:rsidP="004226AF">
            <w:pPr>
              <w:spacing w:after="200" w:line="276" w:lineRule="auto"/>
              <w:ind w:left="0"/>
              <w:jc w:val="center"/>
            </w:pPr>
            <w:r>
              <w:t>0</w:t>
            </w:r>
          </w:p>
        </w:tc>
        <w:tc>
          <w:tcPr>
            <w:tcW w:w="1374" w:type="dxa"/>
          </w:tcPr>
          <w:p w:rsidR="00C80670" w:rsidRDefault="00C80670" w:rsidP="004226AF">
            <w:pPr>
              <w:spacing w:after="200" w:line="276" w:lineRule="auto"/>
              <w:ind w:left="0"/>
              <w:jc w:val="center"/>
            </w:pPr>
            <w:r>
              <w:t>1</w:t>
            </w:r>
          </w:p>
        </w:tc>
        <w:tc>
          <w:tcPr>
            <w:tcW w:w="1373" w:type="dxa"/>
          </w:tcPr>
          <w:p w:rsidR="00C80670" w:rsidRDefault="00C80670" w:rsidP="004226AF">
            <w:pPr>
              <w:spacing w:after="200" w:line="276" w:lineRule="auto"/>
              <w:ind w:left="0"/>
              <w:jc w:val="center"/>
            </w:pPr>
            <w:r>
              <w:t>1</w:t>
            </w:r>
          </w:p>
        </w:tc>
        <w:tc>
          <w:tcPr>
            <w:tcW w:w="1378" w:type="dxa"/>
          </w:tcPr>
          <w:p w:rsidR="00C80670" w:rsidRDefault="00C80670" w:rsidP="004226AF">
            <w:pPr>
              <w:spacing w:after="200" w:line="276" w:lineRule="auto"/>
              <w:ind w:left="0"/>
              <w:jc w:val="center"/>
            </w:pPr>
            <w:r>
              <w:t>1</w:t>
            </w:r>
          </w:p>
        </w:tc>
        <w:tc>
          <w:tcPr>
            <w:tcW w:w="1378" w:type="dxa"/>
          </w:tcPr>
          <w:p w:rsidR="00C80670" w:rsidRDefault="00C80670" w:rsidP="004226AF">
            <w:pPr>
              <w:spacing w:after="200" w:line="276" w:lineRule="auto"/>
              <w:ind w:left="0"/>
              <w:jc w:val="center"/>
            </w:pPr>
            <w:r>
              <w:t>1</w:t>
            </w:r>
          </w:p>
        </w:tc>
        <w:tc>
          <w:tcPr>
            <w:tcW w:w="1378" w:type="dxa"/>
          </w:tcPr>
          <w:p w:rsidR="00C80670" w:rsidRDefault="00C80670" w:rsidP="004226AF">
            <w:pPr>
              <w:spacing w:after="200" w:line="276" w:lineRule="auto"/>
              <w:ind w:left="0"/>
              <w:jc w:val="center"/>
            </w:pPr>
            <w:r>
              <w:t>0</w:t>
            </w:r>
          </w:p>
        </w:tc>
      </w:tr>
      <w:tr w:rsidR="00C80670" w:rsidTr="004226AF">
        <w:tc>
          <w:tcPr>
            <w:tcW w:w="1374" w:type="dxa"/>
          </w:tcPr>
          <w:p w:rsidR="00C80670" w:rsidRDefault="00C80670" w:rsidP="004226AF">
            <w:pPr>
              <w:spacing w:after="200" w:line="276" w:lineRule="auto"/>
              <w:ind w:left="0"/>
              <w:jc w:val="center"/>
            </w:pPr>
            <w:r>
              <w:t>0</w:t>
            </w:r>
          </w:p>
        </w:tc>
        <w:tc>
          <w:tcPr>
            <w:tcW w:w="1374" w:type="dxa"/>
          </w:tcPr>
          <w:p w:rsidR="00C80670" w:rsidRDefault="00C80670" w:rsidP="004226AF">
            <w:pPr>
              <w:spacing w:after="200" w:line="276" w:lineRule="auto"/>
              <w:ind w:left="0"/>
              <w:jc w:val="center"/>
            </w:pPr>
            <w:r>
              <w:t>0</w:t>
            </w:r>
          </w:p>
        </w:tc>
        <w:tc>
          <w:tcPr>
            <w:tcW w:w="1373" w:type="dxa"/>
          </w:tcPr>
          <w:p w:rsidR="00C80670" w:rsidRDefault="00C80670" w:rsidP="004226AF">
            <w:pPr>
              <w:spacing w:after="200" w:line="276" w:lineRule="auto"/>
              <w:ind w:left="0"/>
              <w:jc w:val="center"/>
            </w:pPr>
            <w:r>
              <w:t>0</w:t>
            </w:r>
          </w:p>
        </w:tc>
        <w:tc>
          <w:tcPr>
            <w:tcW w:w="1378" w:type="dxa"/>
          </w:tcPr>
          <w:p w:rsidR="00C80670" w:rsidRDefault="00C80670" w:rsidP="004226AF">
            <w:pPr>
              <w:spacing w:after="200" w:line="276" w:lineRule="auto"/>
              <w:ind w:left="0"/>
              <w:jc w:val="center"/>
            </w:pPr>
            <w:r>
              <w:t>1</w:t>
            </w:r>
          </w:p>
        </w:tc>
        <w:tc>
          <w:tcPr>
            <w:tcW w:w="1378" w:type="dxa"/>
          </w:tcPr>
          <w:p w:rsidR="00C80670" w:rsidRDefault="00C80670" w:rsidP="004226AF">
            <w:pPr>
              <w:spacing w:after="200" w:line="276" w:lineRule="auto"/>
              <w:ind w:left="0"/>
              <w:jc w:val="center"/>
            </w:pPr>
            <w:r>
              <w:t>1</w:t>
            </w:r>
          </w:p>
        </w:tc>
        <w:tc>
          <w:tcPr>
            <w:tcW w:w="1378" w:type="dxa"/>
          </w:tcPr>
          <w:p w:rsidR="00C80670" w:rsidRDefault="00C80670" w:rsidP="004226AF">
            <w:pPr>
              <w:spacing w:after="200" w:line="276" w:lineRule="auto"/>
              <w:ind w:left="0"/>
              <w:jc w:val="center"/>
            </w:pPr>
            <w:r>
              <w:t>1</w:t>
            </w:r>
          </w:p>
        </w:tc>
      </w:tr>
    </w:tbl>
    <w:p w:rsidR="00C80670" w:rsidRDefault="00C80670" w:rsidP="00C80670">
      <w:pPr>
        <w:spacing w:after="200" w:line="276" w:lineRule="auto"/>
        <w:ind w:left="0"/>
      </w:pPr>
      <w:r>
        <w:t xml:space="preserve">2-CNF is in P since 2-CNF is always </w:t>
      </w:r>
      <w:proofErr w:type="spellStart"/>
      <w:r>
        <w:t>satisfiable</w:t>
      </w:r>
      <w:proofErr w:type="spellEnd"/>
      <w:r>
        <w:t xml:space="preserve"> one variable will always imply the other variable is the same after negation. If x1 is one then x2 will also be one, if x1 is zero then –x2 will be 1.</w:t>
      </w:r>
    </w:p>
    <w:p w:rsidR="00C80670" w:rsidRDefault="00C80670" w:rsidP="00C80670">
      <w:pPr>
        <w:spacing w:after="200" w:line="276" w:lineRule="auto"/>
        <w:ind w:left="0"/>
      </w:pPr>
    </w:p>
    <w:p w:rsidR="00BF5629" w:rsidRDefault="00BF5629" w:rsidP="00C80670">
      <w:pPr>
        <w:spacing w:after="200" w:line="276" w:lineRule="auto"/>
        <w:ind w:left="0"/>
      </w:pPr>
    </w:p>
    <w:p w:rsidR="00BF5629" w:rsidRDefault="00BF5629" w:rsidP="00C80670">
      <w:pPr>
        <w:spacing w:after="200" w:line="276" w:lineRule="auto"/>
        <w:ind w:left="0"/>
      </w:pPr>
    </w:p>
    <w:p w:rsidR="00BF5629" w:rsidRDefault="00BF5629" w:rsidP="00C80670">
      <w:pPr>
        <w:spacing w:after="200" w:line="276" w:lineRule="auto"/>
        <w:ind w:left="0"/>
      </w:pPr>
    </w:p>
    <w:p w:rsidR="00C80670" w:rsidRDefault="00C80670" w:rsidP="00C80670">
      <w:pPr>
        <w:spacing w:after="200" w:line="276" w:lineRule="auto"/>
        <w:ind w:left="0"/>
      </w:pPr>
      <w:r>
        <w:t>The book was convoluted so I used the link below as a reference/source.</w:t>
      </w:r>
    </w:p>
    <w:p w:rsidR="00C80670" w:rsidRDefault="00436F09" w:rsidP="00C80670">
      <w:pPr>
        <w:spacing w:after="200" w:line="276" w:lineRule="auto"/>
        <w:ind w:left="0"/>
      </w:pPr>
      <w:hyperlink r:id="rId7" w:history="1">
        <w:r w:rsidR="00C80670" w:rsidRPr="009F34C0">
          <w:rPr>
            <w:rStyle w:val="Hyperlink"/>
          </w:rPr>
          <w:t>http://stackoverflow.com/questions/8467676/how-is-2-cnf-sat-is-in-p-while-3-cnf-sat-is-in-npc</w:t>
        </w:r>
      </w:hyperlink>
    </w:p>
    <w:p w:rsidR="00C80670" w:rsidRDefault="00C80670" w:rsidP="00C80670">
      <w:pPr>
        <w:pStyle w:val="ListParagraph"/>
      </w:pPr>
    </w:p>
    <w:p w:rsidR="00C80670" w:rsidRDefault="00C80670">
      <w:pPr>
        <w:spacing w:after="200" w:line="276" w:lineRule="auto"/>
        <w:ind w:left="0"/>
      </w:pPr>
      <w:r>
        <w:br w:type="page"/>
      </w:r>
    </w:p>
    <w:p w:rsidR="00C80670" w:rsidRDefault="00C80670" w:rsidP="00C03CA5">
      <w:pPr>
        <w:pStyle w:val="ListParagraph"/>
        <w:ind w:left="0"/>
      </w:pPr>
      <w:r>
        <w:lastRenderedPageBreak/>
        <w:t>5. 34-3a</w:t>
      </w:r>
    </w:p>
    <w:p w:rsidR="00C80670" w:rsidRDefault="0051355D" w:rsidP="00C03CA5">
      <w:pPr>
        <w:pStyle w:val="ListParagraph"/>
        <w:ind w:left="0"/>
      </w:pPr>
      <w:r>
        <w:t xml:space="preserve">So long as the graph is a </w:t>
      </w:r>
      <w:r w:rsidR="00921BB0">
        <w:t>bipartite graph</w:t>
      </w:r>
      <w:r>
        <w:t xml:space="preserve"> then the following </w:t>
      </w:r>
      <w:r w:rsidR="00415F61">
        <w:t xml:space="preserve">pseudo-code </w:t>
      </w:r>
      <w:r>
        <w:t xml:space="preserve">should work: </w:t>
      </w:r>
    </w:p>
    <w:p w:rsidR="00921BB0" w:rsidRDefault="00921BB0" w:rsidP="00C03CA5">
      <w:pPr>
        <w:pStyle w:val="ListParagraph"/>
        <w:numPr>
          <w:ilvl w:val="0"/>
          <w:numId w:val="2"/>
        </w:numPr>
        <w:ind w:left="360"/>
      </w:pPr>
      <w:r>
        <w:t>Pick a vertex, color that vertex color 1.</w:t>
      </w:r>
    </w:p>
    <w:p w:rsidR="00921BB0" w:rsidRDefault="00921BB0" w:rsidP="00C03CA5">
      <w:pPr>
        <w:pStyle w:val="ListParagraph"/>
        <w:numPr>
          <w:ilvl w:val="0"/>
          <w:numId w:val="2"/>
        </w:numPr>
        <w:ind w:left="360"/>
      </w:pPr>
      <w:r>
        <w:t>Color all vertices adjacent to the picked vertex color 2.</w:t>
      </w:r>
    </w:p>
    <w:p w:rsidR="00921BB0" w:rsidRDefault="00921BB0" w:rsidP="00C03CA5">
      <w:pPr>
        <w:pStyle w:val="ListParagraph"/>
        <w:numPr>
          <w:ilvl w:val="0"/>
          <w:numId w:val="2"/>
        </w:numPr>
        <w:ind w:left="360"/>
      </w:pPr>
      <w:r>
        <w:t>Go to each adjacent vertex that was colored color 2.</w:t>
      </w:r>
    </w:p>
    <w:p w:rsidR="00921BB0" w:rsidRDefault="00921BB0" w:rsidP="00C03CA5">
      <w:pPr>
        <w:pStyle w:val="ListParagraph"/>
        <w:numPr>
          <w:ilvl w:val="1"/>
          <w:numId w:val="2"/>
        </w:numPr>
        <w:ind w:left="1080"/>
      </w:pPr>
      <w:r>
        <w:t>Color all adjacent vertices color 1 – exclude visited vertices.</w:t>
      </w:r>
    </w:p>
    <w:p w:rsidR="00921BB0" w:rsidRDefault="00921BB0" w:rsidP="00C03CA5">
      <w:pPr>
        <w:pStyle w:val="ListParagraph"/>
        <w:numPr>
          <w:ilvl w:val="0"/>
          <w:numId w:val="2"/>
        </w:numPr>
        <w:ind w:left="360"/>
      </w:pPr>
      <w:r>
        <w:t>Go to each adjacent vertex that was colored color 1.</w:t>
      </w:r>
    </w:p>
    <w:p w:rsidR="00921BB0" w:rsidRDefault="00921BB0" w:rsidP="00C03CA5">
      <w:pPr>
        <w:pStyle w:val="ListParagraph"/>
        <w:numPr>
          <w:ilvl w:val="1"/>
          <w:numId w:val="2"/>
        </w:numPr>
        <w:ind w:left="1080"/>
      </w:pPr>
      <w:r>
        <w:t>Color all adjacent vertices color 2 – exclude visited vertices.</w:t>
      </w:r>
    </w:p>
    <w:p w:rsidR="00C03CA5" w:rsidRDefault="00921BB0" w:rsidP="00C03CA5">
      <w:pPr>
        <w:pStyle w:val="ListParagraph"/>
        <w:numPr>
          <w:ilvl w:val="0"/>
          <w:numId w:val="2"/>
        </w:numPr>
        <w:ind w:left="360"/>
      </w:pPr>
      <w:r>
        <w:t xml:space="preserve">Repeat step 3-4 </w:t>
      </w:r>
      <w:r w:rsidR="00C03CA5">
        <w:t>until all vertices are colored.</w:t>
      </w:r>
    </w:p>
    <w:p w:rsidR="00C03CA5" w:rsidRDefault="00C03CA5" w:rsidP="00C03CA5">
      <w:pPr>
        <w:ind w:left="0"/>
      </w:pPr>
    </w:p>
    <w:p w:rsidR="00C03CA5" w:rsidRDefault="00C03CA5" w:rsidP="00C03CA5">
      <w:pPr>
        <w:ind w:left="0"/>
      </w:pPr>
      <w:r>
        <w:t>The follow image was helpful for this problem:</w:t>
      </w:r>
    </w:p>
    <w:p w:rsidR="00C03CA5" w:rsidRDefault="00436F09" w:rsidP="00C03CA5">
      <w:pPr>
        <w:ind w:left="0"/>
      </w:pPr>
      <w:hyperlink r:id="rId8" w:history="1">
        <w:r w:rsidR="00C03CA5" w:rsidRPr="00D2663B">
          <w:rPr>
            <w:rStyle w:val="Hyperlink"/>
          </w:rPr>
          <w:t>http://mathworld.wolfram.com/images/eps-gif/BipartiteGraph_1000.gif</w:t>
        </w:r>
      </w:hyperlink>
    </w:p>
    <w:p w:rsidR="00C03CA5" w:rsidRDefault="00C03CA5" w:rsidP="00C03CA5">
      <w:pPr>
        <w:ind w:left="0"/>
      </w:pPr>
    </w:p>
    <w:sectPr w:rsidR="00C03CA5" w:rsidSect="004339AD">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873" w:rsidRDefault="00A01873" w:rsidP="00B06616">
      <w:pPr>
        <w:spacing w:line="240" w:lineRule="auto"/>
      </w:pPr>
      <w:r>
        <w:separator/>
      </w:r>
    </w:p>
  </w:endnote>
  <w:endnote w:type="continuationSeparator" w:id="0">
    <w:p w:rsidR="00A01873" w:rsidRDefault="00A01873" w:rsidP="00B066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873" w:rsidRDefault="00A01873" w:rsidP="00B06616">
      <w:pPr>
        <w:spacing w:line="240" w:lineRule="auto"/>
      </w:pPr>
      <w:r>
        <w:separator/>
      </w:r>
    </w:p>
  </w:footnote>
  <w:footnote w:type="continuationSeparator" w:id="0">
    <w:p w:rsidR="00A01873" w:rsidRDefault="00A01873" w:rsidP="00B066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616" w:rsidRDefault="00B06616" w:rsidP="00B06616">
    <w:pPr>
      <w:pStyle w:val="Header"/>
      <w:jc w:val="right"/>
    </w:pPr>
    <w:r>
      <w:t>Blumenstock, Eric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664EB"/>
    <w:multiLevelType w:val="hybridMultilevel"/>
    <w:tmpl w:val="B6B6D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0F1274"/>
    <w:multiLevelType w:val="hybridMultilevel"/>
    <w:tmpl w:val="AD9E3A8C"/>
    <w:lvl w:ilvl="0" w:tplc="1E6ECD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footnotePr>
    <w:footnote w:id="-1"/>
    <w:footnote w:id="0"/>
  </w:footnotePr>
  <w:endnotePr>
    <w:endnote w:id="-1"/>
    <w:endnote w:id="0"/>
  </w:endnotePr>
  <w:compat/>
  <w:rsids>
    <w:rsidRoot w:val="00C80670"/>
    <w:rsid w:val="000613F6"/>
    <w:rsid w:val="00415F61"/>
    <w:rsid w:val="004339AD"/>
    <w:rsid w:val="00436F09"/>
    <w:rsid w:val="0051355D"/>
    <w:rsid w:val="0075039F"/>
    <w:rsid w:val="00921BB0"/>
    <w:rsid w:val="00A01873"/>
    <w:rsid w:val="00B06616"/>
    <w:rsid w:val="00BF5629"/>
    <w:rsid w:val="00C03CA5"/>
    <w:rsid w:val="00C80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3F6"/>
    <w:pPr>
      <w:spacing w:after="0" w:line="480" w:lineRule="auto"/>
      <w:ind w:left="36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70"/>
    <w:pPr>
      <w:ind w:left="720"/>
      <w:contextualSpacing/>
    </w:pPr>
  </w:style>
  <w:style w:type="character" w:styleId="Hyperlink">
    <w:name w:val="Hyperlink"/>
    <w:basedOn w:val="DefaultParagraphFont"/>
    <w:uiPriority w:val="99"/>
    <w:unhideWhenUsed/>
    <w:rsid w:val="00C80670"/>
    <w:rPr>
      <w:color w:val="0000FF" w:themeColor="hyperlink"/>
      <w:u w:val="single"/>
    </w:rPr>
  </w:style>
  <w:style w:type="table" w:styleId="TableGrid">
    <w:name w:val="Table Grid"/>
    <w:basedOn w:val="TableNormal"/>
    <w:uiPriority w:val="59"/>
    <w:rsid w:val="00C80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0661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06616"/>
    <w:rPr>
      <w:rFonts w:ascii="Times New Roman" w:hAnsi="Times New Roman"/>
    </w:rPr>
  </w:style>
  <w:style w:type="paragraph" w:styleId="Footer">
    <w:name w:val="footer"/>
    <w:basedOn w:val="Normal"/>
    <w:link w:val="FooterChar"/>
    <w:uiPriority w:val="99"/>
    <w:semiHidden/>
    <w:unhideWhenUsed/>
    <w:rsid w:val="00B0661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06616"/>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images/eps-gif/BipartiteGraph_1000.gif" TargetMode="External"/><Relationship Id="rId3" Type="http://schemas.openxmlformats.org/officeDocument/2006/relationships/settings" Target="settings.xml"/><Relationship Id="rId7" Type="http://schemas.openxmlformats.org/officeDocument/2006/relationships/hyperlink" Target="http://stackoverflow.com/questions/8467676/how-is-2-cnf-sat-is-in-p-while-3-cnf-sat-is-in-n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Blumenstock</dc:creator>
  <cp:keywords/>
  <dc:description/>
  <cp:lastModifiedBy>Eric Blumenstock</cp:lastModifiedBy>
  <cp:revision>6</cp:revision>
  <dcterms:created xsi:type="dcterms:W3CDTF">2015-12-05T00:56:00Z</dcterms:created>
  <dcterms:modified xsi:type="dcterms:W3CDTF">2015-12-05T02:03:00Z</dcterms:modified>
</cp:coreProperties>
</file>