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C3" w:rsidRDefault="0059005A" w:rsidP="0059005A">
      <w:pPr>
        <w:pStyle w:val="Titre"/>
      </w:pPr>
      <w:r>
        <w:t>Créer un nouveau parseur d’ADE</w:t>
      </w:r>
    </w:p>
    <w:p w:rsidR="00C34E9F" w:rsidRDefault="00C34E9F">
      <w:r>
        <w:t xml:space="preserve">Pour plus de lisibilité et de modularité, implémenter le code pour </w:t>
      </w:r>
      <w:proofErr w:type="spellStart"/>
      <w:r>
        <w:t>parsing</w:t>
      </w:r>
      <w:proofErr w:type="spellEnd"/>
      <w:r>
        <w:t xml:space="preserve"> des ADE dans des classes séparées.</w:t>
      </w:r>
    </w:p>
    <w:p w:rsidR="0022561B" w:rsidRDefault="0022561B">
      <w:r>
        <w:t xml:space="preserve">Les fonctions des classes </w:t>
      </w:r>
      <w:proofErr w:type="spellStart"/>
      <w:r>
        <w:t>ADEHandler</w:t>
      </w:r>
      <w:proofErr w:type="spellEnd"/>
      <w:r>
        <w:t xml:space="preserve"> seront automatiquement appelées en fonction du </w:t>
      </w:r>
      <w:proofErr w:type="spellStart"/>
      <w:r>
        <w:t>namespace</w:t>
      </w:r>
      <w:proofErr w:type="spellEnd"/>
      <w:r>
        <w:t xml:space="preserve"> associé à l’ADE.</w:t>
      </w:r>
    </w:p>
    <w:p w:rsidR="00C34E9F" w:rsidRDefault="00777B85">
      <w:r>
        <w:t>Pour créer un nouve</w:t>
      </w:r>
      <w:r w:rsidR="0059005A">
        <w:t>l</w:t>
      </w:r>
      <w:r>
        <w:t xml:space="preserve"> ADE </w:t>
      </w:r>
      <w:proofErr w:type="spellStart"/>
      <w:r>
        <w:t>handler</w:t>
      </w:r>
      <w:proofErr w:type="spellEnd"/>
      <w:r>
        <w:t xml:space="preserve"> dans le parseur de 3D-USE</w:t>
      </w:r>
      <w:r w:rsidR="00C34E9F">
        <w:t> :</w:t>
      </w:r>
    </w:p>
    <w:p w:rsidR="00777B85" w:rsidRDefault="00777B85">
      <w:r>
        <w:t xml:space="preserve">Créer une nouvelle classe qui hérite de la classe </w:t>
      </w:r>
      <w:proofErr w:type="spellStart"/>
      <w:r>
        <w:t>ADEHandler</w:t>
      </w:r>
      <w:proofErr w:type="spellEnd"/>
      <w:r>
        <w:t xml:space="preserve"> (définie dans ADE.hpp).</w:t>
      </w:r>
      <w:r w:rsidR="00342000">
        <w:t xml:space="preserve"> </w:t>
      </w:r>
    </w:p>
    <w:p w:rsidR="00342000" w:rsidRDefault="003B3F78">
      <w:r>
        <w:t xml:space="preserve">La nouvelle classe doit posséder la méthode statique qui enregistre la nouvelle classe avec son </w:t>
      </w:r>
      <w:proofErr w:type="spellStart"/>
      <w:r>
        <w:t>namespace</w:t>
      </w:r>
      <w:proofErr w:type="spellEnd"/>
      <w:r>
        <w:t xml:space="preserve"> dans le répertoire d’ADE. </w:t>
      </w:r>
      <w:r w:rsidR="00342000">
        <w:t xml:space="preserve">Les routines de </w:t>
      </w:r>
      <w:proofErr w:type="spellStart"/>
      <w:r w:rsidR="00342000">
        <w:t>parsing</w:t>
      </w:r>
      <w:proofErr w:type="spellEnd"/>
      <w:r w:rsidR="00342000">
        <w:t xml:space="preserve"> doivent s’appeler comme pour le parseur principal, </w:t>
      </w:r>
      <w:proofErr w:type="spellStart"/>
      <w:proofErr w:type="gramStart"/>
      <w:r w:rsidR="00342000">
        <w:t>startElement</w:t>
      </w:r>
      <w:proofErr w:type="spellEnd"/>
      <w:r w:rsidR="00342000">
        <w:t>(</w:t>
      </w:r>
      <w:proofErr w:type="gramEnd"/>
      <w:r w:rsidR="00342000">
        <w:t xml:space="preserve">string, </w:t>
      </w:r>
      <w:proofErr w:type="spellStart"/>
      <w:r w:rsidR="00342000">
        <w:t>void</w:t>
      </w:r>
      <w:proofErr w:type="spellEnd"/>
      <w:r w:rsidR="00342000">
        <w:t xml:space="preserve">*), </w:t>
      </w:r>
      <w:proofErr w:type="spellStart"/>
      <w:r w:rsidR="00342000">
        <w:t>endElement</w:t>
      </w:r>
      <w:proofErr w:type="spellEnd"/>
      <w:r w:rsidR="00342000">
        <w:t xml:space="preserve">(string) et </w:t>
      </w:r>
      <w:proofErr w:type="spellStart"/>
      <w:r w:rsidR="00342000">
        <w:t>endDocument</w:t>
      </w:r>
      <w:proofErr w:type="spellEnd"/>
      <w:r w:rsidR="00342000">
        <w:t>().</w:t>
      </w:r>
    </w:p>
    <w:p w:rsidR="003B3F78" w:rsidRDefault="003B3F78">
      <w:r>
        <w:t>Par exemple, si la nouvelle classe s’appelle « </w:t>
      </w:r>
      <w:proofErr w:type="spellStart"/>
      <w:r w:rsidR="00513022">
        <w:t>New</w:t>
      </w:r>
      <w:r>
        <w:t>Handler</w:t>
      </w:r>
      <w:proofErr w:type="spellEnd"/>
      <w:r>
        <w:t xml:space="preserve"> » et que le </w:t>
      </w:r>
      <w:proofErr w:type="spellStart"/>
      <w:r>
        <w:t>namespace</w:t>
      </w:r>
      <w:proofErr w:type="spellEnd"/>
      <w:r>
        <w:t xml:space="preserve"> est « </w:t>
      </w:r>
      <w:r w:rsidR="00513022">
        <w:t>test</w:t>
      </w:r>
      <w:r>
        <w:t> » :</w:t>
      </w:r>
    </w:p>
    <w:p w:rsidR="003B3F78" w:rsidRDefault="003B3F78">
      <w:r>
        <w:t>Dans le .</w:t>
      </w:r>
      <w:proofErr w:type="spellStart"/>
      <w:r>
        <w:t>hpp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3F78" w:rsidTr="003B3F78">
        <w:tc>
          <w:tcPr>
            <w:tcW w:w="9062" w:type="dxa"/>
          </w:tcPr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</w:t>
            </w:r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Handler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ADEHandler</w:t>
            </w:r>
            <w:proofErr w:type="spellEnd"/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342000" w:rsidRPr="009E3ACE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342000" w:rsidRPr="009E3ACE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E3AC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9E3A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E3AC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citygml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CityGMLHandler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gmlHandler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startElement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endElement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endDocument</w:t>
            </w:r>
            <w:proofErr w:type="spellEnd"/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342000" w:rsidRP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42000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//Adding to ADE register (template in ADE.hpp)</w:t>
            </w:r>
          </w:p>
          <w:p w:rsidR="00342000" w:rsidRDefault="00342000" w:rsidP="003420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4200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ADERegister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NewHandler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reg;</w:t>
            </w:r>
          </w:p>
          <w:p w:rsidR="003B3F78" w:rsidRDefault="00342000" w:rsidP="00342000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</w:tc>
      </w:tr>
    </w:tbl>
    <w:p w:rsidR="003B3F78" w:rsidRDefault="003B3F78"/>
    <w:p w:rsidR="003B3F78" w:rsidRDefault="003B3F78">
      <w:r>
        <w:t>Dans le .</w:t>
      </w:r>
      <w:proofErr w:type="spellStart"/>
      <w:r>
        <w:t>cpp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3F78" w:rsidRPr="004A23E7" w:rsidTr="003B3F78">
        <w:tc>
          <w:tcPr>
            <w:tcW w:w="9062" w:type="dxa"/>
          </w:tcPr>
          <w:p w:rsidR="00861701" w:rsidRPr="00861701" w:rsidRDefault="00861701" w:rsidP="00861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</w:t>
            </w:r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6170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  <w:proofErr w:type="spellStart"/>
            <w:r w:rsidRPr="008617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ADEHandler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(){</w:t>
            </w:r>
            <w:r w:rsidR="005E18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/*code*/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61701" w:rsidRPr="00861701" w:rsidRDefault="00861701" w:rsidP="00861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</w:t>
            </w:r>
            <w:r w:rsidRPr="0034200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New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citygml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8617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CityGMLHandler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86170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):</w:t>
            </w:r>
            <w:proofErr w:type="spellStart"/>
            <w:r w:rsidRPr="008617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ADEHandler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6170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gHandler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="005E18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/*code*/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61701" w:rsidRDefault="00861701" w:rsidP="005130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1701" w:rsidRDefault="00861701" w:rsidP="00861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6170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1302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startElement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617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170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86170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86170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attributes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="005E18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/*code*/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61701" w:rsidRDefault="00861701" w:rsidP="00861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6170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1302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endElement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std</w:t>
            </w:r>
            <w:proofErr w:type="spellEnd"/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r w:rsidRPr="0086170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170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name</w:t>
            </w:r>
            <w:r w:rsidRPr="00861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="005E18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/*code*/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861701" w:rsidRDefault="00861701" w:rsidP="00861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1302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endDocument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(){</w:t>
            </w:r>
            <w:r w:rsidR="005E18EC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/*code*/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A23E7" w:rsidRPr="00861701" w:rsidRDefault="004A23E7" w:rsidP="004A23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A23E7" w:rsidRDefault="004A23E7" w:rsidP="004A23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  <w:r w:rsidRPr="00861701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//Adding to ADE register</w:t>
            </w:r>
          </w:p>
          <w:p w:rsidR="004A23E7" w:rsidRDefault="004A23E7" w:rsidP="004A23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3B3F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ADERegister</w:t>
            </w:r>
            <w:proofErr w:type="spellEnd"/>
            <w:r w:rsidRPr="003B3F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51302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r w:rsidRPr="003B3F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&gt; </w:t>
            </w:r>
            <w:proofErr w:type="spellStart"/>
            <w:r w:rsidRPr="0051302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NewHandler</w:t>
            </w:r>
            <w:proofErr w:type="spellEnd"/>
            <w:r w:rsidRPr="003B3F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::</w:t>
            </w:r>
            <w:proofErr w:type="spellStart"/>
            <w:r w:rsidRPr="003B3F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reg</w:t>
            </w:r>
            <w:proofErr w:type="spellEnd"/>
            <w:r w:rsidRPr="003B3F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B3F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test</w:t>
            </w:r>
            <w:r w:rsidRPr="003B3F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B3F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4A23E7" w:rsidRPr="004A23E7" w:rsidRDefault="004A23E7" w:rsidP="004A23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B3F78" w:rsidRDefault="003B3F78">
      <w:pPr>
        <w:rPr>
          <w:lang w:val="en-US"/>
        </w:rPr>
      </w:pPr>
    </w:p>
    <w:p w:rsidR="0059005A" w:rsidRPr="0059005A" w:rsidRDefault="0059005A">
      <w:r w:rsidRPr="0059005A">
        <w:t xml:space="preserve">Les instances des différents </w:t>
      </w:r>
      <w:proofErr w:type="spellStart"/>
      <w:r w:rsidRPr="0059005A">
        <w:t>ADEHandlers</w:t>
      </w:r>
      <w:proofErr w:type="spellEnd"/>
      <w:r w:rsidRPr="0059005A">
        <w:t xml:space="preserve"> sont cré</w:t>
      </w:r>
      <w:r>
        <w:t>é</w:t>
      </w:r>
      <w:r w:rsidRPr="0059005A">
        <w:t xml:space="preserve">es </w:t>
      </w:r>
      <w:r>
        <w:t xml:space="preserve">au début du </w:t>
      </w:r>
      <w:proofErr w:type="spellStart"/>
      <w:r>
        <w:t>parsing</w:t>
      </w:r>
      <w:proofErr w:type="spellEnd"/>
      <w:r>
        <w:t xml:space="preserve"> du fichier, et son stockées dans une </w:t>
      </w:r>
      <w:proofErr w:type="spellStart"/>
      <w:r>
        <w:t>map</w:t>
      </w:r>
      <w:proofErr w:type="spellEnd"/>
      <w:r>
        <w:t xml:space="preserve"> où elles sont associées au </w:t>
      </w:r>
      <w:proofErr w:type="spellStart"/>
      <w:r>
        <w:t>namespace</w:t>
      </w:r>
      <w:proofErr w:type="spellEnd"/>
      <w:r>
        <w:t xml:space="preserve"> avec lequel on les a enregistrées.</w:t>
      </w:r>
    </w:p>
    <w:p w:rsidR="00513022" w:rsidRDefault="00513022">
      <w:r w:rsidRPr="00513022">
        <w:t>Les m</w:t>
      </w:r>
      <w:r>
        <w:t>é</w:t>
      </w:r>
      <w:r w:rsidRPr="00513022">
        <w:t xml:space="preserve">thodes </w:t>
      </w:r>
      <w:proofErr w:type="spellStart"/>
      <w:r w:rsidRPr="00513022">
        <w:t>NewHandler</w:t>
      </w:r>
      <w:proofErr w:type="spellEnd"/>
      <w:r w:rsidRPr="00513022">
        <w:t>::</w:t>
      </w:r>
      <w:proofErr w:type="spellStart"/>
      <w:r w:rsidRPr="00513022">
        <w:t>startElement</w:t>
      </w:r>
      <w:proofErr w:type="spellEnd"/>
      <w:r w:rsidRPr="00513022">
        <w:t xml:space="preserve">() et </w:t>
      </w:r>
      <w:proofErr w:type="spellStart"/>
      <w:r w:rsidRPr="00513022">
        <w:t>NewHandler</w:t>
      </w:r>
      <w:proofErr w:type="spellEnd"/>
      <w:r w:rsidRPr="00513022">
        <w:t>::</w:t>
      </w:r>
      <w:proofErr w:type="spellStart"/>
      <w:r w:rsidRPr="00513022">
        <w:t>endElement</w:t>
      </w:r>
      <w:proofErr w:type="spellEnd"/>
      <w:r w:rsidRPr="00513022">
        <w:t xml:space="preserve">() sont appelées </w:t>
      </w:r>
      <w:r w:rsidR="00040AA8">
        <w:t xml:space="preserve">si elles existent </w:t>
      </w:r>
      <w:r w:rsidRPr="00513022">
        <w:t>respectivement par les m</w:t>
      </w:r>
      <w:r>
        <w:t>é</w:t>
      </w:r>
      <w:r w:rsidRPr="00513022">
        <w:t>thod</w:t>
      </w:r>
      <w:r>
        <w:t>e</w:t>
      </w:r>
      <w:r w:rsidRPr="00513022">
        <w:t xml:space="preserve">s </w:t>
      </w:r>
      <w:proofErr w:type="spellStart"/>
      <w:r>
        <w:t>CityGMLHandler</w:t>
      </w:r>
      <w:proofErr w:type="spellEnd"/>
      <w:r w:rsidRPr="00513022">
        <w:t>::</w:t>
      </w:r>
      <w:proofErr w:type="spellStart"/>
      <w:r w:rsidRPr="00513022">
        <w:t>startElement</w:t>
      </w:r>
      <w:proofErr w:type="spellEnd"/>
      <w:r w:rsidRPr="00513022">
        <w:t xml:space="preserve">() et </w:t>
      </w:r>
      <w:proofErr w:type="spellStart"/>
      <w:r>
        <w:t>CityGMLHandler</w:t>
      </w:r>
      <w:proofErr w:type="spellEnd"/>
      <w:r w:rsidRPr="00513022">
        <w:t>::</w:t>
      </w:r>
      <w:proofErr w:type="spellStart"/>
      <w:r w:rsidRPr="00513022">
        <w:t>endElement</w:t>
      </w:r>
      <w:proofErr w:type="spellEnd"/>
      <w:r w:rsidRPr="00513022">
        <w:t>()</w:t>
      </w:r>
      <w:r>
        <w:t xml:space="preserve">. Lorsque les méthodes de </w:t>
      </w:r>
      <w:proofErr w:type="spellStart"/>
      <w:r>
        <w:t>CityGMLHandler</w:t>
      </w:r>
      <w:proofErr w:type="spellEnd"/>
      <w:r>
        <w:t xml:space="preserve"> échouent à identifier un </w:t>
      </w:r>
      <w:bookmarkStart w:id="0" w:name="_GoBack"/>
      <w:r>
        <w:t xml:space="preserve">élément, elles comparent son </w:t>
      </w:r>
      <w:proofErr w:type="spellStart"/>
      <w:r>
        <w:t>namespace</w:t>
      </w:r>
      <w:proofErr w:type="spellEnd"/>
      <w:r>
        <w:t xml:space="preserve"> avec les </w:t>
      </w:r>
      <w:proofErr w:type="spellStart"/>
      <w:r>
        <w:t>namespaces</w:t>
      </w:r>
      <w:proofErr w:type="spellEnd"/>
      <w:r>
        <w:t xml:space="preserve"> entrés dans </w:t>
      </w:r>
      <w:r w:rsidR="0059005A">
        <w:t xml:space="preserve">la </w:t>
      </w:r>
      <w:proofErr w:type="spellStart"/>
      <w:r w:rsidR="0059005A">
        <w:t>map</w:t>
      </w:r>
      <w:proofErr w:type="spellEnd"/>
      <w:r w:rsidR="0059005A">
        <w:t xml:space="preserve"> d’</w:t>
      </w:r>
      <w:proofErr w:type="spellStart"/>
      <w:r w:rsidR="0059005A">
        <w:t>ADEHandlers</w:t>
      </w:r>
      <w:proofErr w:type="spellEnd"/>
      <w:r w:rsidR="0059005A">
        <w:t xml:space="preserve"> et </w:t>
      </w:r>
      <w:bookmarkEnd w:id="0"/>
      <w:r w:rsidR="0059005A">
        <w:t>appellent la méthode de l’instance correspondante</w:t>
      </w:r>
      <w:r w:rsidR="00D25881">
        <w:t>.</w:t>
      </w:r>
    </w:p>
    <w:p w:rsidR="009E3ACE" w:rsidRDefault="00D25881">
      <w:r>
        <w:lastRenderedPageBreak/>
        <w:t xml:space="preserve">La méthode </w:t>
      </w:r>
      <w:proofErr w:type="spellStart"/>
      <w:r>
        <w:t>NewHandler</w:t>
      </w:r>
      <w:proofErr w:type="spellEnd"/>
      <w:proofErr w:type="gramStart"/>
      <w:r>
        <w:t>::</w:t>
      </w:r>
      <w:proofErr w:type="spellStart"/>
      <w:r>
        <w:t>endDocument</w:t>
      </w:r>
      <w:proofErr w:type="spellEnd"/>
      <w:proofErr w:type="gramEnd"/>
      <w:r>
        <w:t>() (si elle existe) est systématiquement appelée en fin de document.</w:t>
      </w:r>
    </w:p>
    <w:p w:rsidR="009E3ACE" w:rsidRPr="00513022" w:rsidRDefault="009E3ACE">
      <w:r>
        <w:t xml:space="preserve">La classe </w:t>
      </w:r>
      <w:proofErr w:type="spellStart"/>
      <w:r>
        <w:t>ADEHandler</w:t>
      </w:r>
      <w:proofErr w:type="spellEnd"/>
      <w:r>
        <w:t xml:space="preserve"> possède toute une série d’accesseurs pour accéder aux membres de la classe </w:t>
      </w:r>
      <w:proofErr w:type="spellStart"/>
      <w:r>
        <w:t>CityGMLHandler</w:t>
      </w:r>
      <w:proofErr w:type="spellEnd"/>
      <w:r>
        <w:t xml:space="preserve"> (classes amies), mais cela ne passait pas la compilation sous Mac, on a donc mis les membres de </w:t>
      </w:r>
      <w:proofErr w:type="spellStart"/>
      <w:r>
        <w:t>CityGMLHandler</w:t>
      </w:r>
      <w:proofErr w:type="spellEnd"/>
      <w:r>
        <w:t xml:space="preserve"> en public pour le moment…</w:t>
      </w:r>
    </w:p>
    <w:sectPr w:rsidR="009E3ACE" w:rsidRPr="0051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85"/>
    <w:rsid w:val="00040AA8"/>
    <w:rsid w:val="0022561B"/>
    <w:rsid w:val="00342000"/>
    <w:rsid w:val="00360DC3"/>
    <w:rsid w:val="003B3F78"/>
    <w:rsid w:val="004A23E7"/>
    <w:rsid w:val="00513022"/>
    <w:rsid w:val="0059005A"/>
    <w:rsid w:val="005E18EC"/>
    <w:rsid w:val="00777B85"/>
    <w:rsid w:val="00861701"/>
    <w:rsid w:val="008F1430"/>
    <w:rsid w:val="009E3ACE"/>
    <w:rsid w:val="00C34E9F"/>
    <w:rsid w:val="00D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C5801-6D53-4B6A-9093-B6DC491C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B3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9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</dc:creator>
  <cp:keywords/>
  <dc:description/>
  <cp:lastModifiedBy>Jérémy</cp:lastModifiedBy>
  <cp:revision>5</cp:revision>
  <dcterms:created xsi:type="dcterms:W3CDTF">2015-10-08T11:30:00Z</dcterms:created>
  <dcterms:modified xsi:type="dcterms:W3CDTF">2015-10-12T07:58:00Z</dcterms:modified>
</cp:coreProperties>
</file>