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SA4#137-e 会议 AI Traffic 方向提案评审</w:t>
      </w:r>
    </w:p>
    <w:p>
      <w:pPr>
        <w:jc w:val="center"/>
      </w:pPr>
      <w:r>
        <w:rPr>
          <w:i/>
        </w:rPr>
        <w:t>Agenda 11.3.1 AI Traffic Characteristics / 11.3.2 AI-native representations</w:t>
      </w:r>
    </w:p>
    <w:p>
      <w:pPr>
        <w:jc w:val="center"/>
      </w:pPr>
      <w:r>
        <w:t>基于 SA4#137-e TDoc List 与相关原始 TDoc | 2026-09-01</w:t>
      </w:r>
    </w:p>
    <w:p>
      <w:pPr>
        <w:pStyle w:val="Heading1"/>
      </w:pPr>
      <w:r>
        <w:t>1. 结论摘要</w:t>
      </w:r>
    </w:p>
    <w:p>
      <w:r>
        <w:t>本轮工作把“AI 应用产生多少比特”推进到“什么表示被传输、何时可用、丢失后任务是否仍成功，以及证据是否可复核”。11.3.1 已形成测试场景、测量指标和数据治理骨架；11.3.2 打开了 AI-native 中间表示的媒体层传输与信令研究。应按“表示语义 -&gt; 封装/传输 -&gt; 网络损伤 -&gt; 任务 QoE”一条链路推进。</w:t>
      </w:r>
    </w:p>
    <w:p>
      <w:pPr>
        <w:pStyle w:val="ListBullet"/>
      </w:pPr>
      <w:r>
        <w:t>11.3.1 共 35 条登记（含修订/替代件）：12 agreed、15 revised、8 noted。11.3.2 共 6 条：1 agreed、1 revised、4 noted。修订件不重复计为独立结论。</w:t>
      </w:r>
    </w:p>
    <w:p>
      <w:pPr>
        <w:pStyle w:val="ListBullet"/>
      </w:pPr>
      <w:r>
        <w:t>已采纳主要方向：实时视频/音频模型、Agentic AI、多模态流程、任务 QoE、术语、AI Gateway、高频交互、数据稳定化/交叉核验，以及 AI-native representation 的传输/信令研究入口。</w:t>
      </w:r>
    </w:p>
    <w:p>
      <w:pPr>
        <w:pStyle w:val="ListBullet"/>
      </w:pPr>
      <w:r>
        <w:t>token 不是天然可比的网络单位。其字节映射受 ID、embedding、base64/编码格式影响，可跨数量级变化；任何 token rate、bytes/token 或 importance 结论必须带表示类型、模型版本、封装和任务上下文。</w:t>
      </w:r>
    </w:p>
    <w:p>
      <w:pPr>
        <w:pStyle w:val="ListBullet"/>
      </w:pPr>
      <w:r>
        <w:t>TR 26.870 目前宜定义场景、方法、指标和候选需求，不宜过早固化单一载荷。互操作 payload、SDP/RTP 扩展与 QoS 映射需有跨实现证据。</w:t>
      </w:r>
    </w:p>
    <w:p>
      <w:pPr>
        <w:pStyle w:val="Heading1"/>
      </w:pPr>
      <w:r>
        <w:t>2. 范围与口径</w:t>
      </w:r>
    </w:p>
    <w:p>
      <w:r>
        <w:t>范围为 11.3.1（AI Traffic Characteristics）和 11.3.2（AI-native representations）。主数据源为会议 TDoc 清单，并核查可下载的 pCR/讨论稿：S4-261447、261459、261780、261813-261815、261817-261820、261824-261827、261834、261450、261484、261527、261528、261648 和 261805。agreed 表示会议同意；revised 表示已有替代件；noted 仅为记录/讨论，不等同于技术结论。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D9EAF7"/>
          </w:tcPr>
          <w:p>
            <w:r>
              <w:rPr>
                <w:b/>
                <w:sz w:val="16"/>
              </w:rPr>
              <w:t>议程</w:t>
            </w:r>
          </w:p>
        </w:tc>
        <w:tc>
          <w:tcPr>
            <w:tcW w:type="dxa" w:w="2551"/>
            <w:shd w:fill="D9EAF7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850"/>
            <w:shd w:fill="D9EAF7"/>
          </w:tcPr>
          <w:p>
            <w:r>
              <w:rPr>
                <w:b/>
                <w:sz w:val="16"/>
              </w:rPr>
              <w:t>登记数</w:t>
            </w:r>
          </w:p>
        </w:tc>
        <w:tc>
          <w:tcPr>
            <w:tcW w:type="dxa" w:w="1871"/>
            <w:shd w:fill="D9EAF7"/>
          </w:tcPr>
          <w:p>
            <w:r>
              <w:rPr>
                <w:b/>
                <w:sz w:val="16"/>
              </w:rPr>
              <w:t>主要文档类型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  <w:sz w:val="16"/>
              </w:rPr>
              <w:t>评审重点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11.3.1</w:t>
            </w:r>
          </w:p>
        </w:tc>
        <w:tc>
          <w:tcPr>
            <w:tcW w:type="dxa" w:w="2551"/>
          </w:tcPr>
          <w:p>
            <w:r>
              <w:rPr>
                <w:b w:val="0"/>
                <w:sz w:val="16"/>
              </w:rPr>
              <w:t>AI Traffic Characteristics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871"/>
          </w:tcPr>
          <w:p>
            <w:r>
              <w:rPr>
                <w:b w:val="0"/>
                <w:sz w:val="16"/>
              </w:rPr>
              <w:t>28 pCR，7 discussion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流量模型、测试场景、指标、任务 QoE、可复现性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6"/>
              </w:rPr>
              <w:t>11.3.2</w:t>
            </w:r>
          </w:p>
        </w:tc>
        <w:tc>
          <w:tcPr>
            <w:tcW w:type="dxa" w:w="2551"/>
          </w:tcPr>
          <w:p>
            <w:r>
              <w:rPr>
                <w:b w:val="0"/>
                <w:sz w:val="16"/>
              </w:rPr>
              <w:t>AI-native representations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b w:val="0"/>
                <w:sz w:val="16"/>
              </w:rPr>
              <w:t>4 pCR，2 discussion</w:t>
            </w:r>
          </w:p>
        </w:tc>
        <w:tc>
          <w:tcPr>
            <w:tcW w:type="dxa" w:w="3402"/>
          </w:tcPr>
          <w:p>
            <w:r>
              <w:rPr>
                <w:b w:val="0"/>
                <w:sz w:val="16"/>
              </w:rPr>
              <w:t>中间表示、传输/信令、意图、渐进重建</w:t>
            </w:r>
          </w:p>
        </w:tc>
      </w:tr>
    </w:tbl>
    <w:p/>
    <w:p>
      <w:pPr>
        <w:pStyle w:val="Heading1"/>
      </w:pPr>
      <w:r>
        <w:t>3. Agenda 11.3.1：提案归纳与评审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</w:tcPr>
          <w:p>
            <w:r>
              <w:rPr>
                <w:b/>
                <w:sz w:val="16"/>
              </w:rPr>
              <w:t>技术簇及相关 TDoc</w:t>
            </w:r>
          </w:p>
        </w:tc>
        <w:tc>
          <w:tcPr>
            <w:tcW w:type="dxa" w:w="4025"/>
            <w:shd w:fill="D9EAF7"/>
          </w:tcPr>
          <w:p>
            <w:r>
              <w:rPr>
                <w:b/>
                <w:sz w:val="16"/>
              </w:rPr>
              <w:t>观点与技术细节</w:t>
            </w:r>
          </w:p>
        </w:tc>
        <w:tc>
          <w:tcPr>
            <w:tcW w:type="dxa" w:w="1247"/>
            <w:shd w:fill="D9EAF7"/>
          </w:tcPr>
          <w:p>
            <w:r>
              <w:rPr>
                <w:b/>
                <w:sz w:val="16"/>
              </w:rPr>
              <w:t>会议结果</w:t>
            </w:r>
          </w:p>
        </w:tc>
        <w:tc>
          <w:tcPr>
            <w:tcW w:type="dxa" w:w="2948"/>
            <w:shd w:fill="D9EAF7"/>
          </w:tcPr>
          <w:p>
            <w:r>
              <w:rPr>
                <w:b/>
                <w:sz w:val="16"/>
              </w:rPr>
              <w:t>评审判断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测试床、治理与结论整合</w:t>
              <w:br/>
              <w:t>261440、261448、261454、261462/1817、261834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重构测试床；结果归因并链接回 TR；CANDIDATE -&gt; STABLE 以 6 个月 challenge period 为默认，独立复核可加速；记录 CROSS_CHECKED、场景、网络、工具/版本。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261440、1817、1834 agreed；其余 noted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在线商业模型只要求方向、数量级、模式的定性一致性；补充模型版本、区域、时间窗、流式策略。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合成流量</w:t>
              <w:br/>
              <w:t>261447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包级 size、IAT、方向各 65 bin，流级增加长度；比较 order-0/1 Markov 和条件 VAE。CVAE 联合自回归三通道；经验反量化避免 bin 中心值导致 KS 下限。capture group 70/15/15 切分避免泄漏。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noted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除 KS 外，应报边缘/转移/burst/方向切换/任务时延的多尺度保真度。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实时视频理解与音频</w:t>
              <w:br/>
              <w:t>261455/1818、261503-505、261504/1780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视频理解经 WebRTC：2 fps；每帧 1024 token x 2 B，约 2048 B；RTP/UDP 分为 1140 B + 1020 B，500 ms 周期，约 34.6 kbps/session；RTCP 约 2.2%。音频为 WebSocket 流。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1818、1780 agreed；261503、261505 noted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near-CBR 模型清晰，但属单实现/固定帧率。帧率、tokenizer、MTU、拥塞控制、deadline 应设为变量。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任务 QoE 与多模态流程</w:t>
              <w:br/>
              <w:t>261449/1813、261452/1825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多模态分析过程写入测试流程；引入 task-based QoE，补足吞吐/时延。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均 agreed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报告任务成功率/准确率、置信度、完成时间、结果新鲜度，避免平均 accuracy 遮蔽尾部失效。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Agentic AI 与高频交互</w:t>
              <w:br/>
              <w:t>261446/1814、261534/1827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确定性 A2A 时延随 RTT 近线性：无整形约 0.002 s、GEO 约 0.687 s；数百 B 小消息受 RTT/丢包限制。个人助理 wire-level UL/DL 约 0.50，因重传上下文、prompt、tools。新增 communication_frequency、inter_message_interval、128 B small_packet_ratio。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均 agreed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应用层下行回答多不等于接入网下行占优；按 session、agent step、网络流三层测量。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Token 指标与术语</w:t>
              <w:br/>
              <w:t>261453/1826、261459、261471/1824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定义 AI token、离散/连续 token、embedding、tokenizer、context window、prompt、incremental delivery；TTFT/TTLT、throughput、burstiness。MCP input/output token 比约 24:1；chunk gap p50=0.116 ms，TCP RTT p50=63.2 ms，节拍来自推理端。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1826 agreed；其余 noted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分开逻辑 token、representation、transport packet。TCP 看 deadline miss；RTP/QUIC 可研究选择性保护。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AI Gateway</w:t>
              <w:br/>
              <w:t>261519/1820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认证、路由、token-aware rate limiting、成本控制、RAG、模型调用、SSE/流式返回；记录 trace、metrics、logs、audit。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agreed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拆分 gateway queue、provider inference、网络、工具调用时延。</w:t>
            </w:r>
          </w:p>
        </w:tc>
      </w:tr>
    </w:tbl>
    <w:p/>
    <w:p>
      <w:pPr>
        <w:pStyle w:val="Heading1"/>
      </w:pPr>
      <w:r>
        <w:t>4. Agenda 11.3.2：AI-native representations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</w:tcPr>
          <w:p>
            <w:r>
              <w:rPr>
                <w:b/>
                <w:sz w:val="16"/>
              </w:rPr>
              <w:t>技术簇及相关 TDoc</w:t>
            </w:r>
          </w:p>
        </w:tc>
        <w:tc>
          <w:tcPr>
            <w:tcW w:type="dxa" w:w="4025"/>
            <w:shd w:fill="D9EAF7"/>
          </w:tcPr>
          <w:p>
            <w:r>
              <w:rPr>
                <w:b/>
                <w:sz w:val="16"/>
              </w:rPr>
              <w:t>观点与技术细节</w:t>
            </w:r>
          </w:p>
        </w:tc>
        <w:tc>
          <w:tcPr>
            <w:tcW w:type="dxa" w:w="1247"/>
            <w:shd w:fill="D9EAF7"/>
          </w:tcPr>
          <w:p>
            <w:r>
              <w:rPr>
                <w:b/>
                <w:sz w:val="16"/>
              </w:rPr>
              <w:t>会议结果</w:t>
            </w:r>
          </w:p>
        </w:tc>
        <w:tc>
          <w:tcPr>
            <w:tcW w:type="dxa" w:w="2948"/>
            <w:shd w:fill="D9EAF7"/>
          </w:tcPr>
          <w:p>
            <w:r>
              <w:rPr>
                <w:b/>
                <w:sz w:val="16"/>
              </w:rPr>
              <w:t>评审判断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传输与信令</w:t>
              <w:br/>
              <w:t>261450/1805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区分 token 粒度观测和显式承载 token、embedding、latent、feature tensor 的 representation stream。研究 packetization、fragmentation/aggregation、timing、stream association、capability negotiation、metadata、媒体相关性、接收端解释。RTP/SDP 是实时候选，但无互操作 payload format。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agreed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先做 capability/metadata 与映射试验；不应假设 RTP 适合所有表示，大 tensor/可靠批传输可能偏向 QUIC/HTTP。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多模态 intent</w:t>
              <w:br/>
              <w:t>261484、261648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研究文字、图像、音频、视频/传感器向 AI 可消费中间表示转换的服务模型和格式。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均 noted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需形成 intent schema、模态时间对齐、隐私边界和任务成功判据。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6"/>
              </w:rPr>
              <w:t>LLM/MLLM 中间数据与渐进重建</w:t>
              <w:br/>
              <w:t>261527、261528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比较离散 VQ token、连续 embedding，以及神经 codec 的 hyper-latent Zt 和 y0...yn。Zt 丢失无法重建；slice 逐层改善质量，任一 yn 丢失使后续 slice 不再贡献。</w:t>
            </w:r>
          </w:p>
        </w:tc>
        <w:tc>
          <w:tcPr>
            <w:tcW w:type="dxa" w:w="1247"/>
          </w:tcPr>
          <w:p>
            <w:r>
              <w:rPr>
                <w:b w:val="0"/>
                <w:sz w:val="16"/>
              </w:rPr>
              <w:t>均 noted</w:t>
            </w:r>
          </w:p>
        </w:tc>
        <w:tc>
          <w:tcPr>
            <w:tcW w:type="dxa" w:w="2948"/>
          </w:tcPr>
          <w:p>
            <w:r>
              <w:rPr>
                <w:b w:val="0"/>
                <w:sz w:val="16"/>
              </w:rPr>
              <w:t>说明依赖图和 unequal error protection 的价值；需要跨 codec/跨任务验证。</w:t>
            </w:r>
          </w:p>
        </w:tc>
      </w:tr>
    </w:tbl>
    <w:p/>
    <w:p>
      <w:pPr>
        <w:pStyle w:val="Heading1"/>
      </w:pPr>
      <w:r>
        <w:t>5. 跨议程技术判断</w:t>
      </w:r>
    </w:p>
    <w:p>
      <w:pPr>
        <w:pStyle w:val="Heading2"/>
      </w:pPr>
      <w:r>
        <w:t>5.1 Representation-aware 模型</w:t>
      </w:r>
    </w:p>
    <w:p>
      <w:r>
        <w:t>建议引入 representation unit（RU），而不是裸 token 或裸 packet。RU 至少携带：type（离散 ID/连续 embedding/latent/tensor/媒体块）、model/tokenizer 与版本、shape/dimension 或 codebook、量化/压缩、source media/时间戳关联、依赖层级、deadline、重要性/可恢复性标签。网络侧观察 RU 到 packet 的聚合、分片、方向、IAT、可靠性、重传。</w:t>
      </w:r>
    </w:p>
    <w:p>
      <w:pPr>
        <w:pStyle w:val="Heading2"/>
      </w:pPr>
      <w:r>
        <w:t>5.2 任务 QoE 与依赖分级可靠性</w:t>
      </w:r>
    </w:p>
    <w:p>
      <w:r>
        <w:t>每个场景拟合 Q=f(loss, delay, jitter, ordering, representation loss pattern)，报告 P(task success&gt;=target)、deadline miss、质量退化斜率、恢复时间。TTFT、chunk gap、TTLT 分别归因至 access、transport、gateway queue、prefill/decoding、tool call。重要性是依赖图中的条件属性：可用 I(RU)=Delta Q_task / Delta loss(RU) 或消融近似；基础层用低 PER、有限重传/FEC，增强层可 deadline-aware discard。</w:t>
      </w:r>
    </w:p>
    <w:p>
      <w:pPr>
        <w:pStyle w:val="Heading1"/>
      </w:pPr>
      <w:r>
        <w:t>6. 面向新技术研究、挖掘与探索的建议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fill="D9EAF7"/>
          </w:tcPr>
          <w:p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2268"/>
            <w:shd w:fill="D9EAF7"/>
          </w:tcPr>
          <w:p>
            <w:r>
              <w:rPr>
                <w:b/>
                <w:sz w:val="16"/>
              </w:rPr>
              <w:t>研究课题</w:t>
            </w:r>
          </w:p>
        </w:tc>
        <w:tc>
          <w:tcPr>
            <w:tcW w:type="dxa" w:w="4025"/>
            <w:shd w:fill="D9EAF7"/>
          </w:tcPr>
          <w:p>
            <w:r>
              <w:rPr>
                <w:b/>
                <w:sz w:val="16"/>
              </w:rPr>
              <w:t>实验与交付物</w:t>
            </w:r>
          </w:p>
        </w:tc>
        <w:tc>
          <w:tcPr>
            <w:tcW w:type="dxa" w:w="3005"/>
            <w:shd w:fill="D9EAF7"/>
          </w:tcPr>
          <w:p>
            <w:r>
              <w:rPr>
                <w:b/>
                <w:sz w:val="16"/>
              </w:rPr>
              <w:t>成功判据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AI-native representation envelope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定义 RU 元数据；实现 RTP/SDP（实时）与 QUIC/HTTP（可靠批传输）适配层，在同一 video/audio/MLLM 场景比较。</w:t>
            </w:r>
          </w:p>
        </w:tc>
        <w:tc>
          <w:tcPr>
            <w:tcW w:type="dxa" w:w="3005"/>
          </w:tcPr>
          <w:p>
            <w:r>
              <w:rPr>
                <w:b w:val="0"/>
                <w:sz w:val="16"/>
              </w:rPr>
              <w:t>跨两实现正确协商类型、版本、shape、时戳和依赖层；任务端可解释。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任务感知 UEP/FEC 与 deadline discard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对 VQ token、embedding chunk、neural-codec latent、agent 消息施加 loss/jitter/burst loss；比较等保护、基础层保护、importance-aware。</w:t>
            </w:r>
          </w:p>
        </w:tc>
        <w:tc>
          <w:tcPr>
            <w:tcW w:type="dxa" w:w="3005"/>
          </w:tcPr>
          <w:p>
            <w:r>
              <w:rPr>
                <w:b w:val="0"/>
                <w:sz w:val="16"/>
              </w:rPr>
              <w:t>同等无线资源下任务成功率/质量提升可复现，并量化尾时延代价。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可复现 AI traffic 数据集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使用 CANDIDATE/STABLE/CROSS_CHECKED；发布 anonymized trace、RU sidecar、脚本、profile、版本清单。</w:t>
            </w:r>
          </w:p>
        </w:tc>
        <w:tc>
          <w:tcPr>
            <w:tcW w:type="dxa" w:w="3005"/>
          </w:tcPr>
          <w:p>
            <w:r>
              <w:rPr>
                <w:b w:val="0"/>
                <w:sz w:val="16"/>
              </w:rPr>
              <w:t>两家独立测量在方向、数量级、burst、Q-loss 曲线上一致并给出不确定性。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Agentic 接入网模型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建模 context 增长、tool loop、A2A fan-out、重试、缓存命中；记录 app/gateway/wire。</w:t>
            </w:r>
          </w:p>
        </w:tc>
        <w:tc>
          <w:tcPr>
            <w:tcW w:type="dxa" w:w="3005"/>
          </w:tcPr>
          <w:p>
            <w:r>
              <w:rPr>
                <w:b w:val="0"/>
                <w:sz w:val="16"/>
              </w:rPr>
              <w:t>预测 UL grant latency、RTT、PER 对 completion time p95/p99 的贡献。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多模态 intent 与隐私最小化</w:t>
            </w:r>
          </w:p>
        </w:tc>
        <w:tc>
          <w:tcPr>
            <w:tcW w:type="dxa" w:w="4025"/>
          </w:tcPr>
          <w:p>
            <w:r>
              <w:rPr>
                <w:b w:val="0"/>
                <w:sz w:val="16"/>
              </w:rPr>
              <w:t>比较原始媒体、VQ token、embedding/feature 的带宽、能耗、QoE、漂移鲁棒性、成员推断风险。</w:t>
            </w:r>
          </w:p>
        </w:tc>
        <w:tc>
          <w:tcPr>
            <w:tcW w:type="dxa" w:w="3005"/>
          </w:tcPr>
          <w:p>
            <w:r>
              <w:rPr>
                <w:b w:val="0"/>
                <w:sz w:val="16"/>
              </w:rPr>
              <w:t>目标 QoE 下量化节省，并给出版本不匹配和权限控制。</w:t>
            </w:r>
          </w:p>
        </w:tc>
      </w:tr>
    </w:tbl>
    <w:p/>
    <w:p>
      <w:pPr>
        <w:pStyle w:val="Heading1"/>
      </w:pPr>
      <w:r>
        <w:t>7. 工作顺序与风险控制</w:t>
      </w:r>
    </w:p>
    <w:p>
      <w:pPr>
        <w:pStyle w:val="ListNumber"/>
      </w:pPr>
      <w:r>
        <w:t>先冻结测量语义：统一 RU、逻辑 token、token representation、packet、event 及最小 provenance。</w:t>
      </w:r>
    </w:p>
    <w:p>
      <w:pPr>
        <w:pStyle w:val="ListNumber"/>
      </w:pPr>
      <w:r>
        <w:t>再验证场景和 QoE 曲线：优先实时视频、实时音频、agent/A2A、神经 codec 渐进图像四类。</w:t>
      </w:r>
    </w:p>
    <w:p>
      <w:pPr>
        <w:pStyle w:val="ListNumber"/>
      </w:pPr>
      <w:r>
        <w:t>最后讨论协议收敛：依据试验选择 RTP/SDP、QUIC/HTTP 或混合承载，仅在互操作需求和收益明确后讨论扩展。</w:t>
      </w:r>
    </w:p>
    <w:p>
      <w:pPr>
        <w:pStyle w:val="ListBullet"/>
      </w:pPr>
      <w:r>
        <w:t>模型、tokenizer、服务端策略漂移：结果附带版本、时间、区域、配置 hash，并使用区间/趋势。</w:t>
      </w:r>
    </w:p>
    <w:p>
      <w:pPr>
        <w:pStyle w:val="ListBullet"/>
      </w:pPr>
      <w:r>
        <w:t>embedding/latent 不天然匿名：研究加入重建、成员推断、属性推断和越权复用测试。</w:t>
      </w:r>
    </w:p>
    <w:p>
      <w:pPr>
        <w:pStyle w:val="ListBullet"/>
      </w:pPr>
      <w:r>
        <w:t>跨层归因失真：模型 prefill/decoding、gateway 排队、工具调用与网络时延必须拆分。</w:t>
      </w:r>
    </w:p>
    <w:p>
      <w:pPr>
        <w:pStyle w:val="Heading1"/>
      </w:pPr>
      <w:r>
        <w:t>附录：TDoc 索引、来源与限制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fill="D9EAF7"/>
          </w:tcPr>
          <w:p>
            <w:r>
              <w:rPr>
                <w:b/>
                <w:sz w:val="16"/>
              </w:rPr>
              <w:t>议程</w:t>
            </w:r>
          </w:p>
        </w:tc>
        <w:tc>
          <w:tcPr>
            <w:tcW w:type="dxa" w:w="6803"/>
            <w:shd w:fill="D9EAF7"/>
          </w:tcPr>
          <w:p>
            <w:r>
              <w:rPr>
                <w:b/>
                <w:sz w:val="16"/>
              </w:rPr>
              <w:t>TDoc（主题）</w:t>
            </w:r>
          </w:p>
        </w:tc>
        <w:tc>
          <w:tcPr>
            <w:tcW w:type="dxa" w:w="2268"/>
            <w:shd w:fill="D9EAF7"/>
          </w:tcPr>
          <w:p>
            <w:r>
              <w:rPr>
                <w:b/>
                <w:sz w:val="16"/>
              </w:rPr>
              <w:t>最终状态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6"/>
              </w:rPr>
              <w:t>11.3.1</w:t>
            </w:r>
          </w:p>
        </w:tc>
        <w:tc>
          <w:tcPr>
            <w:tcW w:type="dxa" w:w="6803"/>
          </w:tcPr>
          <w:p>
            <w:r>
              <w:rPr>
                <w:b w:val="0"/>
                <w:sz w:val="16"/>
              </w:rPr>
              <w:t>261440 测试床；261444/721 embedding；261446/814 Agentic；261447 合成；261448 交叉核验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agreed；revised/noted；agreed；noted；noted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6"/>
              </w:rPr>
              <w:t>11.3.1</w:t>
            </w:r>
          </w:p>
        </w:tc>
        <w:tc>
          <w:tcPr>
            <w:tcW w:type="dxa" w:w="6803"/>
          </w:tcPr>
          <w:p>
            <w:r>
              <w:rPr>
                <w:b w:val="0"/>
                <w:sz w:val="16"/>
              </w:rPr>
              <w:t>261449/813 多模态；261452/825 QoE；261453/826 术语；261454/816 归因；261455/818 loss；261456/819 Clause C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agreed；agreed；agreed；noted；agreed；agreed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6"/>
              </w:rPr>
              <w:t>11.3.1</w:t>
            </w:r>
          </w:p>
        </w:tc>
        <w:tc>
          <w:tcPr>
            <w:tcW w:type="dxa" w:w="6803"/>
          </w:tcPr>
          <w:p>
            <w:r>
              <w:rPr>
                <w:b w:val="0"/>
                <w:sz w:val="16"/>
              </w:rPr>
              <w:t>261459 下一步；261462/817 链接；261471/824 token；261503 重要性；261504/780 视频/音频；261505 韧性；261519/820 Gateway；261534/827 高频；261590/834 稳定化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noted；agreed；noted；noted；agreed；noted；agreed；agreed；agreed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6"/>
              </w:rPr>
              <w:t>11.3.2</w:t>
            </w:r>
          </w:p>
        </w:tc>
        <w:tc>
          <w:tcPr>
            <w:tcW w:type="dxa" w:w="6803"/>
          </w:tcPr>
          <w:p>
            <w:r>
              <w:rPr>
                <w:b w:val="0"/>
                <w:sz w:val="16"/>
              </w:rPr>
              <w:t>261450/805 表示传输；261484 intent；261527 渐进图像；261528 中间数据；261648 多模态 intent</w:t>
            </w:r>
          </w:p>
        </w:tc>
        <w:tc>
          <w:tcPr>
            <w:tcW w:type="dxa" w:w="2268"/>
          </w:tcPr>
          <w:p>
            <w:r>
              <w:rPr>
                <w:b w:val="0"/>
                <w:sz w:val="16"/>
              </w:rPr>
              <w:t>agreed；noted；noted；noted；noted</w:t>
            </w:r>
          </w:p>
        </w:tc>
      </w:tr>
    </w:tbl>
    <w:p/>
    <w:p>
      <w:r>
        <w:t>主来源：3GPP SA4#137-e Documents 目录及 TDoc List Meeting SA4#137-e.xlsx：</w:t>
      </w:r>
    </w:p>
    <w:p>
      <w:r>
        <w:t>https://www.3gpp.org/ftp/tsg_sa/WG4_CODEC/TSGS4_137-e/Docs/TDoc_List_Meeting_SA4%23137-e.xlsx</w:t>
      </w:r>
    </w:p>
    <w:p>
      <w:r>
        <w:t>原始 TDoc 地址遵循：https://www.3gpp.org/ftp/tsg_sa/WG4_CODEC/TSGS4_137-e/Docs/S4-&lt;编号&gt;.zip。本文为技术研判材料，不替代 SA4 已同意文本；noted 主张均为待验证研究输入。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