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SA4#137-e AI Traffic 方向提案 Review（重做版）</w:t>
      </w:r>
    </w:p>
    <w:p>
      <w:pPr>
        <w:jc w:val="center"/>
      </w:pPr>
      <w:r>
        <w:rPr>
          <w:sz w:val="20"/>
        </w:rPr>
        <w:t>范围：Agenda 11.3.1 AI Traffic Characteristics 与 11.3.2 AI-native representations；资料来源：SA4#137-e TDoc list 及已公开 TDoc 内容。</w:t>
      </w:r>
    </w:p>
    <w:p>
      <w:pPr>
        <w:pStyle w:val="Heading1"/>
        <w:spacing w:before="160" w:after="80"/>
      </w:pPr>
      <w:r>
        <w:t>1. 结论摘要</w:t>
      </w:r>
    </w:p>
    <w:p>
      <w:pPr>
        <w:spacing w:after="80" w:line="259" w:lineRule="auto"/>
      </w:pPr>
      <w:r>
        <w:rPr>
          <w:sz w:val="21"/>
        </w:rPr>
        <w:t>本次 11.3.1/11.3.2 的核心变化，是 SA4 对 AI traffic 的讨论从“记录字节、包、时延”推进到“AI 表征单元如何产生、如何传输、丢失后如何影响任务质量、以及如何形成可复现实验数据”。因此，后续研究不应只沿用传统媒体流量模型，而应围绕 representation unit、任务 QoE、重要性分层、跨层可观测性和可复现实验方法建立统一框架。</w:t>
      </w:r>
    </w:p>
    <w:p>
      <w:pPr>
        <w:pStyle w:val="ListBullet"/>
        <w:spacing w:after="40"/>
      </w:pPr>
      <w:r>
        <w:rPr>
          <w:sz w:val="20"/>
        </w:rPr>
        <w:t>11.3.1 以 traffic characterization 为主，贡献集中在测试床治理、合成流量生成、实时视频/音频模型、agentic AI、token error resilience、任务 QoE、AI Gateway 等方向。</w:t>
      </w:r>
    </w:p>
    <w:p>
      <w:pPr>
        <w:pStyle w:val="ListBullet"/>
        <w:spacing w:after="40"/>
      </w:pPr>
      <w:r>
        <w:rPr>
          <w:sz w:val="20"/>
        </w:rPr>
        <w:t>11.3.2 以 AI-native representation 为主，重点是 token、embedding、latent、feature tensor 等中间表征的传输、信令、同步、能力协商和与源媒体的关联。</w:t>
      </w:r>
    </w:p>
    <w:p>
      <w:pPr>
        <w:pStyle w:val="ListBullet"/>
        <w:spacing w:after="40"/>
      </w:pPr>
      <w:r>
        <w:rPr>
          <w:sz w:val="20"/>
        </w:rPr>
        <w:t>会议状态上，11.3.1 中大量 pCR 已 agreed，但仍有若干 noted 的讨论项值得继续跟进；11.3.2 只有 Nokia 的 transport/signalling pCR agreed，其余 intent 和 progressive reconstruction 相关贡献多为 noted，说明方向重要但技术共识尚未充分收敛。</w:t>
      </w:r>
    </w:p>
    <w:p>
      <w:pPr>
        <w:pStyle w:val="Heading1"/>
        <w:spacing w:before="160" w:after="80"/>
      </w:pPr>
      <w:r>
        <w:t>2. 会议清单与公司分布</w:t>
      </w:r>
    </w:p>
    <w:p>
      <w:pPr>
        <w:spacing w:after="80" w:line="259" w:lineRule="auto"/>
      </w:pPr>
      <w:r>
        <w:rPr>
          <w:sz w:val="21"/>
        </w:rPr>
        <w:t>Agenda 11.3.1: 共 35 个 TDoc；状态分布：agreed 12，revised 15，noted 8；类型分布：discussion 7，pCR 28。</w:t>
      </w:r>
    </w:p>
    <w:p>
      <w:pPr>
        <w:spacing w:after="80" w:line="259" w:lineRule="auto"/>
      </w:pPr>
      <w:r>
        <w:rPr>
          <w:sz w:val="21"/>
        </w:rPr>
        <w:t>Agenda 11.3.2: 共 6 个 TDoc；状态分布：revised 1，noted 4，agreed 1；类型分布：pCR 4，discussion 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888"/>
            <w:vAlign w:val="center"/>
            <w:shd w:fill="D9EAF7"/>
          </w:tcPr>
          <w:p>
            <w:r/>
            <w:r>
              <w:rPr>
                <w:b/>
                <w:sz w:val="17"/>
              </w:rPr>
              <w:t>公司/来源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7"/>
              </w:rPr>
              <w:t>TDoc 数量</w:t>
            </w:r>
          </w:p>
        </w:tc>
        <w:tc>
          <w:tcPr>
            <w:tcW w:type="dxa" w:w="2016"/>
            <w:vAlign w:val="center"/>
            <w:shd w:fill="D9EAF7"/>
          </w:tcPr>
          <w:p>
            <w:r/>
            <w:r>
              <w:rPr>
                <w:b/>
                <w:sz w:val="17"/>
              </w:rPr>
              <w:t>涉及 agenda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Huawei Technologies France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HUAWEI TECH. GmbH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vivo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InterDigital France R&amp;D, SAS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Nokia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Huawei, Nokia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Huawei Device Co., Ltd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Huawei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DOCOMO Beijing Labs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InterDigital Canada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China Mobile (Hangzhou) Inf.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MediaTek Inc.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NTT DOCOMO INC..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Qualcomm Germany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b w:val="0"/>
                <w:sz w:val="17"/>
              </w:rPr>
              <w:t>vivo Mobile Communication Co.,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7"/>
              </w:rPr>
              <w:t>11.3.1</w:t>
            </w:r>
          </w:p>
        </w:tc>
      </w:tr>
    </w:tbl>
    <w:p/>
    <w:p>
      <w:pPr>
        <w:pStyle w:val="Heading1"/>
        <w:spacing w:before="160" w:after="80"/>
      </w:pPr>
      <w:r>
        <w:t>3. 完整 TDoc 索引（含公司信息）</w:t>
      </w:r>
    </w:p>
    <w:p>
      <w:pPr>
        <w:pStyle w:val="Heading2"/>
        <w:spacing w:before="160" w:after="80"/>
      </w:pPr>
      <w:r>
        <w:t>3.1 Agenda 11.3.1: AI Traffic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080"/>
            <w:vAlign w:val="center"/>
            <w:shd w:fill="D9EAF7"/>
          </w:tcPr>
          <w:p>
            <w:r/>
            <w:r>
              <w:rPr>
                <w:b/>
                <w:sz w:val="17"/>
              </w:rPr>
              <w:t>TDoc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b/>
                <w:sz w:val="17"/>
              </w:rPr>
              <w:t>公司/来源</w:t>
            </w:r>
          </w:p>
        </w:tc>
        <w:tc>
          <w:tcPr>
            <w:tcW w:type="dxa" w:w="792"/>
            <w:vAlign w:val="center"/>
            <w:shd w:fill="D9EAF7"/>
          </w:tcPr>
          <w:p>
            <w:r/>
            <w:r>
              <w:rPr>
                <w:b/>
                <w:sz w:val="17"/>
              </w:rPr>
              <w:t>类型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b/>
                <w:sz w:val="17"/>
              </w:rPr>
              <w:t>状态</w:t>
            </w:r>
          </w:p>
        </w:tc>
        <w:tc>
          <w:tcPr>
            <w:tcW w:type="dxa" w:w="4680"/>
            <w:vAlign w:val="center"/>
            <w:shd w:fill="D9EAF7"/>
          </w:tcPr>
          <w:p>
            <w:r/>
            <w:r>
              <w:rPr>
                <w:b/>
                <w:sz w:val="17"/>
              </w:rPr>
              <w:t>标题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7"/>
              </w:rPr>
              <w:t>修订关系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S4-261440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Refactoring testbed codebase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S4-261444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Video understanding with embedding streaming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S4-261721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S4-261446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Agentic AI test scenarios and results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S4-261447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AI Traffic Modeling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S4-261448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Cross-checking results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S4-261449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InterDigital France R&amp;D, SAS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pCR on multimodal analysis procedure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S4-261813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S4-261452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Huawei, Nokia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Task based QoE metric for video/multi-modal understanding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S4-261825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S4-261453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Device Co., Ltd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Definitions for AI/ML Service Architecture Terminology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S4-261826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Technologies France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AI results attribution and linking AI traffic results to body of the TR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S4-261816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S4-261455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Technologies France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Additional evaluation of real-time video understanding under packet loss sweep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S4-261818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S4-261456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on resolving the editors notes in Clause C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S4-261819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S4-261459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TECH. GmbH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Suggested next steps on making the AI traffic results usable at SA4 137-e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S4-261462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TECH. GmbH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fix for correctly reporting work on AI traffic characteristics in the TR body and referencing annexes on AI traffic characteristics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S4-261817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S4-261471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DOCOMO Beijing Labs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Further study on tokenized traffic metrics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S4-261824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S4-261503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vivo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Add importance differentiation into AI Traffic Characteristics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S4-261504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vivo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Traffic model and traffic characteristics for real-time video understanding and audio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S4-261780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S4-261505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vivo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Error resilience test and initial conclusions updates for the tokenized traffic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S4-261519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China Mobile (Hangzhou) Inf.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Pseudo-CR on AI Gateway Test Scenario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S4-261820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S4-261534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NTT DOCOMO INC..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Further study on high communication frequency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S4-261827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S4-261590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Germany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Stabilization and Harmonization of AI Traffic Characterization Data in TR 26.870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S4-261834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S4-261721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Video understanding with embedding streaming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S4-261815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S4-261780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vivo Mobile Communication Co.,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Traffic model and traffic characteristics for real-time video understanding and audio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S4-261504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S4-261813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InterDigital France R&amp;D, SAS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pCR on multimodal analysis procedure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S4-261449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Agentic AI test scenarios and results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S4-261446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S4-261815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JAPAN LLC.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Video understanding with embedding streaming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S4-261721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S4-261816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Technologies France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AI results attribution and linking AI traffic results to body of the TR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S4-261454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S4-261817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TECH. GmbH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fix for correctly reporting work on AI traffic characteristics in the TR body and referencing annexes on AI traffic characteristics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S4-261462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S4-261818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Technologies France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Additional evaluation of real-time video understanding under packet loss sweep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S4-261455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S4-261819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on resolving the editors notes in Clause C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S4-261456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S4-261820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China Mobile (Hangzhou) Inf.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Pseudo-CR on AI Gateway Test Scenario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S4-261519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S4-261824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DOCOMO Beijing Labs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Further study on tokenized traffic metrics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S4-261471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S4-261825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Huawei, Nokia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Task based QoE metric for video/multi-modal understanding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S4-261452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S4-261826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Huawei Device Co., Ltd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Definitions for AI/ML Service Architecture Terminology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S4-261453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S4-261827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NTT DOCOMO INC..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Further study on high communication frequency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S4-261534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S4-261834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Qualcomm Germany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Stabilization and Harmonization of AI Traffic Characterization Data in TR 26.870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S4-261590</w:t>
            </w:r>
          </w:p>
        </w:tc>
      </w:tr>
    </w:tbl>
    <w:p/>
    <w:p>
      <w:pPr>
        <w:pStyle w:val="Heading2"/>
        <w:spacing w:before="160" w:after="80"/>
      </w:pPr>
      <w:r>
        <w:t>3.2 Agenda 11.3.2: AI-native representations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080"/>
            <w:vAlign w:val="center"/>
            <w:shd w:fill="D9EAF7"/>
          </w:tcPr>
          <w:p>
            <w:r/>
            <w:r>
              <w:rPr>
                <w:b/>
                <w:sz w:val="17"/>
              </w:rPr>
              <w:t>TDoc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b/>
                <w:sz w:val="17"/>
              </w:rPr>
              <w:t>公司/来源</w:t>
            </w:r>
          </w:p>
        </w:tc>
        <w:tc>
          <w:tcPr>
            <w:tcW w:type="dxa" w:w="792"/>
            <w:vAlign w:val="center"/>
            <w:shd w:fill="D9EAF7"/>
          </w:tcPr>
          <w:p>
            <w:r/>
            <w:r>
              <w:rPr>
                <w:b/>
                <w:sz w:val="17"/>
              </w:rPr>
              <w:t>类型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b/>
                <w:sz w:val="17"/>
              </w:rPr>
              <w:t>状态</w:t>
            </w:r>
          </w:p>
        </w:tc>
        <w:tc>
          <w:tcPr>
            <w:tcW w:type="dxa" w:w="4680"/>
            <w:vAlign w:val="center"/>
            <w:shd w:fill="D9EAF7"/>
          </w:tcPr>
          <w:p>
            <w:r/>
            <w:r>
              <w:rPr>
                <w:b/>
                <w:sz w:val="17"/>
              </w:rPr>
              <w:t>标题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7"/>
              </w:rPr>
              <w:t>修订关系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S4-261450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Nokia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revised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Transport and signalling of AI-native representations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修订至 S4-261805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S4-261484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InterDigital Canada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Considerations on Media Intent Understanding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S4aP260065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S4-261527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MediaTek Inc.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discussion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Progressive Image Reconstruction - Discussion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S4-261528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MediaTek Inc.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WT#2 Intermediate data for LLM/MLLM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S4-261648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InterDigital Canada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noted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pCR on WT2: Multi-modal Intent Understanding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b w:val="0"/>
                <w:sz w:val="17"/>
              </w:rPr>
              <w:t>S4-261805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b w:val="0"/>
                <w:sz w:val="17"/>
              </w:rPr>
              <w:t>Nokia</w:t>
            </w:r>
          </w:p>
        </w:tc>
        <w:tc>
          <w:tcPr>
            <w:tcW w:type="dxa" w:w="792"/>
            <w:vAlign w:val="center"/>
          </w:tcPr>
          <w:p>
            <w:r/>
            <w:r>
              <w:rPr>
                <w:b w:val="0"/>
                <w:sz w:val="17"/>
              </w:rPr>
              <w:t>pCR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agreed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17"/>
              </w:rPr>
              <w:t>[FS_6G_MED] Transport and signalling of AI-native representations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7"/>
              </w:rPr>
              <w:t>修订自 S4-261450</w:t>
            </w:r>
          </w:p>
        </w:tc>
      </w:tr>
    </w:tbl>
    <w:p/>
    <w:p>
      <w:pPr>
        <w:pStyle w:val="Heading1"/>
        <w:spacing w:before="160" w:after="80"/>
      </w:pPr>
      <w:r>
        <w:t>4. Agenda 11.3.1 技术提案详评</w:t>
      </w:r>
    </w:p>
    <w:p>
      <w:pPr>
        <w:pStyle w:val="Heading2"/>
        <w:spacing w:before="160" w:after="80"/>
      </w:pPr>
      <w:r>
        <w:t>4.1 Qualcomm：合成 AI 媒体流量生成与测试床治理</w:t>
      </w:r>
    </w:p>
    <w:p>
      <w:pPr>
        <w:spacing w:after="80" w:line="259" w:lineRule="auto"/>
      </w:pPr>
      <w:r>
        <w:rPr>
          <w:sz w:val="21"/>
        </w:rPr>
        <w:t>相关 TDoc：S4-261440、S4-261444/S4-261721/S4-261815、S4-261446/S4-261814、S4-261447、S4-261448、S4-261590/S4-261834。公司信息在会议表中主要显示为 QUALCOMM JAPAN LLC.、Qualcomm Germany，公开稿件文本中部分署名为 Qualcomm Inc./Qualcomm Incorporated。</w:t>
      </w:r>
    </w:p>
    <w:p>
      <w:pPr>
        <w:spacing w:after="80" w:line="259" w:lineRule="auto"/>
      </w:pPr>
      <w:r>
        <w:rPr>
          <w:sz w:val="21"/>
        </w:rPr>
        <w:t>S4-261447 是本议程中技术含量最高的讨论稿之一。它把 AI media service 的流量抽象为 flow 序列，每个 packet 用三个离散通道描述：packet size、inter-arrival time（IAT）和 direction。size 与 IAT 各量化为 65 个 bin，IAT 使用对数间隔以覆盖 heavy-tail；direction 是 UL/DL 二值；flow length 作为第四个 flow-level 参数建模，长度上限为 100 个 packet。这个抽象的价值在于，它不依赖特定应用协议字段，可从 pcap 与测量日志构造，适合作为 SA4 与 RAN 之间讨论 AI/ML traffic model 的共同语言。</w:t>
      </w:r>
    </w:p>
    <w:p>
      <w:pPr>
        <w:spacing w:after="80" w:line="259" w:lineRule="auto"/>
      </w:pPr>
      <w:r>
        <w:rPr>
          <w:sz w:val="21"/>
        </w:rPr>
        <w:t>该提案比较了三类生成器。Order-0 Markov 只学习每个 traffic category 下 size、IAT、direction、flow length 的边缘分布，优点是可解释、计数即可训练，缺点是 packet 间无记忆，无法表达 burst 或 request/response 结构。Order-1 Markov 用 transition matrix 建模下一状态条件分布，可捕获相邻 packet 的短程相关，如大包之后继续出现大包，但三个通道仍相互独立，size-IAT-direction 的联合结构仍然弱。Conditional VAE 则用双向 recurrent encoder 将 packet sequence 压缩到 latent vector，再由 autoregressive decoder 按 traffic category 生成序列；decoder 每步输入上一 packet 的三通道状态和位置 embedding，并用 category-conditioned prior、free-bits floor、length head 处理模式坍缩与长度建模问题。</w:t>
      </w:r>
    </w:p>
    <w:p>
      <w:pPr>
        <w:spacing w:after="80" w:line="259" w:lineRule="auto"/>
      </w:pPr>
      <w:r>
        <w:rPr>
          <w:sz w:val="21"/>
        </w:rPr>
        <w:t>评估方法也值得写入后续研究框架。提案要求按照 capture group 而非 flow 进行 train/validation/test 切分，避免同一 capture 中的相关 flow 同时落入训练集和测试集造成数据泄漏；只用 clean profile 训练 generator，再在后续叠加网络 impairment；dequantization codec 只在训练集拟合，用 empirical inverse-CDF 从 bin 还原 bytes/seconds，避免 bin center 造成 KS statistic 下限。该数据集构造得到 56,297 个 attributed flows、927 个 independent capture groups，按 70/15/15 切分，并在 7 类有足够支撑的 traffic category 上评估。</w:t>
      </w:r>
    </w:p>
    <w:p>
      <w:pPr>
        <w:spacing w:after="80" w:line="259" w:lineRule="auto"/>
      </w:pPr>
      <w:r>
        <w:rPr>
          <w:sz w:val="21"/>
        </w:rPr>
        <w:t>结果显示，Markov 模型在 packet-level marginal 上更好：order-1 在 packet size 和 IAT 的 KS 分别为 0.131、0.136，CVAE 为 0.152、0.142；但 CVAE 在 per-flow joint statistics 上更好，例如 flow length 0.314、uplink fraction 0.231、total bytes 0.367，明显优于 Markov 的 total bytes 0.477/0.513。结论是：如果标准只需要单包分布，简单 Markov 足够；如果要用于容量仿真、burst 评估、UL/DL 比例和 total volume，必须引入联合序列模型。</w:t>
      </w:r>
    </w:p>
    <w:p>
      <w:pPr>
        <w:spacing w:after="80" w:line="259" w:lineRule="auto"/>
      </w:pPr>
      <w:r>
        <w:rPr>
          <w:sz w:val="21"/>
        </w:rPr>
        <w:t>S4-261834 则把上述实验治理问题推进到 TR 26.870 的稳定化：建议把数据状态区分为 CANDIDATE 与 STABLE，并以 6 个月为默认挑战期，要求记录 scenario、profile、run provenance、capture group、工具版本和排除原因。这里的标准化意义不是“某个模型得分更高”，而是把 AI traffic 数据从一次性展示变成可追溯、可复算、可挑战的数据产品。</w:t>
      </w:r>
    </w:p>
    <w:p>
      <w:pPr>
        <w:pStyle w:val="Heading2"/>
        <w:spacing w:before="160" w:after="80"/>
      </w:pPr>
      <w:r>
        <w:t>4.2 vivo：实时视频理解与实时音频流量模型</w:t>
      </w:r>
    </w:p>
    <w:p>
      <w:pPr>
        <w:spacing w:after="80" w:line="259" w:lineRule="auto"/>
      </w:pPr>
      <w:r>
        <w:rPr>
          <w:sz w:val="21"/>
        </w:rPr>
        <w:t>相关 TDoc：S4-261503、S4-261504/S4-261780、S4-261505。会议表中来源公司为 vivo、vivo Mobile Communication Co.。其中 S4-261780 已 agreed，是对 RAN1 AI/ML traffic model 讨论最直接有用的实测参数贡献。</w:t>
      </w:r>
    </w:p>
    <w:p>
      <w:pPr>
        <w:spacing w:after="80" w:line="259" w:lineRule="auto"/>
      </w:pPr>
      <w:r>
        <w:rPr>
          <w:sz w:val="21"/>
        </w:rPr>
        <w:t>实时视频理解场景的技术设置是：客户端通过 WebRTC 发送 tokenized video traffic，上行以 RTP/UDP 传输，AI 响应通过 RTC DataChannel 返回。该提案强调 UL 是可标准化建模的主体，因为 UL 由应用配置决定，呈 near-CBR；DL 响应与问题设计、视频时间线、答案长度强相关，难以抽象为通用模型。实测中每帧 1,024 tokens，每 token 2 B，因此 token payload 约 2,048 B；受 MTU 限制，每帧拆成两个 RTP/UDP segment，约 1,140 B 与 1,020 B，总 UDP payload 约 2,160 B，其中包含约 112 B RTP/VP8 header overhead。应用帧率 2 fps，对应固定 500 ms arrival interval，单 session 上行速率约 34.6 kbps，RTCP overhead 约 2.2%。</w:t>
      </w:r>
    </w:p>
    <w:p>
      <w:pPr>
        <w:spacing w:after="80" w:line="259" w:lineRule="auto"/>
      </w:pPr>
      <w:r>
        <w:rPr>
          <w:sz w:val="21"/>
        </w:rPr>
        <w:t>这个模型的关键不是带宽高，而是“语义单位与 packetization 的对应关系清楚”：frame/token payload 被 RTP segment 化，网络丢包不再只是损坏像素块，而可能损坏一组 tokenized representation。对于 RAN1 提到的 Option-1a token model 与 Option-1b PHY packet model，该贡献提供了桥接样例：Token size/token arrival rate 可先在应用层定义，再映射到 RTP/UDP packet size、arrival、PDB、PSR。后续标准研究应保留 token/frame/RTP packet 三层映射，而不是只记录最终 packet size。</w:t>
      </w:r>
    </w:p>
    <w:p>
      <w:pPr>
        <w:spacing w:after="80" w:line="259" w:lineRule="auto"/>
      </w:pPr>
      <w:r>
        <w:rPr>
          <w:sz w:val="21"/>
        </w:rPr>
        <w:t>实时音频场景采用 WebSocket Secure 传输，基于 Qwen realtime API，10 个 session、每 session 3 turn。提案把 DL 的 response.audio.delta event 定义为 burst，每个 delta 是最小独立可解码音频单元，大小约 11 KB、约 240 ms PCM16 audio。实测 1,708 个 delta event，burst size 均值约 10.2 KB，范围约 163 B 到 14,165 B；burst duration 均值约 0.92 ms；inter-burst interval 均值约 50 ms，约 48% 落在 40-60 ms，约 93% 落在 0-100 ms。由此得到 peak burst rate 约 88.6 Mbps，average burst rate 约 1.6 Mbps，duty cycle 约 1.8%。</w:t>
      </w:r>
    </w:p>
    <w:p>
      <w:pPr>
        <w:spacing w:after="80" w:line="259" w:lineRule="auto"/>
      </w:pPr>
      <w:r>
        <w:rPr>
          <w:sz w:val="21"/>
        </w:rPr>
        <w:t>该结果对网络侧调度有直接启发：平均速率不高，但瞬时 burst 很尖锐；如果只用 average bitrate 做资源评估，会低估短时队列、grant timing 和 jitter 对实时对话体验的影响。它也说明“AI audio”不一定是传统 RTP 语音流，其传输事件可能由模型生成 cadence 决定，burst interval 比 codec frame interval 更能解释网络行为。</w:t>
      </w:r>
    </w:p>
    <w:p>
      <w:pPr>
        <w:pStyle w:val="Heading2"/>
        <w:spacing w:before="160" w:after="80"/>
      </w:pPr>
      <w:r>
        <w:t>4.3 Qualcomm：Agentic AI 场景、A2A 与上行流量反转</w:t>
      </w:r>
    </w:p>
    <w:p>
      <w:pPr>
        <w:spacing w:after="80" w:line="259" w:lineRule="auto"/>
      </w:pPr>
      <w:r>
        <w:rPr>
          <w:sz w:val="21"/>
        </w:rPr>
        <w:t>相关 TDoc：S4-261446/S4-261814。会议表中来源为 QUALCOMM JAPAN LLC.，公开稿件文本中 CR source 为 Qualcomm Incorporated。S4-261814 已 agreed。</w:t>
      </w:r>
    </w:p>
    <w:p>
      <w:pPr>
        <w:spacing w:after="80" w:line="259" w:lineRule="auto"/>
      </w:pPr>
      <w:r>
        <w:rPr>
          <w:sz w:val="21"/>
        </w:rPr>
        <w:t>该提案把 agentic AI 拆成两类场景：personal assistant agent 与 agent-to-agent collaboration。Personal assistant agent 使用本地 self-hosted runtime，通过 local gateway 接收任务，同时向 LLM provider 和外部工具产生 runtime egress；A2A 场景则使用 deterministic agents，通过 HTTP-based agent interworking protocol 做 capability discovery、task delegation、streaming result delivery 和 multi-agent aggregation。这个设计有一个重要优点：A2A agent 不含 LLM，因此测得的时延主要反映协议与网络，而不是模型推理随机性。</w:t>
      </w:r>
    </w:p>
    <w:p>
      <w:pPr>
        <w:spacing w:after="80" w:line="259" w:lineRule="auto"/>
      </w:pPr>
      <w:r>
        <w:rPr>
          <w:sz w:val="21"/>
        </w:rPr>
        <w:t>结果显示 personal assistant 的任务完成时间主要被模型推理和工具调用支配：unshaped baseline 约 11.4 s，6g_itu_hrllc 约 9.7 s，常规 profile 差异小于推理方差；只有 satellite_geo 与 congested profile 明显拉长到约 24.4 s 与 26.6 s。A2A 则不同：single task 在 unshaped 下约 0.002 s，在 satellite_geo 下约 0.687 s，几乎等于 profile RTT；streaming 增加 inter-chunk spacing，multi-agent 增加约 0.28 s orchestration cost。</w:t>
      </w:r>
    </w:p>
    <w:p>
      <w:pPr>
        <w:spacing w:after="80" w:line="259" w:lineRule="auto"/>
      </w:pPr>
      <w:r>
        <w:rPr>
          <w:sz w:val="21"/>
        </w:rPr>
        <w:t>更重要的是流量方向性。应用层看，OpenClaw turn 似乎强 DL：约 144 B UL、20,230 B DL，UL/DL 约 0.007；但网络层 pcap 看到的 runtime egress 接近对称，UL/DL 约 0.50，每 turn 约 172 kB UL，因为每个 agent step 会重复上传 accumulated context、system prompt 和 tool definitions。A2A 小消息也有类似放大：应用层只有数百字节，但 wire 上约 1,931 B UL、4,084 B DL，TLS/TCP/ACK/JSON-RPC overhead 占比高。</w:t>
      </w:r>
    </w:p>
    <w:p>
      <w:pPr>
        <w:spacing w:after="80" w:line="259" w:lineRule="auto"/>
      </w:pPr>
      <w:r>
        <w:rPr>
          <w:sz w:val="21"/>
        </w:rPr>
        <w:t>这对 6G AI traffic 的判断非常关键：agentic workload 不能沿用“媒体业务天然下行重”的经验。上行 grant latency、短连接握手、连接复用、0-RTT resumption、persistent multiplexed transport、small-packet reliability，比单纯扩大下行容量更关键。报告建议把 agentic AI 单列为 signaling-like workload：低吞吐、中等时延预算、低 packet error rate、对小包重传与握手时延敏感。</w:t>
      </w:r>
    </w:p>
    <w:p>
      <w:pPr>
        <w:pStyle w:val="Heading2"/>
        <w:spacing w:before="160" w:after="80"/>
      </w:pPr>
      <w:r>
        <w:t>4.4 DOCOMO/vivo/Huawei：token error resilience、重要性与结果归因</w:t>
      </w:r>
    </w:p>
    <w:p>
      <w:pPr>
        <w:spacing w:after="80" w:line="259" w:lineRule="auto"/>
      </w:pPr>
      <w:r>
        <w:rPr>
          <w:sz w:val="21"/>
        </w:rPr>
        <w:t>相关 TDoc：S4-261471/S4-261824（DOCOMO Beijing Labs/NTT DOCOMO）、S4-261503/S4-261505（vivo）、S4-261454/S4-261816、S4-261455/S4-261818、S4-261456/S4-261819、S4-261462/S4-261817（Huawei/HUAWEI TECH. GmbH/Huawei Technologies France）。</w:t>
      </w:r>
    </w:p>
    <w:p>
      <w:pPr>
        <w:spacing w:after="80" w:line="259" w:lineRule="auto"/>
      </w:pPr>
      <w:r>
        <w:rPr>
          <w:sz w:val="21"/>
        </w:rPr>
        <w:t>S4-261824 指出，当前 Annex D.4 已有 token amount、TTFT、TTLT 等指标，但缺少 token loss/corruption/excessive delay 对 semantic correctness、output quality、task-level performance 的影响刻画。它提出 token importance 不是固定 token ID 的属性，而随任务、模型、上下文和序列功能角色动态变化。因此，不能简单定义“第 N 个 token 更重要”，而应报告高重要性 token 的比例、连续 token loss 的可承受长度、以及在 TCP 场景中因 retransmission 导致 token 超过 processing/rendering deadline 的影响。</w:t>
      </w:r>
    </w:p>
    <w:p>
      <w:pPr>
        <w:spacing w:after="80" w:line="259" w:lineRule="auto"/>
      </w:pPr>
      <w:r>
        <w:rPr>
          <w:sz w:val="21"/>
        </w:rPr>
        <w:t>vivo 的 importance differentiation 与 error resilience 方向与 DOCOMO 互补：如果 tokenized video understanding 在一定 packet loss 下仍能保持较高理解准确率，说明 representation 本身具备一定冗余或任务容忍度；但高重要性 token 的丢失可能造成非线性质量下降。Huawei 的 packet loss sweep 与结果归因提案则强调，需要把 AI traffic results 正确链接到 TR body/annex，并明确 packet loss 对评估结果的归因路径：是网络造成的丢失、传输协议的恢复、模型鲁棒性，还是任务本身容错。</w:t>
      </w:r>
    </w:p>
    <w:p>
      <w:pPr>
        <w:spacing w:after="80" w:line="259" w:lineRule="auto"/>
      </w:pPr>
      <w:r>
        <w:rPr>
          <w:sz w:val="21"/>
        </w:rPr>
        <w:t>这里建议后续研究使用“任务质量曲线”替代单点准确率：Q_task = f(loss rate, loss burst length, delay, deadline miss, representation layer)。对于每个场景报告 P(success &gt;= target)、质量下降斜率、恢复机制、关键 representation unit 的 ablation 结果。这样 RAN/SA4 才能讨论 packet success rate、PDB、HARQ/RLC/应用重传和 FEC 的分工。</w:t>
      </w:r>
    </w:p>
    <w:p>
      <w:pPr>
        <w:pStyle w:val="Heading2"/>
        <w:spacing w:before="160" w:after="80"/>
      </w:pPr>
      <w:r>
        <w:t>4.5 InterDigital/Huawei/Nokia/China Mobile：流程、QoE、术语与 AI Gateway</w:t>
      </w:r>
    </w:p>
    <w:p>
      <w:pPr>
        <w:spacing w:after="80" w:line="259" w:lineRule="auto"/>
      </w:pPr>
      <w:r>
        <w:rPr>
          <w:sz w:val="21"/>
        </w:rPr>
        <w:t>相关 TDoc：S4-261449/S4-261813（InterDigital France R&amp;D, SAS）、S4-261452/S4-261825（Huawei, Nokia）、S4-261453/S4-261826（Huawei Device Co., Ltd）、S4-261519/S4-261820（China Mobile (Hangzhou) Inf.）。这些提案不是都包含大规模实验，但对 TR 结构化收敛很重要。</w:t>
      </w:r>
    </w:p>
    <w:p>
      <w:pPr>
        <w:spacing w:after="80" w:line="259" w:lineRule="auto"/>
      </w:pPr>
      <w:r>
        <w:rPr>
          <w:sz w:val="21"/>
        </w:rPr>
        <w:t>InterDigital 的 multimodal analysis procedure 将多模态输入、AI transform、model inference、结果输出纳入统一流程，价值在于为不同 traffic capture 指标提供可定位阶段。Huawei/Nokia 的 task based QoE metric 指向更根本的问题：AI media 业务的 QoE 往往不是“视频是否清晰”，而是任务是否完成、回答是否正确、检测/理解是否达到阈值、响应是否满足 deadline。Huawei Device 的术语提案则有助于区分 AI/ML service、AI-native representation、token、embedding、latent 等概念，避免同一词在应用层、模型层和网络层被混用。China Mobile 的 AI Gateway 场景则把边缘/网络侧 AI function 引入 traffic characterization，后续需明确 gateway 是透明转发、表示转换、模型执行，还是 QoS/缓存/安全策略执行点。</w:t>
      </w:r>
    </w:p>
    <w:p>
      <w:pPr>
        <w:pStyle w:val="Heading1"/>
        <w:spacing w:before="160" w:after="80"/>
      </w:pPr>
      <w:r>
        <w:t>5. Agenda 11.3.2 技术提案详评</w:t>
      </w:r>
    </w:p>
    <w:p>
      <w:pPr>
        <w:pStyle w:val="Heading2"/>
        <w:spacing w:before="160" w:after="80"/>
      </w:pPr>
      <w:r>
        <w:t>5.1 Nokia：AI-native representation 的传输与信令</w:t>
      </w:r>
    </w:p>
    <w:p>
      <w:pPr>
        <w:spacing w:after="80" w:line="259" w:lineRule="auto"/>
      </w:pPr>
      <w:r>
        <w:rPr>
          <w:sz w:val="21"/>
        </w:rPr>
        <w:t>相关 TDoc：S4-261450/S4-261805，来源 Nokia，S4-261805 已 agreed。该提案是 11.3.2 中唯一 agreed 的核心技术文本。</w:t>
      </w:r>
    </w:p>
    <w:p>
      <w:pPr>
        <w:spacing w:after="80" w:line="259" w:lineRule="auto"/>
      </w:pPr>
      <w:r>
        <w:rPr>
          <w:sz w:val="21"/>
        </w:rPr>
        <w:t>Nokia 将“tokenized traffic metrics”和“显式承载 AI-native representations”区分开来。前者可以通过日志、协议 trace、packet capture 观察 token rate、TTFT、TTLT、burstiness；后者则是把 discrete token、continuous embedding、latent representation、feature tensor 等作为网络中实际传输并由 AI/ML model 或 AI media function 消费的数据对象。这个区分非常重要：一旦 representation 被显式传输，就必须处理 packetization、fragmentation、aggregation、timing、stream association、capability negotiation、metadata signalling、source media correlation 和 receiver interpretation。</w:t>
      </w:r>
    </w:p>
    <w:p>
      <w:pPr>
        <w:spacing w:after="80" w:line="259" w:lineRule="auto"/>
      </w:pPr>
      <w:r>
        <w:rPr>
          <w:sz w:val="21"/>
        </w:rPr>
        <w:t>提案提出 RTP/SDP 是值得研究的候选机制，因为 3GPP/WebRTC 实时媒体已有 RTP timestamp、SSRC、payload type、RTCP feedback、SDP negotiation 等基础能力。如果 representation stream 来自 audio/video/sensor，或需要与传统媒体同步，RTP 可以提供时间戳、流标识和媒体关联的起点。但当前没有可互通的 RTP payload format 或 SDP signalling model 来描述 AI-native representation，例如 representation type、encoder/model identity、shape、codebook、quantization、embedding dimension、dependency、deadline、source media mapping 等。</w:t>
      </w:r>
    </w:p>
    <w:p>
      <w:pPr>
        <w:spacing w:after="80" w:line="259" w:lineRule="auto"/>
      </w:pPr>
      <w:r>
        <w:rPr>
          <w:sz w:val="21"/>
        </w:rPr>
        <w:t>报告建议将 AI-native representation 最小化抽象为 Representation Unit（RU）：RU metadata 至少包含 representation type（token/embedding/latent/feature tensor）、encoder/model/version、shape/codebook/compression、source media reference、timestamp/duration、dependency graph、importance class、deadline 与 privacy/security attribute。传输层再决定 RU 到 packet 的映射：一个 RU 是否可被拆分、多个 RU 是否可聚合、是否允许丢弃 enhancement RU、是否需要 FEC/retransmission、以及 receiver 在缺失 RU 时如何降级。</w:t>
      </w:r>
    </w:p>
    <w:p>
      <w:pPr>
        <w:pStyle w:val="Heading2"/>
        <w:spacing w:before="160" w:after="80"/>
      </w:pPr>
      <w:r>
        <w:t>5.2 MediaTek：DCVC-RT progressive image reconstruction 与 latent 依赖</w:t>
      </w:r>
    </w:p>
    <w:p>
      <w:pPr>
        <w:spacing w:after="80" w:line="259" w:lineRule="auto"/>
      </w:pPr>
      <w:r>
        <w:rPr>
          <w:sz w:val="21"/>
        </w:rPr>
        <w:t>相关 TDoc：S4-261527、S4-261528，来源 MediaTek Inc.，状态均为 noted。虽然未 agreed，但技术信号强，建议作为后续研究优先跟踪对象。</w:t>
      </w:r>
    </w:p>
    <w:p>
      <w:pPr>
        <w:spacing w:after="80" w:line="259" w:lineRule="auto"/>
      </w:pPr>
      <w:r>
        <w:rPr>
          <w:sz w:val="21"/>
        </w:rPr>
        <w:t>S4-261528 在已有两类中间格式之外提出第三类：利用 neural video/image codec 产生的 continuous intermediate data，典型例子是 DCVC-RT。不同于纯 VQ token 或直接映射到 MLLM embedding space 的 continuous embeddings，DCVC-RT 输出 hyper-latent Zt 与 main-latent slices y0..y3，解码端先重建图像/视频，再送入 LLM/MLLM。这类中间数据既有机器消费属性，也保留了“可渐进重建”的媒体编码特征。</w:t>
      </w:r>
    </w:p>
    <w:p>
      <w:pPr>
        <w:spacing w:after="80" w:line="259" w:lineRule="auto"/>
      </w:pPr>
      <w:r>
        <w:rPr>
          <w:sz w:val="21"/>
        </w:rPr>
        <w:t>S4-261527 的实验给出了明确的依赖关系：Zt 是基础层，若 Zt 丢失，即使 y0-y3 共约 89.8% 数据仍在，也无法有效重建，PSNR 仅约 9.67 dB；有 Zt 时，逐步增加 y0、y1、y2、y3 可持续提升质量。示例中仅 Zt 约 3.1% 数据可得 21.45 dB，Zt+y0 约 32.1% 数据可达 25.82 dB，Zt+y0+y1 约 56.6% 数据可达 28.93 dB，Zt+y0+y1+y2 约 79.1% 数据可达 32.61 dB，全量约 39.83 dB。另一个实验中，简单 portrait 达到 30 dB 可能只需 Zt+y0，而复杂 building 需要 Zt 到 y2。</w:t>
      </w:r>
    </w:p>
    <w:p>
      <w:pPr>
        <w:spacing w:after="80" w:line="259" w:lineRule="auto"/>
      </w:pPr>
      <w:r>
        <w:rPr>
          <w:sz w:val="21"/>
        </w:rPr>
        <w:t>这个结果对网络传输有直接含义：RU importance 不是“payload 大小”决定的，Zt 数据量小但可靠性要求最高；main-latent slice 有顺序依赖，若 y1 丢失，后续 y2/y3 对质量提升可能失效。后续应研究 latent-aware UEP（unequal error protection）、base/enhancement layer deadline、层间依赖信令、partial delivery discard policy，以及针对任务质量而非 PSNR 的最小可用 slice 数。</w:t>
      </w:r>
    </w:p>
    <w:p>
      <w:pPr>
        <w:pStyle w:val="Heading2"/>
        <w:spacing w:before="160" w:after="80"/>
      </w:pPr>
      <w:r>
        <w:t>5.3 InterDigital：Media Intent 与 Multi-modal Intent Understanding</w:t>
      </w:r>
    </w:p>
    <w:p>
      <w:pPr>
        <w:spacing w:after="80" w:line="259" w:lineRule="auto"/>
      </w:pPr>
      <w:r>
        <w:rPr>
          <w:sz w:val="21"/>
        </w:rPr>
        <w:t>相关 TDoc：S4-261484、S4-261648，来源 InterDigital Canada，状态 noted。该方向更偏概念和服务语义，但与 AI traffic 的 representation-aware 传输存在交叉。</w:t>
      </w:r>
    </w:p>
    <w:p>
      <w:pPr>
        <w:spacing w:after="80" w:line="259" w:lineRule="auto"/>
      </w:pPr>
      <w:r>
        <w:rPr>
          <w:sz w:val="21"/>
        </w:rPr>
        <w:t>Intent 类提案关注用户或应用意图如何被媒体系统理解、表达和用于 AI processing。它们与 traffic characterization 的关系不在于直接给出 packet model，而在于定义“哪些内容需要传、传到什么精度、何时足够”。如果 intent 可被结构化表达，网络或应用可以选择只传任务相关 representation，而不传完整媒体，或对关键 modality/representation 采用更高可靠性。</w:t>
      </w:r>
    </w:p>
    <w:p>
      <w:pPr>
        <w:spacing w:after="80" w:line="259" w:lineRule="auto"/>
      </w:pPr>
      <w:r>
        <w:rPr>
          <w:sz w:val="21"/>
        </w:rPr>
        <w:t>风险在于 intent 容易停留在高层语义，缺少可互通 schema、时序关联、隐私边界和可测指标。建议后续把 intent 与 RU metadata 绑定：intent scope、source modality、validity time、confidence、privacy sensitivity、task target、quality threshold。这样 intent 才能落到 transport/signalling 和 QoE 评估，而不是只作为业务描述。</w:t>
      </w:r>
    </w:p>
    <w:p>
      <w:pPr>
        <w:pStyle w:val="Heading1"/>
        <w:spacing w:before="160" w:after="80"/>
      </w:pPr>
      <w:r>
        <w:t>6. 跨议程技术判断</w:t>
      </w:r>
    </w:p>
    <w:p>
      <w:pPr>
        <w:pStyle w:val="ListBullet"/>
        <w:spacing w:after="40"/>
      </w:pPr>
      <w:r>
        <w:rPr>
          <w:sz w:val="20"/>
        </w:rPr>
        <w:t>从 packet-centric 转为 representation-aware：AI traffic 的关键对象应从 IP packet 扩展到 token、embedding、latent、feature tensor 等 RU，并记录 RU 与 packet 的映射。</w:t>
      </w:r>
    </w:p>
    <w:p>
      <w:pPr>
        <w:pStyle w:val="ListBullet"/>
        <w:spacing w:after="40"/>
      </w:pPr>
      <w:r>
        <w:rPr>
          <w:sz w:val="20"/>
        </w:rPr>
        <w:t>从平均速率转为 burst/deadline/importance：实时音频和 agentic AI 都显示平均吞吐不足以解释网络需求，短时 burst、连接建立、小包可靠性和 deadline miss 更关键。</w:t>
      </w:r>
    </w:p>
    <w:p>
      <w:pPr>
        <w:pStyle w:val="ListBullet"/>
        <w:spacing w:after="40"/>
      </w:pPr>
      <w:r>
        <w:rPr>
          <w:sz w:val="20"/>
        </w:rPr>
        <w:t>从媒体质量转为任务 QoE：视频理解、multimodal analysis、intent、agentic task 都需要以任务成功率、语义正确性、响应 deadline、降级斜率为核心。</w:t>
      </w:r>
    </w:p>
    <w:p>
      <w:pPr>
        <w:pStyle w:val="ListBullet"/>
        <w:spacing w:after="40"/>
      </w:pPr>
      <w:r>
        <w:rPr>
          <w:sz w:val="20"/>
        </w:rPr>
        <w:t>从单公司结果转为可复现实验资产：capture group 切分、clean profile 训练、metadata、版本、挑战期和 cross-check 是防止“漂亮但不可复现”结果进入 TR 的基础。</w:t>
      </w:r>
    </w:p>
    <w:p>
      <w:pPr>
        <w:pStyle w:val="Heading1"/>
        <w:spacing w:before="160" w:after="80"/>
      </w:pPr>
      <w:r>
        <w:t>7. 面向新技术研究、挖掘、探索的建议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vAlign w:val="center"/>
            <w:shd w:fill="D9EAF7"/>
          </w:tcPr>
          <w:p>
            <w:r/>
            <w:r>
              <w:rPr>
                <w:b/>
                <w:sz w:val="17"/>
              </w:rPr>
              <w:t>优先级</w:t>
            </w:r>
          </w:p>
        </w:tc>
        <w:tc>
          <w:tcPr>
            <w:tcW w:type="dxa" w:w="2160"/>
            <w:vAlign w:val="center"/>
            <w:shd w:fill="D9EAF7"/>
          </w:tcPr>
          <w:p>
            <w:r/>
            <w:r>
              <w:rPr>
                <w:b/>
                <w:sz w:val="17"/>
              </w:rPr>
              <w:t>研究方向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7"/>
              </w:rPr>
              <w:t>建议动作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预期产出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Representation Unit 抽象与元数据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7"/>
              </w:rPr>
              <w:t>基于 Nokia S4-261805 和 MediaTek latent 例子，定义 RU metadata、dependency、importance、deadline、source media mapping。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TR key issue + 最小 metadata 表；为 RTP/SDP/QUIC/HTTP 承载比较提供统一对象。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任务 QoE 与 token/latent error resilience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7"/>
              </w:rPr>
              <w:t>基于 DOCOMO/vivo/Huawei 方向，设计 loss sweep、burst loss、deadline miss、importance ablation。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Q_task 曲线、P(success&gt;=target)、高重要性 RU 比例、连续丢失容忍度。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AI traffic 数据治理与合成流量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7"/>
              </w:rPr>
              <w:t>采用 Qualcomm 的 capture-group split、clean-profile fitting、empirical dequantization、CANDIDATE/STABLE 数据状态。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可复现实验包、synthetic generator baseline、跨公司 cross-check 机制。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Agentic AI 小包/上行/连接模型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7"/>
              </w:rPr>
              <w:t>继续扩展 personal assistant 与 A2A，多模型、多工具、多 hop、parallel dispatch、remote agent，分离控制面与 runtime egress。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agentic signaling traffic model、UL grant latency 建议、连接复用/0-RTT收益评估。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RTP/SDP 与 QUIC/HTTP 承载对比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7"/>
              </w:rPr>
              <w:t>针对 tokenized video、audio delta、latent slices 各实现至少两个承载方案，比较同步、反馈、重传、FEC、能力协商。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候选 payload/signalling gap list；决定是否需要新 RTP payload/SDP 参数。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Intent-driven representation selection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7"/>
              </w:rPr>
              <w:t>把 InterDigital intent 与 RU 绑定，研究任务意图如何驱动表征选择、精度、隐私最小化和可靠性等级。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intent schema 草案、隐私风险清单、任务驱动传输策略。</w:t>
            </w:r>
          </w:p>
        </w:tc>
      </w:tr>
    </w:tbl>
    <w:p/>
    <w:p>
      <w:pPr>
        <w:pStyle w:val="Heading1"/>
        <w:spacing w:before="160" w:after="80"/>
      </w:pPr>
      <w:r>
        <w:t>8. 建议的后续工作顺序</w:t>
      </w:r>
    </w:p>
    <w:p>
      <w:pPr>
        <w:spacing w:after="80" w:line="259" w:lineRule="auto"/>
      </w:pPr>
      <w:r>
        <w:rPr>
          <w:sz w:val="21"/>
        </w:rPr>
        <w:t>建议 SA4 后续先收敛术语和对象，再收敛协议：第一步冻结 RU/token/embedding/latent 的工作定义和元数据字段；第二步以四个场景作为 benchmark，即 tokenized real-time video、real-time audio delta streaming、agentic A2A/personal assistant、DCVC-RT latent progressive reconstruction；第三步在每个场景上跑 loss/delay/jitter/deadline sweep，输出任务 QoE 曲线；第四步再比较 RTP/SDP、WebRTC DataChannel、QUIC/HTTP/WebSocket 等承载。这样可以避免先争论协议扩展，而底层表征对象和质量指标尚不清楚。</w:t>
      </w:r>
    </w:p>
    <w:p>
      <w:pPr>
        <w:spacing w:after="80" w:line="259" w:lineRule="auto"/>
      </w:pPr>
      <w:r>
        <w:rPr>
          <w:sz w:val="21"/>
        </w:rPr>
        <w:t>研究风险也需要提前管理：embedding/latent 可能泄露源媒体或用户隐私，不能简单视作匿名特征；model/version drift 会导致 traffic model 快速失效；同一业务在应用层和网络层的 UL/DL 比例可能完全不同；packet loss 的影响可能被 TCP 重传隐藏成 latency 问题。因此，报告建议每项实验同时记录 application layer、transport/network layer、model/task layer 三组指标。</w:t>
      </w:r>
    </w:p>
    <w:p>
      <w:pPr>
        <w:pStyle w:val="Heading1"/>
        <w:spacing w:before="160" w:after="80"/>
      </w:pPr>
      <w:r>
        <w:t>附录：资料来源与限制</w:t>
      </w:r>
    </w:p>
    <w:p>
      <w:pPr>
        <w:spacing w:after="80" w:line="259" w:lineRule="auto"/>
      </w:pPr>
      <w:r>
        <w:rPr>
          <w:sz w:val="21"/>
        </w:rPr>
        <w:t>本报告以 3GPP SA4#137-e TDoc_List_Meeting_SA4#137-e.xlsx 中 agenda 11.3.1 与 11.3.2 的条目为索引，并结合本地已下载公开 TDoc 文本进行技术分析。部分修订前或旧版 Word 文档未能抽取完整正文，因此对未展开的 TDoc 主要依据会议表中的公司、标题、状态与修订关系归纳；对已抽取正文的技术提案进行了重点详评。</w:t>
      </w:r>
    </w:p>
    <w:p>
      <w:pPr>
        <w:spacing w:after="80" w:line="259" w:lineRule="auto"/>
      </w:pPr>
      <w:r>
        <w:rPr>
          <w:sz w:val="21"/>
        </w:rPr>
        <w:t>原始会议清单链接：https://www.3gpp.org/ftp/tsg_sa/WG4_CODEC/TSGS4_137-e/Docs/TDoc_List_Meeting_SA4%23137-e.xlsx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