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pbj-overview"/>
    <w:p>
      <w:pPr>
        <w:pStyle w:val="Heading1"/>
      </w:pPr>
      <w:r>
        <w:t xml:space="preserve">PBJ Overview</w:t>
      </w:r>
    </w:p>
    <w:p>
      <w:pPr>
        <w:pStyle w:val="FirstParagraph"/>
      </w:pPr>
      <w:r>
        <w:rPr>
          <w:b/>
          <w:bCs/>
        </w:rPr>
        <w:t xml:space="preserve">Payroll‑Based Journal (PBJ)</w:t>
      </w:r>
      <w:r>
        <w:t xml:space="preserve"> </w:t>
      </w:r>
      <w:r>
        <w:t xml:space="preserve">is a federally mandated staffing data reporting system for U.S. nursing homes. It requires Medicare‑ and Medicaid‑certified long‑term care facilities to submit</w:t>
      </w:r>
      <w:r>
        <w:t xml:space="preserve"> </w:t>
      </w:r>
      <w:r>
        <w:rPr>
          <w:b/>
          <w:bCs/>
        </w:rPr>
        <w:t xml:space="preserve">daily, employee‑level staffing data</w:t>
      </w:r>
      <w:r>
        <w:t xml:space="preserve"> </w:t>
      </w:r>
      <w:r>
        <w:t xml:space="preserve">each quarter using payroll and time‑keeping records</w:t>
      </w:r>
      <w:hyperlink r:id="rId21">
        <w:r>
          <w:rPr>
            <w:rStyle w:val="Hyperlink"/>
          </w:rPr>
          <w:t xml:space="preserve">[1]</w:t>
        </w:r>
      </w:hyperlink>
      <w:r>
        <w:t xml:space="preserve">. Facilities must report hours worked for each staff member (including agency and contract staff) by job category and date, and submissions are considered timely only if they are received within 45 days after the quarter ends</w:t>
      </w:r>
      <w:hyperlink r:id="rId22">
        <w:r>
          <w:rPr>
            <w:rStyle w:val="Hyperlink"/>
          </w:rPr>
          <w:t xml:space="preserve">[2]</w:t>
        </w:r>
      </w:hyperlink>
      <w:r>
        <w:t xml:space="preserve">. PBJ data are auditable and are used by the Centers for Medicare &amp; Medicaid Services (CMS) to inform public reporting, enforcement activities and research.</w:t>
      </w:r>
    </w:p>
    <w:p>
      <w:pPr>
        <w:pStyle w:val="BodyText"/>
      </w:pPr>
      <w:r>
        <w:t xml:space="preserve">PBJ replaced earlier staffing surveys that captured only a short window of staffing and were vulnerable to manipulation. The system became mandatory on</w:t>
      </w:r>
      <w:r>
        <w:t xml:space="preserve"> </w:t>
      </w:r>
      <w:r>
        <w:rPr>
          <w:b/>
          <w:bCs/>
        </w:rPr>
        <w:t xml:space="preserve">July 1 2016</w:t>
      </w:r>
      <w:r>
        <w:t xml:space="preserve">, and CMS began posting public use files in</w:t>
      </w:r>
      <w:r>
        <w:t xml:space="preserve"> </w:t>
      </w:r>
      <w:r>
        <w:rPr>
          <w:b/>
          <w:bCs/>
        </w:rPr>
        <w:t xml:space="preserve">2017</w:t>
      </w:r>
      <w:hyperlink r:id="rId22">
        <w:r>
          <w:rPr>
            <w:rStyle w:val="Hyperlink"/>
          </w:rPr>
          <w:t xml:space="preserve">[2]</w:t>
        </w:r>
      </w:hyperlink>
      <w:r>
        <w:t xml:space="preserve">. PBJ is the most detailed national dataset on nursing home staffing available, but it must be interpreted carefully because it captures only paid hours and excludes important information such as shift start times, wages and clinical outcomes.</w:t>
      </w:r>
    </w:p>
    <w:bookmarkStart w:id="24" w:name="why-pbj-exists"/>
    <w:p>
      <w:pPr>
        <w:pStyle w:val="Heading2"/>
      </w:pPr>
      <w:r>
        <w:t xml:space="preserve">Why PBJ Exists</w:t>
      </w:r>
    </w:p>
    <w:p>
      <w:pPr>
        <w:pStyle w:val="FirstParagraph"/>
      </w:pPr>
      <w:r>
        <w:t xml:space="preserve">Before PBJ, nursing home staffing information was collected through periodic surveys (e.g., CMS‑671 and CMS‑672 forms). These surveys captured staffing over a two‑week period and relied on self‑reported counts, leading to concerns that facilities overstated their staffing levels. Section 6106 of the Affordable Care Act directed CMS to develop an auditable, uniform system for collecting staffing information based on payroll records. PBJ addresses this requirement by requiring facilities to submit</w:t>
      </w:r>
      <w:r>
        <w:t xml:space="preserve"> </w:t>
      </w:r>
      <w:r>
        <w:rPr>
          <w:b/>
          <w:bCs/>
        </w:rPr>
        <w:t xml:space="preserve">verifiable daily staffing data</w:t>
      </w:r>
      <w:r>
        <w:t xml:space="preserve"> </w:t>
      </w:r>
      <w:r>
        <w:t xml:space="preserve">and by publishing public use files that can be analyzed by researchers, regulators and the public</w:t>
      </w:r>
      <w:hyperlink r:id="rId21">
        <w:r>
          <w:rPr>
            <w:rStyle w:val="Hyperlink"/>
          </w:rPr>
          <w:t xml:space="preserve">[1]</w:t>
        </w:r>
      </w:hyperlink>
      <w:hyperlink r:id="rId23">
        <w:r>
          <w:rPr>
            <w:rStyle w:val="Hyperlink"/>
          </w:rPr>
          <w:t xml:space="preserve">[3]</w:t>
        </w:r>
      </w:hyperlink>
      <w:r>
        <w:t xml:space="preserve">.</w:t>
      </w:r>
    </w:p>
    <w:bookmarkEnd w:id="24"/>
    <w:bookmarkStart w:id="28" w:name="what-pbj-measures"/>
    <w:p>
      <w:pPr>
        <w:pStyle w:val="Heading2"/>
      </w:pPr>
      <w:r>
        <w:t xml:space="preserve">What PBJ Measures</w:t>
      </w:r>
    </w:p>
    <w:p>
      <w:pPr>
        <w:pStyle w:val="FirstParagraph"/>
      </w:pPr>
      <w:r>
        <w:t xml:space="preserve">PBJ collects data on</w:t>
      </w:r>
      <w:r>
        <w:t xml:space="preserve"> </w:t>
      </w:r>
      <w:r>
        <w:rPr>
          <w:b/>
          <w:bCs/>
        </w:rPr>
        <w:t xml:space="preserve">who worked, what job they performed and how many hours they worked</w:t>
      </w:r>
      <w:r>
        <w:t xml:space="preserve"> </w:t>
      </w:r>
      <w:r>
        <w:t xml:space="preserve">on each calendar day. Key elements include:</w:t>
      </w:r>
    </w:p>
    <w:p>
      <w:pPr>
        <w:pStyle w:val="Compact"/>
        <w:numPr>
          <w:ilvl w:val="0"/>
          <w:numId w:val="1001"/>
        </w:numPr>
      </w:pPr>
      <w:r>
        <w:rPr>
          <w:b/>
          <w:bCs/>
        </w:rPr>
        <w:t xml:space="preserve">Facility identifier:</w:t>
      </w:r>
      <w:r>
        <w:t xml:space="preserve"> </w:t>
      </w:r>
      <w:r>
        <w:t xml:space="preserve">each nursing home’s CMS certification number.</w:t>
      </w:r>
    </w:p>
    <w:p>
      <w:pPr>
        <w:pStyle w:val="Compact"/>
        <w:numPr>
          <w:ilvl w:val="0"/>
          <w:numId w:val="1001"/>
        </w:numPr>
      </w:pPr>
      <w:r>
        <w:rPr>
          <w:b/>
          <w:bCs/>
        </w:rPr>
        <w:t xml:space="preserve">Worker identifier:</w:t>
      </w:r>
      <w:r>
        <w:t xml:space="preserve"> </w:t>
      </w:r>
      <w:r>
        <w:t xml:space="preserve">an anonymized employee ID.</w:t>
      </w:r>
    </w:p>
    <w:p>
      <w:pPr>
        <w:pStyle w:val="Compact"/>
        <w:numPr>
          <w:ilvl w:val="0"/>
          <w:numId w:val="1001"/>
        </w:numPr>
      </w:pPr>
      <w:r>
        <w:rPr>
          <w:b/>
          <w:bCs/>
        </w:rPr>
        <w:t xml:space="preserve">Job category:</w:t>
      </w:r>
      <w:r>
        <w:t xml:space="preserve"> </w:t>
      </w:r>
      <w:r>
        <w:t xml:space="preserve">standardized codes for nurses (e.g., director of nursing, RN, LPN, CNA) and non‑nursing roles (e.g., administrator, physician, therapist)</w:t>
      </w:r>
      <w:hyperlink r:id="rId25">
        <w:r>
          <w:rPr>
            <w:rStyle w:val="Hyperlink"/>
          </w:rPr>
          <w:t xml:space="preserve">[4]</w:t>
        </w:r>
      </w:hyperlink>
      <w:hyperlink r:id="rId26">
        <w:r>
          <w:rPr>
            <w:rStyle w:val="Hyperlink"/>
          </w:rPr>
          <w:t xml:space="preserve">[5]</w:t>
        </w:r>
      </w:hyperlink>
      <w:r>
        <w:t xml:space="preserve">.</w:t>
      </w:r>
    </w:p>
    <w:p>
      <w:pPr>
        <w:pStyle w:val="Compact"/>
        <w:numPr>
          <w:ilvl w:val="0"/>
          <w:numId w:val="1001"/>
        </w:numPr>
      </w:pPr>
      <w:r>
        <w:rPr>
          <w:b/>
          <w:bCs/>
        </w:rPr>
        <w:t xml:space="preserve">Work date:</w:t>
      </w:r>
      <w:r>
        <w:t xml:space="preserve"> </w:t>
      </w:r>
      <w:r>
        <w:t xml:space="preserve">the day on which hours were paid.</w:t>
      </w:r>
    </w:p>
    <w:p>
      <w:pPr>
        <w:pStyle w:val="Compact"/>
        <w:numPr>
          <w:ilvl w:val="0"/>
          <w:numId w:val="1001"/>
        </w:numPr>
      </w:pPr>
      <w:r>
        <w:rPr>
          <w:b/>
          <w:bCs/>
        </w:rPr>
        <w:t xml:space="preserve">Hours worked:</w:t>
      </w:r>
      <w:r>
        <w:t xml:space="preserve"> </w:t>
      </w:r>
      <w:r>
        <w:t xml:space="preserve">total hours, as well as hours paid to facility employees and hours paid to contract staff</w:t>
      </w:r>
      <w:hyperlink r:id="rId25">
        <w:r>
          <w:rPr>
            <w:rStyle w:val="Hyperlink"/>
          </w:rPr>
          <w:t xml:space="preserve">[4]</w:t>
        </w:r>
      </w:hyperlink>
      <w:r>
        <w:t xml:space="preserve">.</w:t>
      </w:r>
    </w:p>
    <w:p>
      <w:pPr>
        <w:pStyle w:val="Compact"/>
        <w:numPr>
          <w:ilvl w:val="0"/>
          <w:numId w:val="1001"/>
        </w:numPr>
      </w:pPr>
      <w:r>
        <w:rPr>
          <w:b/>
          <w:bCs/>
        </w:rPr>
        <w:t xml:space="preserve">Contract vs. employee status:</w:t>
      </w:r>
      <w:r>
        <w:t xml:space="preserve"> </w:t>
      </w:r>
      <w:r>
        <w:t xml:space="preserve">identifies whether hours were worked by facility employees or by agency/contract staff</w:t>
      </w:r>
      <w:hyperlink r:id="rId25">
        <w:r>
          <w:rPr>
            <w:rStyle w:val="Hyperlink"/>
          </w:rPr>
          <w:t xml:space="preserve">[4]</w:t>
        </w:r>
      </w:hyperlink>
      <w:r>
        <w:t xml:space="preserve">.</w:t>
      </w:r>
    </w:p>
    <w:p>
      <w:pPr>
        <w:pStyle w:val="Compact"/>
        <w:numPr>
          <w:ilvl w:val="0"/>
          <w:numId w:val="1001"/>
        </w:numPr>
      </w:pPr>
      <w:r>
        <w:rPr>
          <w:b/>
          <w:bCs/>
        </w:rPr>
        <w:t xml:space="preserve">Resident census:</w:t>
      </w:r>
      <w:r>
        <w:t xml:space="preserve"> </w:t>
      </w:r>
      <w:r>
        <w:t xml:space="preserve">daily resident counts derived from Minimum Data Set (MDS) assessments</w:t>
      </w:r>
      <w:hyperlink r:id="rId27">
        <w:r>
          <w:rPr>
            <w:rStyle w:val="Hyperlink"/>
          </w:rPr>
          <w:t xml:space="preserve">[6]</w:t>
        </w:r>
      </w:hyperlink>
      <w:r>
        <w:t xml:space="preserve">.</w:t>
      </w:r>
    </w:p>
    <w:bookmarkEnd w:id="28"/>
    <w:bookmarkStart w:id="31" w:name="what-pbj-does-not-measure"/>
    <w:p>
      <w:pPr>
        <w:pStyle w:val="Heading2"/>
      </w:pPr>
      <w:r>
        <w:t xml:space="preserve">What PBJ Does Not Measure</w:t>
      </w:r>
    </w:p>
    <w:p>
      <w:pPr>
        <w:pStyle w:val="FirstParagraph"/>
      </w:pPr>
      <w:r>
        <w:t xml:space="preserve">PBJ data reflect</w:t>
      </w:r>
      <w:r>
        <w:t xml:space="preserve"> </w:t>
      </w:r>
      <w:r>
        <w:rPr>
          <w:b/>
          <w:bCs/>
        </w:rPr>
        <w:t xml:space="preserve">paid hours only</w:t>
      </w:r>
      <w:r>
        <w:t xml:space="preserve"> </w:t>
      </w:r>
      <w:r>
        <w:t xml:space="preserve">and therefore do not capture unpaid or volunteer work</w:t>
      </w:r>
      <w:hyperlink r:id="rId29">
        <w:r>
          <w:rPr>
            <w:rStyle w:val="Hyperlink"/>
          </w:rPr>
          <w:t xml:space="preserve">[7]</w:t>
        </w:r>
      </w:hyperlink>
      <w:r>
        <w:t xml:space="preserve">. The data do</w:t>
      </w:r>
      <w:r>
        <w:t xml:space="preserve"> </w:t>
      </w:r>
      <w:r>
        <w:rPr>
          <w:b/>
          <w:bCs/>
        </w:rPr>
        <w:t xml:space="preserve">not</w:t>
      </w:r>
      <w:r>
        <w:t xml:space="preserve"> </w:t>
      </w:r>
      <w:r>
        <w:t xml:space="preserve">include wages, pay rates, shift start or end times, or quality‑of‑care outcomes. Because PBJ reports staffing inputs rather than outcomes, it cannot alone determine whether a facility complies with clinical requirements such as the eight‑hour RN coverage rule</w:t>
      </w:r>
      <w:hyperlink r:id="rId29">
        <w:r>
          <w:rPr>
            <w:rStyle w:val="Hyperlink"/>
          </w:rPr>
          <w:t xml:space="preserve">[7]</w:t>
        </w:r>
      </w:hyperlink>
      <w:r>
        <w:t xml:space="preserve">. PBJ also lacks resident‑level acuity information, so hours‑per‑resident‑day metrics must be interpreted alongside other data sources. Analysts should be cautious when interpreting extreme daily values because inclusion and exclusion criteria are applied at the quarterly facility level, not for individual days</w:t>
      </w:r>
      <w:hyperlink r:id="rId30">
        <w:r>
          <w:rPr>
            <w:rStyle w:val="Hyperlink"/>
          </w:rPr>
          <w:t xml:space="preserve">[8]</w:t>
        </w:r>
      </w:hyperlink>
      <w:r>
        <w:t xml:space="preserve">.</w:t>
      </w:r>
    </w:p>
    <w:bookmarkEnd w:id="31"/>
    <w:bookmarkStart w:id="38" w:name="related-pages"/>
    <w:p>
      <w:pPr>
        <w:pStyle w:val="Heading2"/>
      </w:pPr>
      <w:r>
        <w:t xml:space="preserve">Related Pages</w:t>
      </w:r>
    </w:p>
    <w:p>
      <w:pPr>
        <w:pStyle w:val="Compact"/>
        <w:numPr>
          <w:ilvl w:val="0"/>
          <w:numId w:val="1002"/>
        </w:numPr>
      </w:pPr>
      <w:hyperlink r:id="rId32">
        <w:r>
          <w:rPr>
            <w:rStyle w:val="Hyperlink"/>
            <w:b/>
            <w:bCs/>
          </w:rPr>
          <w:t xml:space="preserve">PBJ Methodology</w:t>
        </w:r>
      </w:hyperlink>
      <w:r>
        <w:t xml:space="preserve"> </w:t>
      </w:r>
      <w:r>
        <w:t xml:space="preserve">– explains how CMS aggregates, edits and publishes PBJ data.</w:t>
      </w:r>
    </w:p>
    <w:p>
      <w:pPr>
        <w:pStyle w:val="Compact"/>
        <w:numPr>
          <w:ilvl w:val="0"/>
          <w:numId w:val="1002"/>
        </w:numPr>
      </w:pPr>
      <w:hyperlink r:id="rId33">
        <w:r>
          <w:rPr>
            <w:rStyle w:val="Hyperlink"/>
            <w:b/>
            <w:bCs/>
          </w:rPr>
          <w:t xml:space="preserve">PBJ Metrics</w:t>
        </w:r>
      </w:hyperlink>
      <w:r>
        <w:t xml:space="preserve"> </w:t>
      </w:r>
      <w:r>
        <w:t xml:space="preserve">– defines hours‑per‑resident‑day and other derived measures.</w:t>
      </w:r>
    </w:p>
    <w:p>
      <w:pPr>
        <w:pStyle w:val="Compact"/>
        <w:numPr>
          <w:ilvl w:val="0"/>
          <w:numId w:val="1002"/>
        </w:numPr>
      </w:pPr>
      <w:hyperlink r:id="rId34">
        <w:r>
          <w:rPr>
            <w:rStyle w:val="Hyperlink"/>
            <w:b/>
            <w:bCs/>
          </w:rPr>
          <w:t xml:space="preserve">State Staffing Standards</w:t>
        </w:r>
      </w:hyperlink>
      <w:r>
        <w:t xml:space="preserve"> </w:t>
      </w:r>
      <w:r>
        <w:t xml:space="preserve">– summarizes minimum staffing requirements in federal and state policy.</w:t>
      </w:r>
    </w:p>
    <w:p>
      <w:pPr>
        <w:pStyle w:val="Compact"/>
        <w:numPr>
          <w:ilvl w:val="0"/>
          <w:numId w:val="1002"/>
        </w:numPr>
      </w:pPr>
      <w:hyperlink r:id="rId35">
        <w:r>
          <w:rPr>
            <w:rStyle w:val="Hyperlink"/>
            <w:b/>
            <w:bCs/>
          </w:rPr>
          <w:t xml:space="preserve">Non‑Nursing Staff</w:t>
        </w:r>
      </w:hyperlink>
      <w:r>
        <w:t xml:space="preserve"> </w:t>
      </w:r>
      <w:r>
        <w:t xml:space="preserve">– describes job categories beyond nursing roles.</w:t>
      </w:r>
    </w:p>
    <w:p>
      <w:pPr>
        <w:pStyle w:val="Compact"/>
        <w:numPr>
          <w:ilvl w:val="0"/>
          <w:numId w:val="1002"/>
        </w:numPr>
      </w:pPr>
      <w:hyperlink r:id="rId36">
        <w:r>
          <w:rPr>
            <w:rStyle w:val="Hyperlink"/>
            <w:b/>
            <w:bCs/>
          </w:rPr>
          <w:t xml:space="preserve">Data Limitations</w:t>
        </w:r>
      </w:hyperlink>
      <w:r>
        <w:t xml:space="preserve"> </w:t>
      </w:r>
      <w:r>
        <w:t xml:space="preserve">– outlines important caveats when using PBJ data.</w:t>
      </w:r>
    </w:p>
    <w:p>
      <w:pPr>
        <w:pStyle w:val="Compact"/>
        <w:numPr>
          <w:ilvl w:val="0"/>
          <w:numId w:val="1002"/>
        </w:numPr>
      </w:pPr>
      <w:hyperlink r:id="rId37">
        <w:r>
          <w:rPr>
            <w:rStyle w:val="Hyperlink"/>
            <w:b/>
            <w:bCs/>
          </w:rPr>
          <w:t xml:space="preserve">History of PBJ</w:t>
        </w:r>
      </w:hyperlink>
      <w:r>
        <w:t xml:space="preserve"> </w:t>
      </w:r>
      <w:r>
        <w:t xml:space="preserve">– provides a timeline of policy milestones.</w:t>
      </w:r>
    </w:p>
    <w:bookmarkEnd w:id="38"/>
    <w:bookmarkStart w:id="39" w:name="Xcb26eec45789692d95c2dce8639c5f281ed17ed"/>
    <w:p>
      <w:pPr>
        <w:pStyle w:val="Heading2"/>
      </w:pPr>
      <w:r>
        <w:t xml:space="preserve">Example PBJ Staffing Distribution (Figure placeholder)</w:t>
      </w:r>
    </w:p>
    <w:p>
      <w:pPr>
        <w:pStyle w:val="FirstParagraph"/>
      </w:pPr>
      <w:r>
        <w:t xml:space="preserve">&lt;!-- A placeholder for future figures showing how staffing hours are distributed across job categories. --&gt;</w:t>
      </w:r>
    </w:p>
    <w:bookmarkEnd w:id="39"/>
    <w:bookmarkStart w:id="42" w:name="references"/>
    <w:p>
      <w:pPr>
        <w:pStyle w:val="Heading2"/>
      </w:pPr>
      <w:r>
        <w:t xml:space="preserve">References</w:t>
      </w:r>
    </w:p>
    <w:p>
      <w:pPr>
        <w:pStyle w:val="Compact"/>
        <w:numPr>
          <w:ilvl w:val="0"/>
          <w:numId w:val="1003"/>
        </w:numPr>
      </w:pPr>
      <w:r>
        <w:t xml:space="preserve">CMS.</w:t>
      </w:r>
      <w:r>
        <w:t xml:space="preserve"> </w:t>
      </w:r>
      <w:r>
        <w:rPr>
          <w:b/>
          <w:bCs/>
        </w:rPr>
        <w:t xml:space="preserve">Staffing Data Submission Payroll Based Journal (PBJ) webpage.</w:t>
      </w:r>
      <w:r>
        <w:t xml:space="preserve"> </w:t>
      </w:r>
      <w:r>
        <w:t xml:space="preserve">Provides general information about the PBJ system, mandatory reporting dates and categories of nursing staff</w:t>
      </w:r>
      <w:hyperlink r:id="rId21">
        <w:r>
          <w:rPr>
            <w:rStyle w:val="Hyperlink"/>
          </w:rPr>
          <w:t xml:space="preserve">[9]</w:t>
        </w:r>
      </w:hyperlink>
      <w:r>
        <w:t xml:space="preserve">.</w:t>
      </w:r>
    </w:p>
    <w:p>
      <w:pPr>
        <w:pStyle w:val="Compact"/>
        <w:numPr>
          <w:ilvl w:val="0"/>
          <w:numId w:val="1003"/>
        </w:numPr>
      </w:pPr>
      <w:r>
        <w:t xml:space="preserve">CMS &amp; Abt Associates.</w:t>
      </w:r>
      <w:r>
        <w:t xml:space="preserve"> </w:t>
      </w:r>
      <w:r>
        <w:rPr>
          <w:b/>
          <w:bCs/>
        </w:rPr>
        <w:t xml:space="preserve">Payroll‑Based Journal Public Use Files: Technical Specifications</w:t>
      </w:r>
      <w:r>
        <w:t xml:space="preserve"> </w:t>
      </w:r>
      <w:r>
        <w:t xml:space="preserve">(2018). Explains the structure of PBJ public use files, aggregation rules, inclusion/exclusion criteria, data contents and limitations</w:t>
      </w:r>
      <w:hyperlink r:id="rId40">
        <w:r>
          <w:rPr>
            <w:rStyle w:val="Hyperlink"/>
          </w:rPr>
          <w:t xml:space="preserve">[10]</w:t>
        </w:r>
      </w:hyperlink>
      <w:hyperlink r:id="rId27">
        <w:r>
          <w:rPr>
            <w:rStyle w:val="Hyperlink"/>
          </w:rPr>
          <w:t xml:space="preserve">[6]</w:t>
        </w:r>
      </w:hyperlink>
      <w:hyperlink r:id="rId41">
        <w:r>
          <w:rPr>
            <w:rStyle w:val="Hyperlink"/>
          </w:rPr>
          <w:t xml:space="preserve">[11]</w:t>
        </w:r>
      </w:hyperlink>
      <w:r>
        <w:t xml:space="preserve">.</w:t>
      </w:r>
    </w:p>
    <w:p>
      <w:pPr>
        <w:pStyle w:val="FirstParagraph"/>
      </w:pPr>
      <w:r>
        <w:rPr>
          <w:b/>
          <w:bCs/>
        </w:rPr>
        <w:t xml:space="preserve">Last updated:</w:t>
      </w:r>
      <w:r>
        <w:t xml:space="preserve"> </w:t>
      </w:r>
      <w:r>
        <w:t xml:space="preserve">January 2026</w:t>
      </w:r>
    </w:p>
    <w:p>
      <w:pPr>
        <w:pStyle w:val="BodyText"/>
      </w:pPr>
      <w:r>
        <w:rPr>
          <w:i/>
          <w:iCs/>
        </w:rPr>
        <w:t xml:space="preserve">PBJpedia is a living reference. Staffing policies, reporting rules and data availability may change over time.</w:t>
      </w:r>
    </w:p>
    <w:bookmarkEnd w:id="42"/>
    <w:bookmarkEnd w:id="43"/>
    <w:bookmarkEnd w:id="44"/>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1">
        <w:r>
          <w:rPr>
            <w:rStyle w:val="Hyperlink"/>
          </w:rPr>
          <w:t xml:space="preserve">[9]</w:t>
        </w:r>
      </w:hyperlink>
      <w:r>
        <w:t xml:space="preserve"> </w:t>
      </w:r>
      <w:r>
        <w:t xml:space="preserve">Staffing Data Submission Payroll Based Journal (PBJ) | CMS</w:t>
      </w:r>
    </w:p>
    <w:p>
      <w:pPr>
        <w:pStyle w:val="BodyText"/>
      </w:pPr>
      <w:hyperlink r:id="rId45">
        <w:r>
          <w:rPr>
            <w:rStyle w:val="Hyperlink"/>
          </w:rPr>
          <w:t xml:space="preserve">https://www.cms.gov/medicare/quality/nursing-home-improvement/staffing-data-submission</w:t>
        </w:r>
      </w:hyperlink>
    </w:p>
    <w:p>
      <w:pPr>
        <w:pStyle w:val="BodyText"/>
      </w:pPr>
      <w:hyperlink r:id="rId23">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40">
        <w:r>
          <w:rPr>
            <w:rStyle w:val="Hyperlink"/>
          </w:rPr>
          <w:t xml:space="preserve">[10]</w:t>
        </w:r>
      </w:hyperlink>
      <w:r>
        <w:t xml:space="preserve"> </w:t>
      </w:r>
      <w:hyperlink r:id="rId41">
        <w:r>
          <w:rPr>
            <w:rStyle w:val="Hyperlink"/>
          </w:rPr>
          <w:t xml:space="preserve">[11]</w:t>
        </w:r>
      </w:hyperlink>
      <w:r>
        <w:t xml:space="preserve"> </w:t>
      </w:r>
      <w:r>
        <w:t xml:space="preserve">Abt Single-Sided Body Template</w:t>
      </w:r>
    </w:p>
    <w:p>
      <w:pPr>
        <w:pStyle w:val="BodyText"/>
      </w:pPr>
      <w:hyperlink r:id="rId27">
        <w:r>
          <w:rPr>
            <w:rStyle w:val="Hyperlink"/>
          </w:rPr>
          <w:t xml:space="preserve">https://nursinghome411.org/wp-content/uploads/2018/12/PBJ_PUF_Documentation_October_2018.pdf</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pbjpedia-data-limitations.md" TargetMode="External" /><Relationship Type="http://schemas.openxmlformats.org/officeDocument/2006/relationships/hyperlink" Id="rId37" Target="./pbjpedia-history.md" TargetMode="External" /><Relationship Type="http://schemas.openxmlformats.org/officeDocument/2006/relationships/hyperlink" Id="rId32" Target="./pbjpedia-methodology.md" TargetMode="External" /><Relationship Type="http://schemas.openxmlformats.org/officeDocument/2006/relationships/hyperlink" Id="rId33" Target="./pbjpedia-metrics.md" TargetMode="External" /><Relationship Type="http://schemas.openxmlformats.org/officeDocument/2006/relationships/hyperlink" Id="rId35" Target="./pbjpedia-non-nursing-staff.md" TargetMode="External" /><Relationship Type="http://schemas.openxmlformats.org/officeDocument/2006/relationships/hyperlink" Id="rId34" Target="./pbjpedia-state-standards.md" TargetMode="External" /><Relationship Type="http://schemas.openxmlformats.org/officeDocument/2006/relationships/hyperlink" Id="rId27" Target="https://nursinghome411.org/wp-content/uploads/2018/12/PBJ_PUF_Documentation_October_2018.pdf" TargetMode="External" /><Relationship Type="http://schemas.openxmlformats.org/officeDocument/2006/relationships/hyperlink" Id="rId40" Target="https://nursinghome411.org/wp-content/uploads/2018/12/PBJ_PUF_Documentation_October_2018.pdf#:~:text=2,calendar%20days%20in%20the%20quarter" TargetMode="External" /><Relationship Type="http://schemas.openxmlformats.org/officeDocument/2006/relationships/hyperlink" Id="rId41" Target="https://nursinghome411.org/wp-content/uploads/2018/12/PBJ_PUF_Documentation_October_2018.pdf#:~:text=6,tune%20their%20data%20submissions" TargetMode="External" /><Relationship Type="http://schemas.openxmlformats.org/officeDocument/2006/relationships/hyperlink" Id="rId30" Target="https://nursinghome411.org/wp-content/uploads/2018/12/PBJ_PUF_Documentation_October_2018.pdf#:~:text=Note%20that%20the%20exclusions%20for,may%20wish%20to%20apply%20additional" TargetMode="External" /><Relationship Type="http://schemas.openxmlformats.org/officeDocument/2006/relationships/hyperlink" Id="rId23" Target="https://nursinghome411.org/wp-content/uploads/2018/12/PBJ_PUF_Documentation_October_2018.pdf#:~:text=Payroll,Technical%20Specifications" TargetMode="External" /><Relationship Type="http://schemas.openxmlformats.org/officeDocument/2006/relationships/hyperlink" Id="rId26" Target="https://nursinghome411.org/wp-content/uploads/2018/12/PBJ_PUF_Documentation_October_2018.pdf#:~:text=Table%202,4%29%20numeric%20Hrs_PA_ctr" TargetMode="External" /><Relationship Type="http://schemas.openxmlformats.org/officeDocument/2006/relationships/hyperlink" Id="rId29" Target="https://nursinghome411.org/wp-content/uploads/2018/12/PBJ_PUF_Documentation_October_2018.pdf#:~:text=The%20PBJ%20data%20cannot%20be,were%20not%20reported%20in%20PBJ" TargetMode="External" /><Relationship Type="http://schemas.openxmlformats.org/officeDocument/2006/relationships/hyperlink" Id="rId25" Target="https://nursinghome411.org/wp-content/uploads/2018/12/PBJ_PUF_Documentation_October_2018.pdf#:~:text=files%20for%20these%20quarters%20will,Star%20Rating%20System" TargetMode="External" /><Relationship Type="http://schemas.openxmlformats.org/officeDocument/2006/relationships/hyperlink" Id="rId45" Target="https://www.cms.gov/medicare/quality/nursing-home-improvement/staffing-data-submission" TargetMode="External" /><Relationship Type="http://schemas.openxmlformats.org/officeDocument/2006/relationships/hyperlink" Id="rId22" Target="https://www.cms.gov/medicare/quality/nursing-home-improvement/staffing-data-submission#:~:text=The%20first%20mandatory%20reporting%20period,quarter%20to%20be%20considered%20timely" TargetMode="External" /><Relationship Type="http://schemas.openxmlformats.org/officeDocument/2006/relationships/hyperlink" Id="rId21" Target="https://www.cms.gov/medicare/quality/nursing-home-improvement/staffing-data-submission#:~:text=Therefore%2C%20CMS%20has%20developed%20a,section%20of%20this%20page%20below" TargetMode="External" /></Relationships>
</file>

<file path=word/_rels/footnotes.xml.rels><?xml version="1.0" encoding="UTF-8"?><Relationships xmlns="http://schemas.openxmlformats.org/package/2006/relationships"><Relationship Type="http://schemas.openxmlformats.org/officeDocument/2006/relationships/hyperlink" Id="rId36" Target="./pbjpedia-data-limitations.md" TargetMode="External" /><Relationship Type="http://schemas.openxmlformats.org/officeDocument/2006/relationships/hyperlink" Id="rId37" Target="./pbjpedia-history.md" TargetMode="External" /><Relationship Type="http://schemas.openxmlformats.org/officeDocument/2006/relationships/hyperlink" Id="rId32" Target="./pbjpedia-methodology.md" TargetMode="External" /><Relationship Type="http://schemas.openxmlformats.org/officeDocument/2006/relationships/hyperlink" Id="rId33" Target="./pbjpedia-metrics.md" TargetMode="External" /><Relationship Type="http://schemas.openxmlformats.org/officeDocument/2006/relationships/hyperlink" Id="rId35" Target="./pbjpedia-non-nursing-staff.md" TargetMode="External" /><Relationship Type="http://schemas.openxmlformats.org/officeDocument/2006/relationships/hyperlink" Id="rId34" Target="./pbjpedia-state-standards.md" TargetMode="External" /><Relationship Type="http://schemas.openxmlformats.org/officeDocument/2006/relationships/hyperlink" Id="rId27" Target="https://nursinghome411.org/wp-content/uploads/2018/12/PBJ_PUF_Documentation_October_2018.pdf" TargetMode="External" /><Relationship Type="http://schemas.openxmlformats.org/officeDocument/2006/relationships/hyperlink" Id="rId40" Target="https://nursinghome411.org/wp-content/uploads/2018/12/PBJ_PUF_Documentation_October_2018.pdf#:~:text=2,calendar%20days%20in%20the%20quarter" TargetMode="External" /><Relationship Type="http://schemas.openxmlformats.org/officeDocument/2006/relationships/hyperlink" Id="rId41" Target="https://nursinghome411.org/wp-content/uploads/2018/12/PBJ_PUF_Documentation_October_2018.pdf#:~:text=6,tune%20their%20data%20submissions" TargetMode="External" /><Relationship Type="http://schemas.openxmlformats.org/officeDocument/2006/relationships/hyperlink" Id="rId30" Target="https://nursinghome411.org/wp-content/uploads/2018/12/PBJ_PUF_Documentation_October_2018.pdf#:~:text=Note%20that%20the%20exclusions%20for,may%20wish%20to%20apply%20additional" TargetMode="External" /><Relationship Type="http://schemas.openxmlformats.org/officeDocument/2006/relationships/hyperlink" Id="rId23" Target="https://nursinghome411.org/wp-content/uploads/2018/12/PBJ_PUF_Documentation_October_2018.pdf#:~:text=Payroll,Technical%20Specifications" TargetMode="External" /><Relationship Type="http://schemas.openxmlformats.org/officeDocument/2006/relationships/hyperlink" Id="rId26" Target="https://nursinghome411.org/wp-content/uploads/2018/12/PBJ_PUF_Documentation_October_2018.pdf#:~:text=Table%202,4%29%20numeric%20Hrs_PA_ctr" TargetMode="External" /><Relationship Type="http://schemas.openxmlformats.org/officeDocument/2006/relationships/hyperlink" Id="rId29" Target="https://nursinghome411.org/wp-content/uploads/2018/12/PBJ_PUF_Documentation_October_2018.pdf#:~:text=The%20PBJ%20data%20cannot%20be,were%20not%20reported%20in%20PBJ" TargetMode="External" /><Relationship Type="http://schemas.openxmlformats.org/officeDocument/2006/relationships/hyperlink" Id="rId25" Target="https://nursinghome411.org/wp-content/uploads/2018/12/PBJ_PUF_Documentation_October_2018.pdf#:~:text=files%20for%20these%20quarters%20will,Star%20Rating%20System" TargetMode="External" /><Relationship Type="http://schemas.openxmlformats.org/officeDocument/2006/relationships/hyperlink" Id="rId45" Target="https://www.cms.gov/medicare/quality/nursing-home-improvement/staffing-data-submission" TargetMode="External" /><Relationship Type="http://schemas.openxmlformats.org/officeDocument/2006/relationships/hyperlink" Id="rId22" Target="https://www.cms.gov/medicare/quality/nursing-home-improvement/staffing-data-submission#:~:text=The%20first%20mandatory%20reporting%20period,quarter%20to%20be%20considered%20timely" TargetMode="External" /><Relationship Type="http://schemas.openxmlformats.org/officeDocument/2006/relationships/hyperlink" Id="rId21" Target="https://www.cms.gov/medicare/quality/nursing-home-improvement/staffing-data-submission#:~:text=Therefore%2C%20CMS%20has%20developed%20a,section%20of%20this%20page%20belo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2026-01-06T17:57:07Z</dcterms:created>
  <dcterms:modified xsi:type="dcterms:W3CDTF">2026-01-06T17:57:07Z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