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EABAE" w14:textId="77777777" w:rsidR="004C05A4" w:rsidRDefault="00000000">
      <w:pPr>
        <w:pStyle w:val="Heading1"/>
      </w:pPr>
      <w:bookmarkStart w:id="0" w:name="header"/>
      <w:bookmarkStart w:id="1" w:name="nonnursing-staff-in-pbj"/>
      <w:bookmarkStart w:id="2" w:name="content"/>
      <w:bookmarkEnd w:id="0"/>
      <w:r>
        <w:t>Non‑Nursing Staff in PBJ</w:t>
      </w:r>
    </w:p>
    <w:p w14:paraId="123D0DDA" w14:textId="77777777" w:rsidR="004C05A4" w:rsidRDefault="00000000">
      <w:pPr>
        <w:pStyle w:val="FirstParagraph"/>
      </w:pPr>
      <w:r>
        <w:t xml:space="preserve">Although the Payroll‑Based Journal is often discussed in the context of nurse staffing, the system also collects detailed information on </w:t>
      </w:r>
      <w:r>
        <w:rPr>
          <w:b/>
          <w:bCs/>
        </w:rPr>
        <w:t>non‑nursing roles</w:t>
      </w:r>
      <w:r>
        <w:t xml:space="preserve"> that are essential to nursing home operations. PBJ distinguishes between employees and contract staff and reports hours worked for each job category on each day</w:t>
      </w:r>
      <w:hyperlink r:id="rId5" w:anchor=":~:text=files%20for%20these%20quarters%20will,Star%20Rating%20System">
        <w:r>
          <w:rPr>
            <w:rStyle w:val="Hyperlink"/>
          </w:rPr>
          <w:t>[1]</w:t>
        </w:r>
      </w:hyperlink>
      <w:hyperlink r:id="rId6" w:anchor=":~:text=Table%202,4%29%20numeric%20Hrs_PA_ctr">
        <w:r>
          <w:rPr>
            <w:rStyle w:val="Hyperlink"/>
          </w:rPr>
          <w:t>[2]</w:t>
        </w:r>
      </w:hyperlink>
      <w:r>
        <w:t>. Understanding non‑nursing staffing patterns can shed light on administrative capacity, clinical oversight and ancillary services.</w:t>
      </w:r>
    </w:p>
    <w:p w14:paraId="4B491D4A" w14:textId="77777777" w:rsidR="004C05A4" w:rsidRDefault="00000000">
      <w:pPr>
        <w:pStyle w:val="Heading2"/>
      </w:pPr>
      <w:bookmarkStart w:id="3" w:name="job-categories"/>
      <w:r>
        <w:t>Job Categories</w:t>
      </w:r>
    </w:p>
    <w:p w14:paraId="4EF58975" w14:textId="77777777" w:rsidR="004C05A4" w:rsidRDefault="00000000">
      <w:pPr>
        <w:pStyle w:val="FirstParagraph"/>
      </w:pPr>
      <w:r>
        <w:t xml:space="preserve">The PBJ policy manual assigns </w:t>
      </w:r>
      <w:r>
        <w:rPr>
          <w:b/>
          <w:bCs/>
        </w:rPr>
        <w:t>standardized job codes</w:t>
      </w:r>
      <w:r>
        <w:t xml:space="preserve"> to non‑nursing positions. Each record in the public use files contains total hours, employee hours and contract hours for every category</w:t>
      </w:r>
      <w:hyperlink r:id="rId7" w:anchor=":~:text=Table%202,4%29%20numeric%20Hrs_PA_ctr">
        <w:r>
          <w:rPr>
            <w:rStyle w:val="Hyperlink"/>
          </w:rPr>
          <w:t>[2]</w:t>
        </w:r>
      </w:hyperlink>
      <w:r>
        <w:t>. Key non‑nursing categories include:</w:t>
      </w:r>
    </w:p>
    <w:tbl>
      <w:tblPr>
        <w:tblStyle w:val="Table"/>
        <w:tblW w:w="0" w:type="auto"/>
        <w:tblLook w:val="0020" w:firstRow="1" w:lastRow="0" w:firstColumn="0" w:lastColumn="0" w:noHBand="0" w:noVBand="0"/>
      </w:tblPr>
      <w:tblGrid>
        <w:gridCol w:w="812"/>
        <w:gridCol w:w="2035"/>
        <w:gridCol w:w="6729"/>
      </w:tblGrid>
      <w:tr w:rsidR="004C05A4" w14:paraId="3646C95F" w14:textId="77777777" w:rsidTr="004C05A4">
        <w:trPr>
          <w:cnfStyle w:val="100000000000" w:firstRow="1" w:lastRow="0" w:firstColumn="0" w:lastColumn="0" w:oddVBand="0" w:evenVBand="0" w:oddHBand="0" w:evenHBand="0" w:firstRowFirstColumn="0" w:firstRowLastColumn="0" w:lastRowFirstColumn="0" w:lastRowLastColumn="0"/>
          <w:tblHeader/>
        </w:trPr>
        <w:tc>
          <w:tcPr>
            <w:tcW w:w="0" w:type="auto"/>
          </w:tcPr>
          <w:p w14:paraId="3CA724B9" w14:textId="77777777" w:rsidR="004C05A4" w:rsidRDefault="00000000">
            <w:pPr>
              <w:pStyle w:val="Compact"/>
            </w:pPr>
            <w:r>
              <w:t>Job code</w:t>
            </w:r>
          </w:p>
        </w:tc>
        <w:tc>
          <w:tcPr>
            <w:tcW w:w="0" w:type="auto"/>
          </w:tcPr>
          <w:p w14:paraId="7338912A" w14:textId="77777777" w:rsidR="004C05A4" w:rsidRDefault="00000000">
            <w:pPr>
              <w:pStyle w:val="Compact"/>
            </w:pPr>
            <w:r>
              <w:t>Role</w:t>
            </w:r>
          </w:p>
        </w:tc>
        <w:tc>
          <w:tcPr>
            <w:tcW w:w="0" w:type="auto"/>
          </w:tcPr>
          <w:p w14:paraId="5C25EECB" w14:textId="77777777" w:rsidR="004C05A4" w:rsidRDefault="00000000">
            <w:pPr>
              <w:pStyle w:val="Compact"/>
            </w:pPr>
            <w:r>
              <w:t>Notes</w:t>
            </w:r>
          </w:p>
        </w:tc>
      </w:tr>
      <w:tr w:rsidR="004C05A4" w14:paraId="76E79A0D" w14:textId="77777777">
        <w:tc>
          <w:tcPr>
            <w:tcW w:w="0" w:type="auto"/>
          </w:tcPr>
          <w:p w14:paraId="54A8235E" w14:textId="77777777" w:rsidR="004C05A4" w:rsidRDefault="00000000">
            <w:pPr>
              <w:pStyle w:val="Compact"/>
            </w:pPr>
            <w:r>
              <w:t>1</w:t>
            </w:r>
          </w:p>
        </w:tc>
        <w:tc>
          <w:tcPr>
            <w:tcW w:w="0" w:type="auto"/>
          </w:tcPr>
          <w:p w14:paraId="5161AF87" w14:textId="77777777" w:rsidR="004C05A4" w:rsidRDefault="00000000">
            <w:pPr>
              <w:pStyle w:val="Compact"/>
            </w:pPr>
            <w:r>
              <w:rPr>
                <w:b/>
                <w:bCs/>
              </w:rPr>
              <w:t>Administrator</w:t>
            </w:r>
          </w:p>
        </w:tc>
        <w:tc>
          <w:tcPr>
            <w:tcW w:w="0" w:type="auto"/>
          </w:tcPr>
          <w:p w14:paraId="2B97BAD7" w14:textId="77777777" w:rsidR="004C05A4" w:rsidRDefault="00000000">
            <w:pPr>
              <w:pStyle w:val="Compact"/>
            </w:pPr>
            <w:r>
              <w:t>Responsible for overall facility management; PBJ excludes administrator hours if five or more administrators are reported on four or more days</w:t>
            </w:r>
            <w:hyperlink r:id="rId8" w:anchor=":~:text=Table%202,4%29%20numeric%20Hrs_PA_ctr">
              <w:r>
                <w:rPr>
                  <w:rStyle w:val="Hyperlink"/>
                </w:rPr>
                <w:t>[2]</w:t>
              </w:r>
            </w:hyperlink>
            <w:r>
              <w:t>.</w:t>
            </w:r>
          </w:p>
        </w:tc>
      </w:tr>
      <w:tr w:rsidR="004C05A4" w14:paraId="7F454C57" w14:textId="77777777">
        <w:tc>
          <w:tcPr>
            <w:tcW w:w="0" w:type="auto"/>
          </w:tcPr>
          <w:p w14:paraId="2E0DDDA9" w14:textId="77777777" w:rsidR="004C05A4" w:rsidRDefault="00000000">
            <w:pPr>
              <w:pStyle w:val="Compact"/>
            </w:pPr>
            <w:r>
              <w:t>2</w:t>
            </w:r>
          </w:p>
        </w:tc>
        <w:tc>
          <w:tcPr>
            <w:tcW w:w="0" w:type="auto"/>
          </w:tcPr>
          <w:p w14:paraId="64FD5676" w14:textId="77777777" w:rsidR="004C05A4" w:rsidRDefault="00000000">
            <w:pPr>
              <w:pStyle w:val="Compact"/>
            </w:pPr>
            <w:r>
              <w:rPr>
                <w:b/>
                <w:bCs/>
              </w:rPr>
              <w:t>Medical Director</w:t>
            </w:r>
          </w:p>
        </w:tc>
        <w:tc>
          <w:tcPr>
            <w:tcW w:w="0" w:type="auto"/>
          </w:tcPr>
          <w:p w14:paraId="65EAE44D" w14:textId="77777777" w:rsidR="004C05A4" w:rsidRDefault="00000000">
            <w:pPr>
              <w:pStyle w:val="Compact"/>
            </w:pPr>
            <w:r>
              <w:t>Oversees medical care; hours may be low because services are often billed to Medicare or other insurers</w:t>
            </w:r>
            <w:hyperlink r:id="rId9" w:anchor=":~:text=Similarly%2C%20we%20note%20that%20the,these%20services%20are%20not%20reportable">
              <w:r>
                <w:rPr>
                  <w:rStyle w:val="Hyperlink"/>
                </w:rPr>
                <w:t>[3]</w:t>
              </w:r>
            </w:hyperlink>
            <w:r>
              <w:t>.</w:t>
            </w:r>
          </w:p>
        </w:tc>
      </w:tr>
      <w:tr w:rsidR="004C05A4" w14:paraId="5B72129D" w14:textId="77777777">
        <w:tc>
          <w:tcPr>
            <w:tcW w:w="0" w:type="auto"/>
          </w:tcPr>
          <w:p w14:paraId="208E94CD" w14:textId="77777777" w:rsidR="004C05A4" w:rsidRDefault="00000000">
            <w:pPr>
              <w:pStyle w:val="Compact"/>
            </w:pPr>
            <w:r>
              <w:t>3</w:t>
            </w:r>
          </w:p>
        </w:tc>
        <w:tc>
          <w:tcPr>
            <w:tcW w:w="0" w:type="auto"/>
          </w:tcPr>
          <w:p w14:paraId="18EF453B" w14:textId="77777777" w:rsidR="004C05A4" w:rsidRDefault="00000000">
            <w:pPr>
              <w:pStyle w:val="Compact"/>
            </w:pPr>
            <w:r>
              <w:rPr>
                <w:b/>
                <w:bCs/>
              </w:rPr>
              <w:t>Other Physician</w:t>
            </w:r>
          </w:p>
        </w:tc>
        <w:tc>
          <w:tcPr>
            <w:tcW w:w="0" w:type="auto"/>
          </w:tcPr>
          <w:p w14:paraId="2E3FAA39" w14:textId="77777777" w:rsidR="004C05A4" w:rsidRDefault="00000000">
            <w:pPr>
              <w:pStyle w:val="Compact"/>
            </w:pPr>
            <w:r>
              <w:t>Physicians not serving as medical director</w:t>
            </w:r>
            <w:hyperlink r:id="rId10" w:anchor=":~:text=Table%202,4%29%20numeric%20Hrs_PA_ctr">
              <w:r>
                <w:rPr>
                  <w:rStyle w:val="Hyperlink"/>
                </w:rPr>
                <w:t>[2]</w:t>
              </w:r>
            </w:hyperlink>
            <w:r>
              <w:t>.</w:t>
            </w:r>
          </w:p>
        </w:tc>
      </w:tr>
      <w:tr w:rsidR="004C05A4" w14:paraId="0A6852D8" w14:textId="77777777">
        <w:tc>
          <w:tcPr>
            <w:tcW w:w="0" w:type="auto"/>
          </w:tcPr>
          <w:p w14:paraId="4240FCEF" w14:textId="77777777" w:rsidR="004C05A4" w:rsidRDefault="00000000">
            <w:pPr>
              <w:pStyle w:val="Compact"/>
            </w:pPr>
            <w:r>
              <w:t>4</w:t>
            </w:r>
          </w:p>
        </w:tc>
        <w:tc>
          <w:tcPr>
            <w:tcW w:w="0" w:type="auto"/>
          </w:tcPr>
          <w:p w14:paraId="523425E1" w14:textId="77777777" w:rsidR="004C05A4" w:rsidRDefault="00000000">
            <w:pPr>
              <w:pStyle w:val="Compact"/>
            </w:pPr>
            <w:r>
              <w:rPr>
                <w:b/>
                <w:bCs/>
              </w:rPr>
              <w:t>Physician Assistant (PA)</w:t>
            </w:r>
          </w:p>
        </w:tc>
        <w:tc>
          <w:tcPr>
            <w:tcW w:w="0" w:type="auto"/>
          </w:tcPr>
          <w:p w14:paraId="359E0666" w14:textId="77777777" w:rsidR="004C05A4" w:rsidRDefault="00000000">
            <w:pPr>
              <w:pStyle w:val="Compact"/>
            </w:pPr>
            <w:r>
              <w:t>Non‑physician practitioner providing clinical services</w:t>
            </w:r>
            <w:hyperlink r:id="rId11" w:anchor=":~:text=Table%202,4%29%20numeric%20Hrs_PA_ctr">
              <w:r>
                <w:rPr>
                  <w:rStyle w:val="Hyperlink"/>
                </w:rPr>
                <w:t>[2]</w:t>
              </w:r>
            </w:hyperlink>
            <w:r>
              <w:t>.</w:t>
            </w:r>
          </w:p>
        </w:tc>
      </w:tr>
      <w:tr w:rsidR="004C05A4" w14:paraId="4B805C40" w14:textId="77777777">
        <w:tc>
          <w:tcPr>
            <w:tcW w:w="0" w:type="auto"/>
          </w:tcPr>
          <w:p w14:paraId="5F3EEF80" w14:textId="77777777" w:rsidR="004C05A4" w:rsidRDefault="00000000">
            <w:pPr>
              <w:pStyle w:val="Compact"/>
            </w:pPr>
            <w:r>
              <w:t>…</w:t>
            </w:r>
          </w:p>
        </w:tc>
        <w:tc>
          <w:tcPr>
            <w:tcW w:w="0" w:type="auto"/>
          </w:tcPr>
          <w:p w14:paraId="0C76E2D6" w14:textId="77777777" w:rsidR="004C05A4" w:rsidRDefault="00000000">
            <w:pPr>
              <w:pStyle w:val="Compact"/>
            </w:pPr>
            <w:r>
              <w:rPr>
                <w:b/>
                <w:bCs/>
              </w:rPr>
              <w:t>Additional non‑nursing roles</w:t>
            </w:r>
          </w:p>
        </w:tc>
        <w:tc>
          <w:tcPr>
            <w:tcW w:w="0" w:type="auto"/>
          </w:tcPr>
          <w:p w14:paraId="47E8DD58" w14:textId="77777777" w:rsidR="004C05A4" w:rsidRDefault="00000000">
            <w:pPr>
              <w:pStyle w:val="Compact"/>
            </w:pPr>
            <w:r>
              <w:t>The PBJ policy manual includes categories for activities staff, social services, dietitians, housekeeping, laundry, maintenance, therapy (physical, occupational and speech), and other ancillary staff. These roles contribute to resident well‑being and facility operations.</w:t>
            </w:r>
          </w:p>
        </w:tc>
      </w:tr>
    </w:tbl>
    <w:p w14:paraId="165FD094" w14:textId="77777777" w:rsidR="004C05A4" w:rsidRDefault="00000000">
      <w:pPr>
        <w:pStyle w:val="BodyText"/>
      </w:pPr>
      <w:r>
        <w:t xml:space="preserve">Each non‑nursing role is reported separately for </w:t>
      </w:r>
      <w:r>
        <w:rPr>
          <w:b/>
          <w:bCs/>
        </w:rPr>
        <w:t>total hours</w:t>
      </w:r>
      <w:r>
        <w:t xml:space="preserve">, </w:t>
      </w:r>
      <w:r>
        <w:rPr>
          <w:b/>
          <w:bCs/>
        </w:rPr>
        <w:t>employee hours</w:t>
      </w:r>
      <w:r>
        <w:t xml:space="preserve"> and </w:t>
      </w:r>
      <w:r>
        <w:rPr>
          <w:b/>
          <w:bCs/>
        </w:rPr>
        <w:t>contract hours</w:t>
      </w:r>
      <w:r>
        <w:t>, allowing analysts to assess the extent of contract staffing across functional areas</w:t>
      </w:r>
      <w:hyperlink r:id="rId12" w:anchor=":~:text=Table%202,4%29%20numeric%20Hrs_PA_ctr">
        <w:r>
          <w:rPr>
            <w:rStyle w:val="Hyperlink"/>
          </w:rPr>
          <w:t>[2]</w:t>
        </w:r>
      </w:hyperlink>
      <w:r>
        <w:t>.</w:t>
      </w:r>
    </w:p>
    <w:p w14:paraId="74D1829F" w14:textId="77777777" w:rsidR="004C05A4" w:rsidRDefault="00000000">
      <w:pPr>
        <w:pStyle w:val="Heading2"/>
      </w:pPr>
      <w:bookmarkStart w:id="4" w:name="significance"/>
      <w:bookmarkEnd w:id="3"/>
      <w:r>
        <w:t>Significance</w:t>
      </w:r>
    </w:p>
    <w:p w14:paraId="248D0B32" w14:textId="77777777" w:rsidR="004C05A4" w:rsidRDefault="00000000">
      <w:pPr>
        <w:pStyle w:val="FirstParagraph"/>
      </w:pPr>
      <w:r>
        <w:t xml:space="preserve">Non‑nursing staff make up a substantial portion of the workforce in nursing homes. Administrators ensure compliance with regulations; medical directors and attending physicians oversee clinical care; therapists provide rehabilitation services; and support staff such as dietary aides, housekeepers and social workers contribute to residents’ daily quality of life. During and after the COVID‑19 pandemic, reliance on contract staff </w:t>
      </w:r>
      <w:r>
        <w:lastRenderedPageBreak/>
        <w:t>increased in many facilities, highlighting the importance of tracking contract hours for both nursing and non‑nursing categories. PBJ enables analyses of contract reliance by role, state and facility type.</w:t>
      </w:r>
    </w:p>
    <w:p w14:paraId="51F33356" w14:textId="77777777" w:rsidR="004C05A4" w:rsidRDefault="00000000">
      <w:pPr>
        <w:pStyle w:val="Heading2"/>
      </w:pPr>
      <w:bookmarkStart w:id="5" w:name="related-pages"/>
      <w:bookmarkEnd w:id="4"/>
      <w:r>
        <w:t>Related Pages</w:t>
      </w:r>
    </w:p>
    <w:p w14:paraId="7A055097" w14:textId="72F1163F" w:rsidR="004C05A4" w:rsidRDefault="00000000">
      <w:pPr>
        <w:pStyle w:val="Compact"/>
        <w:numPr>
          <w:ilvl w:val="0"/>
          <w:numId w:val="2"/>
        </w:numPr>
      </w:pPr>
      <w:hyperlink r:id="rId13">
        <w:r>
          <w:rPr>
            <w:rStyle w:val="Hyperlink"/>
            <w:b/>
            <w:bCs/>
          </w:rPr>
          <w:t>PBJ Overview</w:t>
        </w:r>
      </w:hyperlink>
      <w:r>
        <w:t xml:space="preserve"> – general description of PBJ and what it measures.</w:t>
      </w:r>
    </w:p>
    <w:p w14:paraId="38F1B5B4" w14:textId="7BE19124" w:rsidR="004C05A4" w:rsidRDefault="00000000">
      <w:pPr>
        <w:pStyle w:val="Compact"/>
        <w:numPr>
          <w:ilvl w:val="0"/>
          <w:numId w:val="2"/>
        </w:numPr>
      </w:pPr>
      <w:hyperlink r:id="rId14">
        <w:r>
          <w:rPr>
            <w:rStyle w:val="Hyperlink"/>
            <w:b/>
            <w:bCs/>
          </w:rPr>
          <w:t>PBJ Methodology</w:t>
        </w:r>
      </w:hyperlink>
      <w:r>
        <w:t xml:space="preserve"> – details about data collection and publication.</w:t>
      </w:r>
    </w:p>
    <w:p w14:paraId="2BD4962E" w14:textId="5999052A" w:rsidR="004C05A4" w:rsidRDefault="00000000">
      <w:pPr>
        <w:pStyle w:val="Compact"/>
        <w:numPr>
          <w:ilvl w:val="0"/>
          <w:numId w:val="2"/>
        </w:numPr>
      </w:pPr>
      <w:hyperlink r:id="rId15">
        <w:r>
          <w:rPr>
            <w:rStyle w:val="Hyperlink"/>
            <w:b/>
            <w:bCs/>
          </w:rPr>
          <w:t>PBJ Metrics</w:t>
        </w:r>
      </w:hyperlink>
      <w:r>
        <w:t xml:space="preserve"> – defines hours‑per‑resident‑day and related metrics.</w:t>
      </w:r>
    </w:p>
    <w:p w14:paraId="159229BF" w14:textId="6A27430A" w:rsidR="004C05A4" w:rsidRDefault="00000000">
      <w:pPr>
        <w:pStyle w:val="Compact"/>
        <w:numPr>
          <w:ilvl w:val="0"/>
          <w:numId w:val="2"/>
        </w:numPr>
      </w:pPr>
      <w:hyperlink r:id="rId16">
        <w:r>
          <w:rPr>
            <w:rStyle w:val="Hyperlink"/>
            <w:b/>
            <w:bCs/>
          </w:rPr>
          <w:t>Data Limitations</w:t>
        </w:r>
      </w:hyperlink>
      <w:r>
        <w:t xml:space="preserve"> – caveats that apply to non‑nursing data as well.</w:t>
      </w:r>
    </w:p>
    <w:p w14:paraId="23583F5B" w14:textId="77777777" w:rsidR="004C05A4" w:rsidRDefault="00000000">
      <w:pPr>
        <w:pStyle w:val="Heading2"/>
      </w:pPr>
      <w:bookmarkStart w:id="6" w:name="example-staffing-mix-figure-placeholder"/>
      <w:bookmarkEnd w:id="5"/>
      <w:r>
        <w:t>Example Staffing Mix (Figure placeholder)</w:t>
      </w:r>
    </w:p>
    <w:p w14:paraId="0B835E07" w14:textId="77777777" w:rsidR="004C05A4" w:rsidRDefault="00000000">
      <w:pPr>
        <w:pStyle w:val="FirstParagraph"/>
      </w:pPr>
      <w:r>
        <w:t>&lt;!-- Future figure could illustrate the relative proportions of nursing and non‑nursing hours in a typical facility. --&gt;</w:t>
      </w:r>
    </w:p>
    <w:p w14:paraId="49BAEF76" w14:textId="77777777" w:rsidR="004C05A4" w:rsidRDefault="00000000">
      <w:pPr>
        <w:pStyle w:val="Heading2"/>
      </w:pPr>
      <w:bookmarkStart w:id="7" w:name="references"/>
      <w:bookmarkEnd w:id="6"/>
      <w:r>
        <w:t>References</w:t>
      </w:r>
    </w:p>
    <w:p w14:paraId="23814F32" w14:textId="77777777" w:rsidR="004C05A4" w:rsidRDefault="00000000">
      <w:pPr>
        <w:pStyle w:val="Compact"/>
        <w:numPr>
          <w:ilvl w:val="0"/>
          <w:numId w:val="3"/>
        </w:numPr>
      </w:pPr>
      <w:r>
        <w:t xml:space="preserve">CMS &amp; Abt Associates. </w:t>
      </w:r>
      <w:r>
        <w:rPr>
          <w:b/>
          <w:bCs/>
        </w:rPr>
        <w:t>Payroll‑Based Journal Public Use Files: Technical Specifications</w:t>
      </w:r>
      <w:r>
        <w:t xml:space="preserve"> (2018). Provides definitions of job codes and explains how non‑nursing hours are reported</w:t>
      </w:r>
      <w:hyperlink r:id="rId17" w:anchor=":~:text=Table%202,4%29%20numeric%20Hrs_PA_ctr">
        <w:r>
          <w:rPr>
            <w:rStyle w:val="Hyperlink"/>
          </w:rPr>
          <w:t>[2]</w:t>
        </w:r>
      </w:hyperlink>
      <w:r>
        <w:t>.</w:t>
      </w:r>
    </w:p>
    <w:p w14:paraId="32C7F606" w14:textId="77777777" w:rsidR="004C05A4" w:rsidRDefault="00000000">
      <w:pPr>
        <w:pStyle w:val="Compact"/>
        <w:numPr>
          <w:ilvl w:val="0"/>
          <w:numId w:val="3"/>
        </w:numPr>
      </w:pPr>
      <w:r>
        <w:t xml:space="preserve">CMS &amp; Abt Associates. </w:t>
      </w:r>
      <w:r>
        <w:rPr>
          <w:b/>
          <w:bCs/>
        </w:rPr>
        <w:t>PBJ Technical Specifications.</w:t>
      </w:r>
      <w:r>
        <w:t xml:space="preserve"> Notes that hours for physicians and non‑physician practitioners may be low because these services are typically billed to Medicare or other insurers</w:t>
      </w:r>
      <w:hyperlink r:id="rId18" w:anchor=":~:text=Similarly%2C%20we%20note%20that%20the,these%20services%20are%20not%20reportable">
        <w:r>
          <w:rPr>
            <w:rStyle w:val="Hyperlink"/>
          </w:rPr>
          <w:t>[3]</w:t>
        </w:r>
      </w:hyperlink>
      <w:r>
        <w:t>.</w:t>
      </w:r>
    </w:p>
    <w:p w14:paraId="3C361B3F" w14:textId="77777777" w:rsidR="004C05A4" w:rsidRDefault="00000000">
      <w:pPr>
        <w:pStyle w:val="FirstParagraph"/>
      </w:pPr>
      <w:r>
        <w:rPr>
          <w:b/>
          <w:bCs/>
        </w:rPr>
        <w:t>Last updated:</w:t>
      </w:r>
      <w:r>
        <w:t xml:space="preserve"> January 2026</w:t>
      </w:r>
    </w:p>
    <w:p w14:paraId="02C01C47" w14:textId="77777777" w:rsidR="004C05A4" w:rsidRDefault="00000000">
      <w:pPr>
        <w:pStyle w:val="BodyText"/>
      </w:pPr>
      <w:r>
        <w:rPr>
          <w:i/>
          <w:iCs/>
        </w:rPr>
        <w:t>PBJpedia is a living reference. Staffing policies, reporting rules and data availability may change over time.</w:t>
      </w:r>
    </w:p>
    <w:bookmarkEnd w:id="1"/>
    <w:bookmarkEnd w:id="2"/>
    <w:bookmarkEnd w:id="7"/>
    <w:p w14:paraId="1F0981D9" w14:textId="77777777" w:rsidR="004C05A4" w:rsidRDefault="00000000">
      <w:r>
        <w:pict w14:anchorId="12923865">
          <v:rect id="_x0000_i1025" style="width:0;height:1.5pt" o:hralign="center" o:hrstd="t" o:hr="t"/>
        </w:pict>
      </w:r>
    </w:p>
    <w:bookmarkStart w:id="8" w:name="citations"/>
    <w:p w14:paraId="4AC72233" w14:textId="77777777" w:rsidR="004C05A4" w:rsidRDefault="00000000">
      <w:pPr>
        <w:pStyle w:val="FirstParagraph"/>
      </w:pPr>
      <w:r>
        <w:fldChar w:fldCharType="begin"/>
      </w:r>
      <w:r>
        <w:instrText>HYPERLINK "https://nursinghome411.org/wp-content/uploads/2018/12/PBJ_PUF_Documentation_October_2018.pdf" \l ":~:text=files%20for%20these%20quarters%20will,Star%20Rating%20System" \h</w:instrText>
      </w:r>
      <w:r>
        <w:fldChar w:fldCharType="separate"/>
      </w:r>
      <w:r>
        <w:rPr>
          <w:rStyle w:val="Hyperlink"/>
        </w:rPr>
        <w:t>[1]</w:t>
      </w:r>
      <w:r>
        <w:fldChar w:fldCharType="end"/>
      </w:r>
      <w:r>
        <w:t xml:space="preserve"> </w:t>
      </w:r>
      <w:hyperlink r:id="rId19" w:anchor=":~:text=Table%202,4%29%20numeric%20Hrs_PA_ctr">
        <w:r>
          <w:rPr>
            <w:rStyle w:val="Hyperlink"/>
          </w:rPr>
          <w:t>[2]</w:t>
        </w:r>
      </w:hyperlink>
      <w:r>
        <w:t xml:space="preserve"> </w:t>
      </w:r>
      <w:hyperlink r:id="rId20" w:anchor=":~:text=Similarly%2C%20we%20note%20that%20the,these%20services%20are%20not%20reportable">
        <w:r>
          <w:rPr>
            <w:rStyle w:val="Hyperlink"/>
          </w:rPr>
          <w:t>[3]</w:t>
        </w:r>
      </w:hyperlink>
      <w:r>
        <w:t xml:space="preserve"> Abt Single-Sided Body Template</w:t>
      </w:r>
    </w:p>
    <w:p w14:paraId="5477CA21" w14:textId="77777777" w:rsidR="004C05A4" w:rsidRDefault="00000000">
      <w:pPr>
        <w:pStyle w:val="BodyText"/>
      </w:pPr>
      <w:hyperlink r:id="rId21">
        <w:r>
          <w:rPr>
            <w:rStyle w:val="Hyperlink"/>
          </w:rPr>
          <w:t>https://nursinghome411.org/wp-content/uploads/2018/12/PBJ_PUF_Documentation_October_2018.pdf</w:t>
        </w:r>
      </w:hyperlink>
      <w:bookmarkEnd w:id="8"/>
    </w:p>
    <w:sectPr w:rsidR="004C05A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EE841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18C94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23C0F9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852719828">
    <w:abstractNumId w:val="0"/>
  </w:num>
  <w:num w:numId="2" w16cid:durableId="1284187180">
    <w:abstractNumId w:val="1"/>
  </w:num>
  <w:num w:numId="3" w16cid:durableId="7069563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C05A4"/>
    <w:rsid w:val="000812B7"/>
    <w:rsid w:val="000D5353"/>
    <w:rsid w:val="001C72E5"/>
    <w:rsid w:val="004C05A4"/>
    <w:rsid w:val="005D2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2A3CE"/>
  <w15:docId w15:val="{FD10D83B-B334-4965-8B64-2FB8C63C3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ursinghome411.org/wp-content/uploads/2018/12/PBJ_PUF_Documentation_October_2018.pdf" TargetMode="External"/><Relationship Id="rId13" Type="http://schemas.openxmlformats.org/officeDocument/2006/relationships/hyperlink" Target="file:///C:\Users\egold\Downloads\pbjpedia-overview.md" TargetMode="External"/><Relationship Id="rId18" Type="http://schemas.openxmlformats.org/officeDocument/2006/relationships/hyperlink" Target="https://nursinghome411.org/wp-content/uploads/2018/12/PBJ_PUF_Documentation_October_2018.pdf" TargetMode="External"/><Relationship Id="rId3" Type="http://schemas.openxmlformats.org/officeDocument/2006/relationships/settings" Target="settings.xml"/><Relationship Id="rId21" Type="http://schemas.openxmlformats.org/officeDocument/2006/relationships/hyperlink" Target="https://nursinghome411.org/wp-content/uploads/2018/12/PBJ_PUF_Documentation_October_2018.pdf" TargetMode="External"/><Relationship Id="rId7" Type="http://schemas.openxmlformats.org/officeDocument/2006/relationships/hyperlink" Target="https://nursinghome411.org/wp-content/uploads/2018/12/PBJ_PUF_Documentation_October_2018.pdf" TargetMode="External"/><Relationship Id="rId12" Type="http://schemas.openxmlformats.org/officeDocument/2006/relationships/hyperlink" Target="https://nursinghome411.org/wp-content/uploads/2018/12/PBJ_PUF_Documentation_October_2018.pdf" TargetMode="External"/><Relationship Id="rId17" Type="http://schemas.openxmlformats.org/officeDocument/2006/relationships/hyperlink" Target="https://nursinghome411.org/wp-content/uploads/2018/12/PBJ_PUF_Documentation_October_2018.pdf" TargetMode="External"/><Relationship Id="rId2" Type="http://schemas.openxmlformats.org/officeDocument/2006/relationships/styles" Target="styles.xml"/><Relationship Id="rId16" Type="http://schemas.openxmlformats.org/officeDocument/2006/relationships/hyperlink" Target="file:///C:\Users\egold\Downloads\pbjpedia-data-limitations.md" TargetMode="External"/><Relationship Id="rId20" Type="http://schemas.openxmlformats.org/officeDocument/2006/relationships/hyperlink" Target="https://nursinghome411.org/wp-content/uploads/2018/12/PBJ_PUF_Documentation_October_2018.pdf" TargetMode="External"/><Relationship Id="rId1" Type="http://schemas.openxmlformats.org/officeDocument/2006/relationships/numbering" Target="numbering.xml"/><Relationship Id="rId6" Type="http://schemas.openxmlformats.org/officeDocument/2006/relationships/hyperlink" Target="https://nursinghome411.org/wp-content/uploads/2018/12/PBJ_PUF_Documentation_October_2018.pdf" TargetMode="External"/><Relationship Id="rId11" Type="http://schemas.openxmlformats.org/officeDocument/2006/relationships/hyperlink" Target="https://nursinghome411.org/wp-content/uploads/2018/12/PBJ_PUF_Documentation_October_2018.pdf" TargetMode="External"/><Relationship Id="rId5" Type="http://schemas.openxmlformats.org/officeDocument/2006/relationships/hyperlink" Target="https://nursinghome411.org/wp-content/uploads/2018/12/PBJ_PUF_Documentation_October_2018.pdf" TargetMode="External"/><Relationship Id="rId15" Type="http://schemas.openxmlformats.org/officeDocument/2006/relationships/hyperlink" Target="file:///C:\Users\egold\Downloads\pbjpedia-metrics.md" TargetMode="External"/><Relationship Id="rId23" Type="http://schemas.openxmlformats.org/officeDocument/2006/relationships/theme" Target="theme/theme1.xml"/><Relationship Id="rId10" Type="http://schemas.openxmlformats.org/officeDocument/2006/relationships/hyperlink" Target="https://nursinghome411.org/wp-content/uploads/2018/12/PBJ_PUF_Documentation_October_2018.pdf" TargetMode="External"/><Relationship Id="rId19" Type="http://schemas.openxmlformats.org/officeDocument/2006/relationships/hyperlink" Target="https://nursinghome411.org/wp-content/uploads/2018/12/PBJ_PUF_Documentation_October_2018.pdf" TargetMode="External"/><Relationship Id="rId4" Type="http://schemas.openxmlformats.org/officeDocument/2006/relationships/webSettings" Target="webSettings.xml"/><Relationship Id="rId9" Type="http://schemas.openxmlformats.org/officeDocument/2006/relationships/hyperlink" Target="https://nursinghome411.org/wp-content/uploads/2018/12/PBJ_PUF_Documentation_October_2018.pdf" TargetMode="External"/><Relationship Id="rId14" Type="http://schemas.openxmlformats.org/officeDocument/2006/relationships/hyperlink" Target="file:///C:\Users\egold\Downloads\pbjpedia-methodology.md"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912</Words>
  <Characters>5204</Characters>
  <Application>Microsoft Office Word</Application>
  <DocSecurity>0</DocSecurity>
  <Lines>43</Lines>
  <Paragraphs>12</Paragraphs>
  <ScaleCrop>false</ScaleCrop>
  <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Eric Goldwein</dc:creator>
  <cp:keywords/>
  <cp:lastModifiedBy>Eric Goldwein</cp:lastModifiedBy>
  <cp:revision>2</cp:revision>
  <dcterms:created xsi:type="dcterms:W3CDTF">2026-01-06T17:55:00Z</dcterms:created>
  <dcterms:modified xsi:type="dcterms:W3CDTF">2026-01-06T17:55:00Z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