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9C4D" w14:textId="5FFD5FBB" w:rsidR="0031292A" w:rsidRDefault="005A00DD" w:rsidP="008428C9">
      <w:pPr>
        <w:pStyle w:val="Heading2"/>
        <w:rPr>
          <w:lang w:val="en-US"/>
        </w:rPr>
      </w:pPr>
      <w:r>
        <w:rPr>
          <w:lang w:val="en-US"/>
        </w:rPr>
        <w:t>Project Summary: Finite Element Analysis for Options Pricing</w:t>
      </w:r>
      <w:r w:rsidR="008428C9">
        <w:rPr>
          <w:lang w:val="en-US"/>
        </w:rPr>
        <w:t xml:space="preserve"> (Focus on Call Options)</w:t>
      </w:r>
    </w:p>
    <w:p w14:paraId="7F85BBF8" w14:textId="5BF1C5EF" w:rsidR="009B0DD6" w:rsidRDefault="009B0DD6" w:rsidP="008428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</w:t>
      </w:r>
      <w:r w:rsidR="002F6B55">
        <w:rPr>
          <w:rFonts w:ascii="Times New Roman" w:hAnsi="Times New Roman" w:cs="Times New Roman"/>
          <w:sz w:val="24"/>
          <w:szCs w:val="24"/>
          <w:lang w:val="en-US"/>
        </w:rPr>
        <w:t xml:space="preserve">Contract: </w:t>
      </w:r>
      <w:r w:rsidR="000776D7">
        <w:rPr>
          <w:rFonts w:ascii="Times New Roman" w:hAnsi="Times New Roman" w:cs="Times New Roman"/>
          <w:sz w:val="24"/>
          <w:szCs w:val="24"/>
          <w:lang w:val="en-US"/>
        </w:rPr>
        <w:t>A contractual right but not an obligation to purchase (call option) or sell (put option) an asset</w:t>
      </w:r>
      <w:r w:rsidR="0049013A">
        <w:rPr>
          <w:rFonts w:ascii="Times New Roman" w:hAnsi="Times New Roman" w:cs="Times New Roman"/>
          <w:sz w:val="24"/>
          <w:szCs w:val="24"/>
          <w:lang w:val="en-US"/>
        </w:rPr>
        <w:t xml:space="preserve"> (typically in bundles of 100 stocks)</w:t>
      </w:r>
      <w:r w:rsidR="000776D7">
        <w:rPr>
          <w:rFonts w:ascii="Times New Roman" w:hAnsi="Times New Roman" w:cs="Times New Roman"/>
          <w:sz w:val="24"/>
          <w:szCs w:val="24"/>
          <w:lang w:val="en-US"/>
        </w:rPr>
        <w:t xml:space="preserve"> at a certain strike price by a certain maturity date. European option contracts only allow the contract to be exercised at the maturity date</w:t>
      </w:r>
      <w:r w:rsidR="001F12F8">
        <w:rPr>
          <w:rFonts w:ascii="Times New Roman" w:hAnsi="Times New Roman" w:cs="Times New Roman"/>
          <w:sz w:val="24"/>
          <w:szCs w:val="24"/>
          <w:lang w:val="en-US"/>
        </w:rPr>
        <w:t>. American option contracts allow the contract to be exercised prior to the maturity date as long as the option is in-the-money or at-the-money.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544"/>
        <w:gridCol w:w="2976"/>
      </w:tblGrid>
      <w:tr w:rsidR="00CF3520" w14:paraId="54CB26E3" w14:textId="77777777" w:rsidTr="00A02F35">
        <w:tc>
          <w:tcPr>
            <w:tcW w:w="2830" w:type="dxa"/>
          </w:tcPr>
          <w:p w14:paraId="7B6A6C42" w14:textId="77777777" w:rsidR="00CF3520" w:rsidRDefault="00CF3520" w:rsidP="008428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3CC817F0" w14:textId="3820EAA5" w:rsidR="00CF3520" w:rsidRDefault="00CF3520" w:rsidP="008428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Option</w:t>
            </w:r>
          </w:p>
        </w:tc>
        <w:tc>
          <w:tcPr>
            <w:tcW w:w="2976" w:type="dxa"/>
          </w:tcPr>
          <w:p w14:paraId="634B24AF" w14:textId="1C983655" w:rsidR="00CF3520" w:rsidRDefault="00CF3520" w:rsidP="008428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 Option</w:t>
            </w:r>
          </w:p>
        </w:tc>
      </w:tr>
      <w:tr w:rsidR="00CF3520" w14:paraId="7AE53EA7" w14:textId="77777777" w:rsidTr="00A02F35">
        <w:tc>
          <w:tcPr>
            <w:tcW w:w="2830" w:type="dxa"/>
          </w:tcPr>
          <w:p w14:paraId="109FC017" w14:textId="23E390D2" w:rsidR="00CF3520" w:rsidRDefault="00CF3520" w:rsidP="008428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In-the-money</w:t>
            </w:r>
            <w:r w:rsidR="00A02F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(ITM)</w:t>
            </w:r>
          </w:p>
        </w:tc>
        <w:tc>
          <w:tcPr>
            <w:tcW w:w="3544" w:type="dxa"/>
          </w:tcPr>
          <w:p w14:paraId="5B98DBDD" w14:textId="515AEBD2" w:rsidR="00CF3520" w:rsidRDefault="00CF3520" w:rsidP="008428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 Price (S) &gt; Strike Price (K)</w:t>
            </w:r>
          </w:p>
        </w:tc>
        <w:tc>
          <w:tcPr>
            <w:tcW w:w="2976" w:type="dxa"/>
          </w:tcPr>
          <w:p w14:paraId="12379F41" w14:textId="6335632E" w:rsidR="00CF3520" w:rsidRDefault="00CF3520" w:rsidP="008428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&lt; K</w:t>
            </w:r>
          </w:p>
        </w:tc>
      </w:tr>
      <w:tr w:rsidR="00CF3520" w14:paraId="78A61F64" w14:textId="77777777" w:rsidTr="00A02F35">
        <w:tc>
          <w:tcPr>
            <w:tcW w:w="2830" w:type="dxa"/>
          </w:tcPr>
          <w:p w14:paraId="47A175CB" w14:textId="6CF1296A" w:rsidR="00CF3520" w:rsidRDefault="00CF3520" w:rsidP="008428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Out-of-the-money</w:t>
            </w:r>
            <w:r w:rsidR="00A02F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(OTM)</w:t>
            </w:r>
          </w:p>
        </w:tc>
        <w:tc>
          <w:tcPr>
            <w:tcW w:w="3544" w:type="dxa"/>
          </w:tcPr>
          <w:p w14:paraId="1830C098" w14:textId="32927863" w:rsidR="00CF3520" w:rsidRDefault="00CF3520" w:rsidP="008428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&lt; K</w:t>
            </w:r>
          </w:p>
        </w:tc>
        <w:tc>
          <w:tcPr>
            <w:tcW w:w="2976" w:type="dxa"/>
          </w:tcPr>
          <w:p w14:paraId="21594483" w14:textId="18EB73AD" w:rsidR="00CF3520" w:rsidRDefault="00CF3520" w:rsidP="008428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&gt; K</w:t>
            </w:r>
          </w:p>
        </w:tc>
      </w:tr>
      <w:tr w:rsidR="00CF3520" w14:paraId="67624089" w14:textId="77777777" w:rsidTr="00A02F35">
        <w:tc>
          <w:tcPr>
            <w:tcW w:w="2830" w:type="dxa"/>
          </w:tcPr>
          <w:p w14:paraId="180F3C50" w14:textId="76FC0E00" w:rsidR="00CF3520" w:rsidRDefault="00CF3520" w:rsidP="008428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At-the-money</w:t>
            </w:r>
            <w:r w:rsidR="00A02F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(ATM)</w:t>
            </w:r>
          </w:p>
        </w:tc>
        <w:tc>
          <w:tcPr>
            <w:tcW w:w="3544" w:type="dxa"/>
          </w:tcPr>
          <w:p w14:paraId="1B897BA4" w14:textId="1FF2A31A" w:rsidR="00CF3520" w:rsidRDefault="00CF3520" w:rsidP="008428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K</w:t>
            </w:r>
          </w:p>
        </w:tc>
        <w:tc>
          <w:tcPr>
            <w:tcW w:w="2976" w:type="dxa"/>
          </w:tcPr>
          <w:p w14:paraId="04590D5C" w14:textId="1C682DF3" w:rsidR="00CF3520" w:rsidRDefault="00CF3520" w:rsidP="008428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K</w:t>
            </w:r>
          </w:p>
        </w:tc>
      </w:tr>
    </w:tbl>
    <w:p w14:paraId="18B17082" w14:textId="60A2557E" w:rsidR="001F12F8" w:rsidRDefault="00A02F35" w:rsidP="008428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contracts </w:t>
      </w:r>
      <w:r w:rsidR="00F3052A">
        <w:rPr>
          <w:rFonts w:ascii="Times New Roman" w:hAnsi="Times New Roman" w:cs="Times New Roman"/>
          <w:sz w:val="24"/>
          <w:szCs w:val="24"/>
          <w:lang w:val="en-US"/>
        </w:rPr>
        <w:t>expire worthless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if it is OTM</w:t>
      </w:r>
      <w:r w:rsidR="00F3052A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195337">
        <w:rPr>
          <w:rFonts w:ascii="Times New Roman" w:hAnsi="Times New Roman" w:cs="Times New Roman"/>
          <w:sz w:val="24"/>
          <w:szCs w:val="24"/>
          <w:lang w:val="en-US"/>
        </w:rPr>
        <w:t>maturity and</w:t>
      </w:r>
      <w:r w:rsidR="00F3052A">
        <w:rPr>
          <w:rFonts w:ascii="Times New Roman" w:hAnsi="Times New Roman" w:cs="Times New Roman"/>
          <w:sz w:val="24"/>
          <w:szCs w:val="24"/>
          <w:lang w:val="en-US"/>
        </w:rPr>
        <w:t xml:space="preserve"> are automatically exercised if ITM/ATM</w:t>
      </w:r>
      <w:r w:rsidR="0049013A">
        <w:rPr>
          <w:rFonts w:ascii="Times New Roman" w:hAnsi="Times New Roman" w:cs="Times New Roman"/>
          <w:sz w:val="24"/>
          <w:szCs w:val="24"/>
          <w:lang w:val="en-US"/>
        </w:rPr>
        <w:t xml:space="preserve">. Buying and selling option contracts </w:t>
      </w:r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49013A">
        <w:rPr>
          <w:rFonts w:ascii="Times New Roman" w:hAnsi="Times New Roman" w:cs="Times New Roman"/>
          <w:sz w:val="24"/>
          <w:szCs w:val="24"/>
          <w:lang w:val="en-US"/>
        </w:rPr>
        <w:t xml:space="preserve"> allowed at any time the market is open.</w:t>
      </w:r>
    </w:p>
    <w:p w14:paraId="497A1E5F" w14:textId="3D32E2DA" w:rsidR="0049013A" w:rsidRPr="0049013A" w:rsidRDefault="0049013A" w:rsidP="008428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Black-Scholes PDE: A PDE that is used to determine European options pricing. Works for both calls and puts.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9013A" w14:paraId="104CB381" w14:textId="77777777" w:rsidTr="00297A3C">
        <w:tc>
          <w:tcPr>
            <w:tcW w:w="4675" w:type="dxa"/>
            <w:vAlign w:val="center"/>
          </w:tcPr>
          <w:p w14:paraId="2733B30A" w14:textId="6E9255F5" w:rsidR="0049013A" w:rsidRDefault="0049013A" w:rsidP="008428C9">
            <w:pPr>
              <w:jc w:val="center"/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Classical Black-Scholes PDE</w:t>
            </w:r>
            <w:r w:rsidR="00297A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675" w:type="dxa"/>
            <w:vAlign w:val="center"/>
          </w:tcPr>
          <w:p w14:paraId="0568608D" w14:textId="02F76BD5" w:rsidR="0049013A" w:rsidRDefault="00195337" w:rsidP="008428C9">
            <w:pPr>
              <w:jc w:val="center"/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-rS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∂S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-rV=0</m:t>
                </m:r>
              </m:oMath>
            </m:oMathPara>
          </w:p>
        </w:tc>
      </w:tr>
      <w:tr w:rsidR="0049013A" w14:paraId="339C97DA" w14:textId="77777777" w:rsidTr="00297A3C">
        <w:tc>
          <w:tcPr>
            <w:tcW w:w="4675" w:type="dxa"/>
            <w:vAlign w:val="center"/>
          </w:tcPr>
          <w:p w14:paraId="698F0AC4" w14:textId="7EF88F5C" w:rsidR="0049013A" w:rsidRPr="00297A3C" w:rsidRDefault="00297A3C" w:rsidP="008428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Transformed Black-Scholes PDE:</w:t>
            </w:r>
          </w:p>
        </w:tc>
        <w:tc>
          <w:tcPr>
            <w:tcW w:w="4675" w:type="dxa"/>
            <w:vAlign w:val="center"/>
          </w:tcPr>
          <w:p w14:paraId="2F9CF62B" w14:textId="4DE65154" w:rsidR="0049013A" w:rsidRDefault="00195337" w:rsidP="008428C9">
            <w:pPr>
              <w:jc w:val="center"/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20145C4E" w14:textId="4E5C84F6" w:rsidR="0049013A" w:rsidRPr="00297A3C" w:rsidRDefault="0049013A" w:rsidP="008428C9">
      <w:pPr>
        <w:spacing w:line="240" w:lineRule="auto"/>
        <w:rPr>
          <w:rFonts w:ascii="Cambria Math" w:eastAsiaTheme="minorEastAsia" w:hAnsi="Cambria Math" w:cs="Times New Roman"/>
          <w:i/>
          <w:sz w:val="24"/>
          <w:szCs w:val="24"/>
          <w:lang w:val="en-US"/>
        </w:rPr>
      </w:pPr>
      <w:r w:rsidRPr="0049013A">
        <w:rPr>
          <w:rFonts w:ascii="Cambria Math" w:hAnsi="Cambria Math" w:cs="Times New Roman"/>
          <w:i/>
          <w:sz w:val="24"/>
          <w:szCs w:val="24"/>
          <w:lang w:val="en-US"/>
        </w:rPr>
        <w:br/>
      </w:r>
      <w:r w:rsidR="00297A3C">
        <w:rPr>
          <w:rFonts w:ascii="Times New Roman" w:hAnsi="Times New Roman" w:cs="Times New Roman"/>
          <w:sz w:val="24"/>
          <w:szCs w:val="24"/>
          <w:lang w:val="en-US"/>
        </w:rPr>
        <w:t xml:space="preserve">The classical Black-Scholes PDE has top, bottom, and terminal boundary conditions. To convert the terminal condition to an initial condition, define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τ=T-t</m:t>
        </m:r>
      </m:oMath>
      <w:r w:rsidR="00297A3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and the PDE becomes: </w:t>
      </w:r>
      <w:r w:rsidR="00297A3C" w:rsidRPr="00297A3C">
        <w:rPr>
          <w:rFonts w:ascii="Cambria Math" w:hAnsi="Cambria Math" w:cs="Times New Roman"/>
          <w:i/>
          <w:sz w:val="24"/>
          <w:szCs w:val="24"/>
          <w:lang w:val="en-US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∂τ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-rS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-rV=0</m:t>
          </m:r>
        </m:oMath>
      </m:oMathPara>
    </w:p>
    <w:p w14:paraId="643ED7E5" w14:textId="77777777" w:rsidR="008428C9" w:rsidRDefault="008428C9" w:rsidP="008428C9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Boundary conditions for call option contracts: </w:t>
      </w:r>
    </w:p>
    <w:p w14:paraId="405F8283" w14:textId="394A324C" w:rsidR="008428C9" w:rsidRPr="00081875" w:rsidRDefault="008428C9" w:rsidP="008428C9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  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∞,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=S-K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-r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  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S, 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(S-K, 0)</m:t>
        </m:r>
      </m:oMath>
    </w:p>
    <w:p w14:paraId="6F991AAC" w14:textId="77777777" w:rsidR="008428C9" w:rsidRDefault="008428C9" w:rsidP="008428C9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Boundary conditions for put option contracts: </w:t>
      </w:r>
    </w:p>
    <w:p w14:paraId="618BCFCA" w14:textId="2E954EC8" w:rsidR="008428C9" w:rsidRDefault="008428C9" w:rsidP="008428C9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 K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-r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,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∞,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,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S, 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(K-S, 0)</m:t>
        </m:r>
      </m:oMath>
    </w:p>
    <w:p w14:paraId="30FC10D2" w14:textId="620CE4D2" w:rsidR="008428C9" w:rsidRDefault="00371B52" w:rsidP="008428C9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The boundary conditions use the time value of money and assumes continuous compounding</w:t>
      </w:r>
      <w:r w:rsidR="0015362D">
        <w:rPr>
          <w:rFonts w:ascii="Times New Roman" w:eastAsiaTheme="minorEastAsia" w:hAnsi="Times New Roman" w:cs="Times New Roman"/>
          <w:sz w:val="24"/>
          <w:szCs w:val="24"/>
          <w:lang w:val="en-US"/>
        </w:rPr>
        <w:t>. The difference between the FE model of call option and a put option are the boundary conditions. Focus of this project is on call options.</w:t>
      </w:r>
    </w:p>
    <w:p w14:paraId="23B348F9" w14:textId="07EB0183" w:rsidR="0015362D" w:rsidRDefault="004650B4" w:rsidP="008428C9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Three models were created and compared</w:t>
      </w:r>
      <w:r w:rsidR="00A70C2F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, also with a theoretical solution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3E7B099E" w14:textId="66D22C43" w:rsidR="004650B4" w:rsidRDefault="004650B4" w:rsidP="004650B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Finite difference model </w:t>
      </w:r>
      <w:r w:rsidR="00AE38D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using the classical Black-Scholes PDE and applying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central differencing </w:t>
      </w:r>
      <w:r w:rsidR="00AE38D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to the stock price dimension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and Crank-Nicolson</w:t>
      </w:r>
      <w:r w:rsidR="00AE38D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to the time dimension</w:t>
      </w:r>
    </w:p>
    <w:p w14:paraId="38F6EAB5" w14:textId="77777777" w:rsidR="00AE38D6" w:rsidRDefault="004650B4" w:rsidP="00AE38D6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Finite element model using the classical Black-Scholes PDE</w:t>
      </w:r>
      <w:r w:rsidR="00AE38D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and applying 1D </w:t>
      </w:r>
      <w:proofErr w:type="spellStart"/>
      <w:r w:rsidR="00AE38D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Galerkin</w:t>
      </w:r>
      <w:proofErr w:type="spellEnd"/>
      <w:r w:rsidR="00AE38D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Method of Weighted Residuals (GMWR) to the stock price dimension and Crank-Nicolson to the time dimension</w:t>
      </w:r>
    </w:p>
    <w:p w14:paraId="09F1DA78" w14:textId="4CAAD321" w:rsidR="004650B4" w:rsidRDefault="00AE38D6" w:rsidP="00AE38D6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Finite element model using the transformed Black-Scholes PDE and applying 1D GMWR to the stock price dimension and Crank-Nicolson to the time dimension</w:t>
      </w:r>
    </w:p>
    <w:p w14:paraId="507268F0" w14:textId="4452A97A" w:rsidR="00AE38D6" w:rsidRDefault="00AE38D6" w:rsidP="00A70C2F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Made a mistake on the second model and cannot find the mistake. It is wrong.</w:t>
      </w:r>
    </w:p>
    <w:p w14:paraId="323C740E" w14:textId="308AEC89" w:rsidR="00AE38D6" w:rsidRDefault="00A70C2F" w:rsidP="00A70C2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lastRenderedPageBreak/>
        <w:t xml:space="preserve">Theoretical solution: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Call Option Price=S*N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-K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-rτ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*N(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</w:p>
    <w:p w14:paraId="2C24D968" w14:textId="19CA51AF" w:rsidR="00A70C2F" w:rsidRPr="00081875" w:rsidRDefault="00195337" w:rsidP="00A70C2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</m:rad>
          </m:den>
        </m:f>
      </m:oMath>
      <w:r w:rsidR="00A70C2F" w:rsidRPr="0008187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 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</m:rad>
          </m:den>
        </m:f>
      </m:oMath>
    </w:p>
    <w:p w14:paraId="5CA11EBB" w14:textId="2D13A00D" w:rsidR="00A70C2F" w:rsidRDefault="00A70C2F" w:rsidP="00AE38D6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Example mesh using model 1:</w:t>
      </w:r>
    </w:p>
    <w:p w14:paraId="64EFCDFD" w14:textId="47621AFC" w:rsidR="00A70C2F" w:rsidRDefault="00A70C2F" w:rsidP="00AE38D6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0818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544BBD" wp14:editId="03637A18">
            <wp:extent cx="5731801" cy="2154804"/>
            <wp:effectExtent l="0" t="0" r="2540" b="0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rfac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630" cy="2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FD68" w14:textId="202CD0B5" w:rsidR="00A70C2F" w:rsidRDefault="00A70C2F" w:rsidP="00AE38D6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0818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D872D7" wp14:editId="45E16B3E">
            <wp:extent cx="4460682" cy="30008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153" cy="3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7F53" w14:textId="7AD2CB1E" w:rsidR="00A70C2F" w:rsidRDefault="00A70C2F" w:rsidP="00AE38D6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Example mesh using model 3:</w:t>
      </w:r>
    </w:p>
    <w:p w14:paraId="03C72FDE" w14:textId="3F6EEDC9" w:rsidR="00A70C2F" w:rsidRDefault="00A70C2F" w:rsidP="00AE38D6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0818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996B12" wp14:editId="25CD83F2">
            <wp:extent cx="5731447" cy="2145638"/>
            <wp:effectExtent l="0" t="0" r="3175" b="7620"/>
            <wp:docPr id="29" name="Picture 2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surfac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079" cy="21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069F" w14:textId="063DBE16" w:rsidR="00A70C2F" w:rsidRDefault="00A70C2F" w:rsidP="00AE38D6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0818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80F301" wp14:editId="2704B893">
            <wp:extent cx="4460240" cy="33431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943" cy="34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0CBD" w14:textId="70F4D00F" w:rsidR="00F3052A" w:rsidRDefault="00F3052A" w:rsidP="00AE38C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For model 3, the boundary conditions are modified to be in terms of F and x, and they must be converted back to </w:t>
      </w:r>
      <w:r w:rsidR="00A47A1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and </w:t>
      </w:r>
      <w:r w:rsidR="00A47A1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when plotting the mesh.</w:t>
      </w:r>
      <w:r w:rsidR="00A47A1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403FA">
        <w:rPr>
          <w:rFonts w:ascii="Times New Roman" w:eastAsiaTheme="minorEastAsia" w:hAnsi="Times New Roman" w:cs="Times New Roman"/>
          <w:sz w:val="24"/>
          <w:szCs w:val="24"/>
          <w:lang w:val="en-US"/>
        </w:rPr>
        <w:t>All m</w:t>
      </w:r>
      <w:r w:rsidR="00A47A11">
        <w:rPr>
          <w:rFonts w:ascii="Times New Roman" w:eastAsiaTheme="minorEastAsia" w:hAnsi="Times New Roman" w:cs="Times New Roman"/>
          <w:sz w:val="24"/>
          <w:szCs w:val="24"/>
          <w:lang w:val="en-US"/>
        </w:rPr>
        <w:t>esh</w:t>
      </w:r>
      <w:r w:rsidR="000403FA">
        <w:rPr>
          <w:rFonts w:ascii="Times New Roman" w:eastAsiaTheme="minorEastAsia" w:hAnsi="Times New Roman" w:cs="Times New Roman"/>
          <w:sz w:val="24"/>
          <w:szCs w:val="24"/>
          <w:lang w:val="en-US"/>
        </w:rPr>
        <w:t>es</w:t>
      </w:r>
      <w:r w:rsidR="00A47A1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plotted with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τ</m:t>
        </m:r>
      </m:oMath>
      <w:r w:rsidR="00A47A11">
        <w:rPr>
          <w:rFonts w:ascii="Times New Roman" w:eastAsiaTheme="minorEastAsia" w:hAnsi="Times New Roman" w:cs="Times New Roman"/>
          <w:sz w:val="24"/>
          <w:szCs w:val="24"/>
          <w:lang w:val="en-US"/>
        </w:rPr>
        <w:t>, not t.</w:t>
      </w:r>
    </w:p>
    <w:p w14:paraId="7CB469DA" w14:textId="5C64B9AE" w:rsidR="00A47A11" w:rsidRDefault="008B58E7" w:rsidP="00AE38C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Transformation Variables: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=V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sup>
        </m:sSup>
      </m:oMath>
      <w:r w:rsidR="00A47A11" w:rsidRPr="0008187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+(r-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)τ</m:t>
        </m:r>
      </m:oMath>
      <w:r w:rsidR="00A47A11" w:rsidRPr="00081875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A47A1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τ=T-t</m:t>
        </m:r>
      </m:oMath>
    </w:p>
    <w:p w14:paraId="65372637" w14:textId="0AB7E3A2" w:rsidR="004B1EAE" w:rsidRPr="00AE38CF" w:rsidRDefault="004B1EAE" w:rsidP="00AE38D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8B58E7">
        <w:rPr>
          <w:rFonts w:ascii="Times New Roman" w:eastAsiaTheme="minorEastAsia" w:hAnsi="Times New Roman" w:cs="Times New Roman"/>
          <w:sz w:val="24"/>
          <w:szCs w:val="24"/>
          <w:lang w:val="en-US"/>
        </w:rPr>
        <w:t>Cs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∞,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-K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-r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x, 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max⁡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-K, 0)</m:t>
        </m:r>
      </m:oMath>
    </w:p>
    <w:p w14:paraId="012F531E" w14:textId="584BB1AC" w:rsidR="00A47A11" w:rsidRPr="00AE38D6" w:rsidRDefault="00A70C2F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For some reason, the finite difference model is more accurate than the finite element model. </w:t>
      </w:r>
      <w:r w:rsidR="0065095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Online sources seemed to have found the same trend</w:t>
      </w:r>
      <w:r w:rsidR="00F634A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(sanity check).</w:t>
      </w:r>
    </w:p>
    <w:sectPr w:rsidR="00A47A11" w:rsidRPr="00AE3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7CBF"/>
    <w:multiLevelType w:val="hybridMultilevel"/>
    <w:tmpl w:val="439A018C"/>
    <w:lvl w:ilvl="0" w:tplc="F4FC1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65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0C"/>
    <w:rsid w:val="000403FA"/>
    <w:rsid w:val="000776D7"/>
    <w:rsid w:val="0015362D"/>
    <w:rsid w:val="00195337"/>
    <w:rsid w:val="001F12F8"/>
    <w:rsid w:val="00267957"/>
    <w:rsid w:val="00297A3C"/>
    <w:rsid w:val="002E494A"/>
    <w:rsid w:val="002F6B55"/>
    <w:rsid w:val="0031292A"/>
    <w:rsid w:val="0036150C"/>
    <w:rsid w:val="00371B52"/>
    <w:rsid w:val="004650B4"/>
    <w:rsid w:val="0049013A"/>
    <w:rsid w:val="004B1EAE"/>
    <w:rsid w:val="005A00DD"/>
    <w:rsid w:val="0065095B"/>
    <w:rsid w:val="008428C9"/>
    <w:rsid w:val="008B58E7"/>
    <w:rsid w:val="009546A0"/>
    <w:rsid w:val="009B0DD6"/>
    <w:rsid w:val="00A02F35"/>
    <w:rsid w:val="00A47A11"/>
    <w:rsid w:val="00A70C2F"/>
    <w:rsid w:val="00AE38CF"/>
    <w:rsid w:val="00AE38D6"/>
    <w:rsid w:val="00CF3520"/>
    <w:rsid w:val="00F3052A"/>
    <w:rsid w:val="00F6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F710"/>
  <w15:chartTrackingRefBased/>
  <w15:docId w15:val="{6F3E6F08-4233-46E8-BD3B-4A13B616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90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2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50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7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</dc:creator>
  <cp:keywords/>
  <dc:description/>
  <cp:lastModifiedBy>Eric Shi</cp:lastModifiedBy>
  <cp:revision>38</cp:revision>
  <dcterms:created xsi:type="dcterms:W3CDTF">2022-04-06T10:28:00Z</dcterms:created>
  <dcterms:modified xsi:type="dcterms:W3CDTF">2022-04-06T23:06:00Z</dcterms:modified>
</cp:coreProperties>
</file>