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left"/>
      </w:pPr>
      <w:r>
        <w:rPr>
          <w:rFonts w:ascii="Aptos" w:hAnsi="Aptos"/>
          <w:b/>
          <w:color w:val="0F172A"/>
          <w:sz w:val="84"/>
        </w:rPr>
        <w:t>PAUTA</w:t>
      </w:r>
    </w:p>
    <w:p>
      <w:pPr>
        <w:spacing w:after="80"/>
      </w:pPr>
      <w:r>
        <w:rPr>
          <w:rFonts w:ascii="Aptos" w:hAnsi="Aptos"/>
          <w:b/>
          <w:color w:val="2563EB"/>
          <w:sz w:val="36"/>
        </w:rPr>
        <w:t>University Assessment Coach</w:t>
      </w:r>
    </w:p>
    <w:p>
      <w:pPr>
        <w:spacing w:after="360"/>
      </w:pPr>
      <w:r>
        <w:rPr>
          <w:rFonts w:ascii="Aptos" w:hAnsi="Aptos"/>
          <w:color w:val="475569"/>
          <w:sz w:val="26"/>
        </w:rPr>
        <w:t>Concepto de producto, posicionamiento, marca y plan de validación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9648"/>
      </w:tblGrid>
      <w:tr>
        <w:trPr>
          <w:cantSplit/>
        </w:trPr>
        <w:tc>
          <w:tcPr>
            <w:tcW w:type="dxa" w:w="5040"/>
            <w:shd w:fill="0F766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/>
        </w:tc>
        <w:tc>
          <w:tcPr>
            <w:tcW w:type="dxa" w:w="5040"/>
            <w:shd w:fill="F0FD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color w:val="0F172A"/>
                <w:sz w:val="20"/>
              </w:rPr>
              <w:t>Propuesta central</w:t>
              <w:br/>
            </w:r>
            <w:r>
              <w:rPr>
                <w:rFonts w:ascii="Aptos" w:hAnsi="Aptos"/>
                <w:color w:val="475569"/>
                <w:sz w:val="19"/>
              </w:rPr>
              <w:t>El estudiante sube una PAC/PEC o prueba, añade sus materiales si los necesita y recibe un workflow específico: qué le piden, qué estudiar, cómo abordar cada ejercicio y cómo revisar su propia entrega. El producto vende tiempo ahorrado y claridad, no un chat genérico.</w:t>
            </w:r>
          </w:p>
        </w:tc>
      </w:tr>
    </w:tbl>
    <w:p>
      <w:pPr>
        <w:spacing w:after="20"/>
      </w:pPr>
    </w:p>
    <w:p>
      <w:pPr>
        <w:spacing w:before="360"/>
      </w:pPr>
      <w:r>
        <w:rPr>
          <w:rFonts w:ascii="Aptos" w:hAnsi="Aptos"/>
          <w:b/>
          <w:color w:val="0F172A"/>
          <w:sz w:val="20"/>
        </w:rPr>
        <w:t>Principio de diseño</w:t>
      </w:r>
    </w:p>
    <w:p>
      <w:r>
        <w:rPr>
          <w:rFonts w:ascii="Aptos" w:hAnsi="Aptos"/>
          <w:b/>
          <w:color w:val="2563EB"/>
          <w:sz w:val="36"/>
        </w:rPr>
        <w:t>Más específico que ChatGPT. Mucho más económico y automático que un servicio humano.</w:t>
      </w:r>
    </w:p>
    <w:p>
      <w:pPr>
        <w:spacing w:before="720"/>
      </w:pPr>
      <w:r>
        <w:rPr>
          <w:rFonts w:ascii="Aptos" w:hAnsi="Aptos"/>
          <w:b/>
          <w:color w:val="0F766E"/>
          <w:sz w:val="20"/>
        </w:rPr>
        <w:t>Estado: CANDIDATA A VALIDAR</w:t>
      </w:r>
    </w:p>
    <w:p>
      <w:r>
        <w:rPr>
          <w:rFonts w:ascii="Aptos" w:hAnsi="Aptos"/>
          <w:color w:val="475569"/>
          <w:sz w:val="19"/>
        </w:rPr>
        <w:t>MVP objetivo: 10 días · Mercado inicial: UOC · Modelo: pago por uso</w:t>
      </w:r>
    </w:p>
    <w:p>
      <w:r>
        <w:br w:type="page"/>
      </w:r>
    </w:p>
    <w:p>
      <w:pPr>
        <w:pStyle w:val="Heading1"/>
        <w:spacing w:before="160" w:after="80"/>
      </w:pPr>
      <w:r>
        <w:rPr>
          <w:rFonts w:ascii="Aptos" w:hAnsi="Aptos"/>
          <w:b/>
          <w:color w:val="0F172A"/>
          <w:sz w:val="40"/>
        </w:rPr>
        <w:t>1. Resumen ejecutivo</w:t>
      </w:r>
    </w:p>
    <w:p>
      <w:pPr>
        <w:spacing w:after="80" w:line="259" w:lineRule="auto"/>
      </w:pPr>
      <w:r>
        <w:rPr>
          <w:rFonts w:ascii="Aptos" w:hAnsi="Aptos"/>
          <w:color w:val="475569"/>
          <w:sz w:val="19"/>
        </w:rPr>
        <w:t>Pauta es un producto EdTech self-service orientado a estudiantes de universidades online con evaluación continua. El punto de entrada es una PAC/PEC/prueba concreta: el usuario sube el enunciado y, opcionalmente, los materiales de la asignatura. La aplicación convierte ese contenido en una ruta estructurada de estudio, una guía de resolución y una revisión previa a la entrega.</w:t>
      </w:r>
    </w:p>
    <w:p>
      <w:pPr>
        <w:spacing w:after="80" w:line="259" w:lineRule="auto"/>
      </w:pPr>
      <w:r>
        <w:rPr>
          <w:rFonts w:ascii="Aptos" w:hAnsi="Aptos"/>
          <w:color w:val="475569"/>
          <w:sz w:val="19"/>
        </w:rPr>
        <w:t>La tesis de negocio es simple: existe demanda demostrada por ayuda específica en PACs, pero la oferta especializada actual tiende a ser humana y cara; al mismo tiempo, ChatGPT es barato/generalista pero exige prompting, contexto y criterio por parte del alumno. Pauta intenta ocupar el hueco entre ambos extremos.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448"/>
            <w:shd w:fill="0F172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Elemento</w:t>
            </w:r>
          </w:p>
        </w:tc>
        <w:tc>
          <w:tcPr>
            <w:tcW w:type="dxa" w:w="7056"/>
            <w:shd w:fill="0F172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Decisión inicial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Mercado inicial</w:t>
            </w:r>
          </w:p>
        </w:tc>
        <w:tc>
          <w:tcPr>
            <w:tcW w:type="dxa" w:w="705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UOC; ampliar solo si valida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Cliente</w:t>
            </w:r>
          </w:p>
        </w:tc>
        <w:tc>
          <w:tcPr>
            <w:tcW w:type="dxa" w:w="7056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Estudiante con una PAC/PEC actual y poco tiempo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Modelo</w:t>
            </w:r>
          </w:p>
        </w:tc>
        <w:tc>
          <w:tcPr>
            <w:tcW w:type="dxa" w:w="705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Freemium + pago por operación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Precio ancla</w:t>
            </w:r>
          </w:p>
        </w:tc>
        <w:tc>
          <w:tcPr>
            <w:tcW w:type="dxa" w:w="7056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4,99 € / 6,99 € / 9,99–11,99 €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Canal principal</w:t>
            </w:r>
          </w:p>
        </w:tc>
        <w:tc>
          <w:tcPr>
            <w:tcW w:type="dxa" w:w="705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SEO long-tail + PAC Analyzer gratuito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Ventaja</w:t>
            </w:r>
          </w:p>
        </w:tc>
        <w:tc>
          <w:tcPr>
            <w:tcW w:type="dxa" w:w="7056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Workflow específico + materiales + rúbrica + trazabilidad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MVP</w:t>
            </w:r>
          </w:p>
        </w:tc>
        <w:tc>
          <w:tcPr>
            <w:tcW w:type="dxa" w:w="705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Upload → Analyzer → Study Pack / Guided Plan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Objetivo de validación</w:t>
            </w:r>
          </w:p>
        </w:tc>
        <w:tc>
          <w:tcPr>
            <w:tcW w:type="dxa" w:w="7056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Demostrar pago real antes de construir una biblioteca extensa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9648"/>
      </w:tblGrid>
      <w:tr>
        <w:trPr>
          <w:cantSplit/>
        </w:trPr>
        <w:tc>
          <w:tcPr>
            <w:tcW w:type="dxa" w:w="5040"/>
            <w:shd w:fill="F59E0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/>
        </w:tc>
        <w:tc>
          <w:tcPr>
            <w:tcW w:type="dxa" w:w="5040"/>
            <w:shd w:fill="FFF7E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color w:val="0F172A"/>
                <w:sz w:val="20"/>
              </w:rPr>
              <w:t>Regla de supervivencia</w:t>
              <w:br/>
            </w:r>
            <w:r>
              <w:rPr>
                <w:rFonts w:ascii="Aptos" w:hAnsi="Aptos"/>
                <w:color w:val="475569"/>
                <w:sz w:val="19"/>
              </w:rPr>
              <w:t>Si un estudiante obtiene prácticamente lo mismo pegando un prompt sencillo en ChatGPT, el producto no tiene ventaja suficiente. Cada feature debe ahorrar pasos, aportar contexto o aumentar confianza de forma visible.</w:t>
            </w:r>
          </w:p>
        </w:tc>
      </w:tr>
    </w:tbl>
    <w:p>
      <w:pPr>
        <w:spacing w:after="20"/>
      </w:pPr>
    </w:p>
    <w:p>
      <w:pPr>
        <w:pStyle w:val="Heading1"/>
        <w:spacing w:before="160" w:after="80"/>
      </w:pPr>
      <w:r>
        <w:rPr>
          <w:rFonts w:ascii="Aptos" w:hAnsi="Aptos"/>
          <w:b/>
          <w:color w:val="0F172A"/>
          <w:sz w:val="40"/>
        </w:rPr>
        <w:t>2. Problema que resolvemos</w:t>
      </w:r>
    </w:p>
    <w:p>
      <w:pPr>
        <w:pStyle w:val="ListBullet"/>
        <w:spacing w:after="40"/>
        <w:ind w:left="317"/>
      </w:pPr>
      <w:r>
        <w:rPr>
          <w:rFonts w:ascii="Aptos" w:hAnsi="Aptos"/>
          <w:color w:val="475569"/>
          <w:sz w:val="19"/>
        </w:rPr>
        <w:t>Descifrar qué pide realmente una actividad consume tiempo antes de empezar a resolverla.</w:t>
      </w:r>
    </w:p>
    <w:p>
      <w:pPr>
        <w:pStyle w:val="ListBullet"/>
        <w:spacing w:after="40"/>
        <w:ind w:left="317"/>
      </w:pPr>
      <w:r>
        <w:rPr>
          <w:rFonts w:ascii="Aptos" w:hAnsi="Aptos"/>
          <w:color w:val="475569"/>
          <w:sz w:val="19"/>
        </w:rPr>
        <w:t>Los materiales suelen estar dispersos entre PDFs, recursos del aula, rúbricas y referencias.</w:t>
      </w:r>
    </w:p>
    <w:p>
      <w:pPr>
        <w:pStyle w:val="ListBullet"/>
        <w:spacing w:after="40"/>
        <w:ind w:left="317"/>
      </w:pPr>
      <w:r>
        <w:rPr>
          <w:rFonts w:ascii="Aptos" w:hAnsi="Aptos"/>
          <w:color w:val="475569"/>
          <w:sz w:val="19"/>
        </w:rPr>
        <w:t>Un asistente generalista requiere que el alumno sepa qué subir, cómo preguntar y cómo verificar la respuesta.</w:t>
      </w:r>
    </w:p>
    <w:p>
      <w:pPr>
        <w:pStyle w:val="ListBullet"/>
        <w:spacing w:after="40"/>
        <w:ind w:left="317"/>
      </w:pPr>
      <w:r>
        <w:rPr>
          <w:rFonts w:ascii="Aptos" w:hAnsi="Aptos"/>
          <w:color w:val="475569"/>
          <w:sz w:val="19"/>
        </w:rPr>
        <w:t>Los servicios humanos especializados son más caros y requieren coordinación, tiempos de entrega y contacto.</w:t>
      </w:r>
    </w:p>
    <w:p>
      <w:pPr>
        <w:pStyle w:val="ListBullet"/>
        <w:spacing w:after="40"/>
        <w:ind w:left="317"/>
      </w:pPr>
      <w:r>
        <w:rPr>
          <w:rFonts w:ascii="Aptos" w:hAnsi="Aptos"/>
          <w:color w:val="475569"/>
          <w:sz w:val="19"/>
        </w:rPr>
        <w:t>Antes de entregar, el estudiante suele carecer de una revisión estructurada contra requisitos y rúbrica.</w:t>
      </w:r>
    </w:p>
    <w:p>
      <w:pPr>
        <w:spacing w:after="80" w:line="259" w:lineRule="auto"/>
      </w:pPr>
      <w:r>
        <w:rPr>
          <w:rFonts w:ascii="Aptos" w:hAnsi="Aptos"/>
          <w:color w:val="475569"/>
          <w:sz w:val="19"/>
        </w:rPr>
        <w:t>El producto no intenta sustituir el estudio. Su objetivo es reducir fricción administrativa y cognitiva: pasar de “tengo un PDF y no sé por dónde empezar” a “sé exactamente qué estudiar, qué pasos seguir y qué debo revisar”.</w:t>
      </w:r>
    </w:p>
    <w:p>
      <w:r>
        <w:br w:type="page"/>
      </w:r>
    </w:p>
    <w:p>
      <w:pPr>
        <w:pStyle w:val="Heading1"/>
        <w:spacing w:before="160" w:after="80"/>
      </w:pPr>
      <w:r>
        <w:rPr>
          <w:rFonts w:ascii="Aptos" w:hAnsi="Aptos"/>
          <w:b/>
          <w:color w:val="0F172A"/>
          <w:sz w:val="40"/>
        </w:rPr>
        <w:t>3. Producto y niveles de monetización</w:t>
      </w:r>
    </w:p>
    <w:p>
      <w:pPr>
        <w:pStyle w:val="Heading2"/>
        <w:spacing w:before="100" w:after="80"/>
      </w:pPr>
      <w:r>
        <w:rPr>
          <w:rFonts w:ascii="Aptos" w:hAnsi="Aptos"/>
          <w:b/>
          <w:color w:val="0F172A"/>
          <w:sz w:val="30"/>
        </w:rPr>
        <w:t>3.1 PAC Analyzer — gratis</w:t>
      </w:r>
    </w:p>
    <w:p>
      <w:pPr>
        <w:spacing w:after="80" w:line="259" w:lineRule="auto"/>
      </w:pPr>
      <w:r>
        <w:rPr>
          <w:rFonts w:ascii="Aptos" w:hAnsi="Aptos"/>
          <w:color w:val="475569"/>
          <w:sz w:val="19"/>
        </w:rPr>
        <w:t>Entrada sin fricción y principal mecanismo de adquisición. El estudiante sube el enunciado y recibe en segundos una lectura estructurada.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448"/>
            <w:shd w:fill="0F172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Salida gratuita</w:t>
            </w:r>
          </w:p>
        </w:tc>
        <w:tc>
          <w:tcPr>
            <w:tcW w:type="dxa" w:w="7056"/>
            <w:shd w:fill="0F172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Ejemplo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Estructura</w:t>
            </w:r>
          </w:p>
        </w:tc>
        <w:tc>
          <w:tcPr>
            <w:tcW w:type="dxa" w:w="705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5 ejercicios · 2 entregables · 1 anexo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Dificultad</w:t>
            </w:r>
          </w:p>
        </w:tc>
        <w:tc>
          <w:tcPr>
            <w:tcW w:type="dxa" w:w="7056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Media; ejercicios 3 y 5 son los más exigentes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Temas necesarios</w:t>
            </w:r>
          </w:p>
        </w:tc>
        <w:tc>
          <w:tcPr>
            <w:tcW w:type="dxa" w:w="705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Módulos 1–3; conceptos A, B, C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Requisitos</w:t>
            </w:r>
          </w:p>
        </w:tc>
        <w:tc>
          <w:tcPr>
            <w:tcW w:type="dxa" w:w="7056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Formato, extensión, fecha, herramientas y evidencias solicitadas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Checklist</w:t>
            </w:r>
          </w:p>
        </w:tc>
        <w:tc>
          <w:tcPr>
            <w:tcW w:type="dxa" w:w="705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Qué preparar antes de empezar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Riesgos</w:t>
            </w:r>
          </w:p>
        </w:tc>
        <w:tc>
          <w:tcPr>
            <w:tcW w:type="dxa" w:w="7056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Ambigüedades, dependencias y apartados fáciles de olvidar</w:t>
            </w:r>
          </w:p>
        </w:tc>
      </w:tr>
    </w:tbl>
    <w:p>
      <w:pPr>
        <w:spacing w:after="20"/>
      </w:pPr>
    </w:p>
    <w:p>
      <w:pPr>
        <w:pStyle w:val="Heading2"/>
        <w:spacing w:before="100" w:after="80"/>
      </w:pPr>
      <w:r>
        <w:rPr>
          <w:rFonts w:ascii="Aptos" w:hAnsi="Aptos"/>
          <w:b/>
          <w:color w:val="0F172A"/>
          <w:sz w:val="30"/>
        </w:rPr>
        <w:t>3.2 Study Pack — 4,99 €</w:t>
      </w:r>
    </w:p>
    <w:p>
      <w:pPr>
        <w:pStyle w:val="ListBullet"/>
        <w:spacing w:after="40"/>
        <w:ind w:left="317"/>
      </w:pPr>
      <w:r>
        <w:rPr>
          <w:rFonts w:ascii="Aptos" w:hAnsi="Aptos"/>
          <w:color w:val="475569"/>
          <w:sz w:val="19"/>
        </w:rPr>
        <w:t>Resumen exclusivo de los conceptos necesarios para esa PAC.</w:t>
      </w:r>
    </w:p>
    <w:p>
      <w:pPr>
        <w:pStyle w:val="ListBullet"/>
        <w:spacing w:after="40"/>
        <w:ind w:left="317"/>
      </w:pPr>
      <w:r>
        <w:rPr>
          <w:rFonts w:ascii="Aptos" w:hAnsi="Aptos"/>
          <w:color w:val="475569"/>
          <w:sz w:val="19"/>
        </w:rPr>
        <w:t>Fórmulas, definiciones y referencias a los materiales subidos cuando sea posible.</w:t>
      </w:r>
    </w:p>
    <w:p>
      <w:pPr>
        <w:pStyle w:val="ListBullet"/>
        <w:spacing w:after="40"/>
        <w:ind w:left="317"/>
      </w:pPr>
      <w:r>
        <w:rPr>
          <w:rFonts w:ascii="Aptos" w:hAnsi="Aptos"/>
          <w:color w:val="475569"/>
          <w:sz w:val="19"/>
        </w:rPr>
        <w:t>Ejemplos análogos, flashcards y preguntas de comprobación.</w:t>
      </w:r>
    </w:p>
    <w:p>
      <w:pPr>
        <w:pStyle w:val="ListBullet"/>
        <w:spacing w:after="40"/>
        <w:ind w:left="317"/>
      </w:pPr>
      <w:r>
        <w:rPr>
          <w:rFonts w:ascii="Aptos" w:hAnsi="Aptos"/>
          <w:color w:val="475569"/>
          <w:sz w:val="19"/>
        </w:rPr>
        <w:t>Checklist final de conceptos dominados / pendientes.</w:t>
      </w:r>
    </w:p>
    <w:p>
      <w:pPr>
        <w:pStyle w:val="Heading2"/>
        <w:spacing w:before="100" w:after="80"/>
      </w:pPr>
      <w:r>
        <w:rPr>
          <w:rFonts w:ascii="Aptos" w:hAnsi="Aptos"/>
          <w:b/>
          <w:color w:val="0F172A"/>
          <w:sz w:val="30"/>
        </w:rPr>
        <w:t>3.3 Guided Plan — 9,99–11,99 €</w:t>
      </w:r>
    </w:p>
    <w:p>
      <w:pPr>
        <w:spacing w:after="80" w:line="259" w:lineRule="auto"/>
      </w:pPr>
      <w:r>
        <w:rPr>
          <w:rFonts w:ascii="Aptos" w:hAnsi="Aptos"/>
          <w:color w:val="475569"/>
          <w:sz w:val="19"/>
        </w:rPr>
        <w:t>Producto principal. Para cada ejercicio: qué pide, conceptos necesarios, fuentes relevantes, razonamiento, pasos, ejemplo equivalente y checklist. Debe guiar el proceso sin producir una entrega final lista para presentar.</w:t>
      </w:r>
    </w:p>
    <w:p>
      <w:pPr>
        <w:pStyle w:val="Heading2"/>
        <w:spacing w:before="100" w:after="80"/>
      </w:pPr>
      <w:r>
        <w:rPr>
          <w:rFonts w:ascii="Aptos" w:hAnsi="Aptos"/>
          <w:b/>
          <w:color w:val="0F172A"/>
          <w:sz w:val="30"/>
        </w:rPr>
        <w:t>3.4 Review — 6,99 €</w:t>
      </w:r>
    </w:p>
    <w:p>
      <w:pPr>
        <w:spacing w:after="80" w:line="259" w:lineRule="auto"/>
      </w:pPr>
      <w:r>
        <w:rPr>
          <w:rFonts w:ascii="Aptos" w:hAnsi="Aptos"/>
          <w:color w:val="475569"/>
          <w:sz w:val="19"/>
        </w:rPr>
        <w:t>El estudiante sube su borrador y el sistema lo contrasta con el enunciado, la rúbrica y los materiales. Devuelve cobertura, requisitos faltantes, posibles errores, incoherencias y puntos que necesitan justificación.</w:t>
      </w:r>
    </w:p>
    <w:p>
      <w:pPr>
        <w:pStyle w:val="Heading2"/>
        <w:spacing w:before="100" w:after="80"/>
      </w:pPr>
      <w:r>
        <w:rPr>
          <w:rFonts w:ascii="Aptos" w:hAnsi="Aptos"/>
          <w:b/>
          <w:color w:val="0F172A"/>
          <w:sz w:val="30"/>
        </w:rPr>
        <w:t>3.5 Bundles posteriores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024"/>
            <w:shd w:fill="0F172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Bundle</w:t>
            </w:r>
          </w:p>
        </w:tc>
        <w:tc>
          <w:tcPr>
            <w:tcW w:type="dxa" w:w="2160"/>
            <w:shd w:fill="0F172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Precio test</w:t>
            </w:r>
          </w:p>
        </w:tc>
        <w:tc>
          <w:tcPr>
            <w:tcW w:type="dxa" w:w="4320"/>
            <w:shd w:fill="0F172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Objetivo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Study + Guided</w:t>
            </w:r>
          </w:p>
        </w:tc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13,99–14,99 €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Aumentar AOV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Guided + Review</w:t>
            </w:r>
          </w:p>
        </w:tc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15,99 €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Capturar inicio y final de la PAC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Pack 3 PACs</w:t>
            </w:r>
          </w:p>
        </w:tc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24,99–29,99 €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Recurrencia de semestre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Asignatura / semestre</w:t>
            </w:r>
          </w:p>
        </w:tc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19,99–29,99 €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Solo si hay uso repetido demostrado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spacing w:before="160" w:after="80"/>
      </w:pPr>
      <w:r>
        <w:rPr>
          <w:rFonts w:ascii="Aptos" w:hAnsi="Aptos"/>
          <w:b/>
          <w:color w:val="0F172A"/>
          <w:sz w:val="40"/>
        </w:rPr>
        <w:t>4. Por qué pagar si ya existe ChatGPT</w:t>
      </w:r>
    </w:p>
    <w:p>
      <w:pPr>
        <w:spacing w:after="80" w:line="259" w:lineRule="auto"/>
      </w:pPr>
      <w:r>
        <w:rPr>
          <w:rFonts w:ascii="Aptos" w:hAnsi="Aptos"/>
          <w:color w:val="475569"/>
          <w:sz w:val="19"/>
        </w:rPr>
        <w:t>Esta es la pregunta competitiva principal. La respuesta no puede ser “usamos un modelo mejor”. El modelo es sustituible. La ventaja debe estar en el producto que rodea al modelo.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4680"/>
            <w:shd w:fill="0F172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ChatGPT generalista</w:t>
            </w:r>
          </w:p>
        </w:tc>
        <w:tc>
          <w:tcPr>
            <w:tcW w:type="dxa" w:w="4680"/>
            <w:shd w:fill="0F172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Pauta</w:t>
            </w:r>
          </w:p>
        </w:tc>
      </w:tr>
      <w:tr>
        <w:trPr>
          <w:cantSplit/>
        </w:trPr>
        <w:tc>
          <w:tcPr>
            <w:tcW w:type="dxa" w:w="46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Chat vacío: el usuario diseña el prompt</w:t>
            </w:r>
          </w:p>
        </w:tc>
        <w:tc>
          <w:tcPr>
            <w:tcW w:type="dxa" w:w="46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Workflow ya diseñado para una PAC</w:t>
            </w:r>
          </w:p>
        </w:tc>
      </w:tr>
      <w:tr>
        <w:trPr>
          <w:cantSplit/>
        </w:trPr>
        <w:tc>
          <w:tcPr>
            <w:tcW w:type="dxa" w:w="4680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Contexto genérico</w:t>
            </w:r>
          </w:p>
        </w:tc>
        <w:tc>
          <w:tcPr>
            <w:tcW w:type="dxa" w:w="4680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Contexto de asignatura + enunciado + materiales</w:t>
            </w:r>
          </w:p>
        </w:tc>
      </w:tr>
      <w:tr>
        <w:trPr>
          <w:cantSplit/>
        </w:trPr>
        <w:tc>
          <w:tcPr>
            <w:tcW w:type="dxa" w:w="46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Responde conversación a conversación</w:t>
            </w:r>
          </w:p>
        </w:tc>
        <w:tc>
          <w:tcPr>
            <w:tcW w:type="dxa" w:w="46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Extrae estructura completa desde el primer upload</w:t>
            </w:r>
          </w:p>
        </w:tc>
      </w:tr>
      <w:tr>
        <w:trPr>
          <w:cantSplit/>
        </w:trPr>
        <w:tc>
          <w:tcPr>
            <w:tcW w:type="dxa" w:w="4680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El alumno debe pedir fuentes</w:t>
            </w:r>
          </w:p>
        </w:tc>
        <w:tc>
          <w:tcPr>
            <w:tcW w:type="dxa" w:w="4680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Trazabilidad a materiales cuando existe evidencia</w:t>
            </w:r>
          </w:p>
        </w:tc>
      </w:tr>
      <w:tr>
        <w:trPr>
          <w:cantSplit/>
        </w:trPr>
        <w:tc>
          <w:tcPr>
            <w:tcW w:type="dxa" w:w="46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No existe estado de actividad por defecto</w:t>
            </w:r>
          </w:p>
        </w:tc>
        <w:tc>
          <w:tcPr>
            <w:tcW w:type="dxa" w:w="46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Checklist y progreso por ejercicio</w:t>
            </w:r>
          </w:p>
        </w:tc>
      </w:tr>
      <w:tr>
        <w:trPr>
          <w:cantSplit/>
        </w:trPr>
        <w:tc>
          <w:tcPr>
            <w:tcW w:type="dxa" w:w="4680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Revisión genérica si se solicita</w:t>
            </w:r>
          </w:p>
        </w:tc>
        <w:tc>
          <w:tcPr>
            <w:tcW w:type="dxa" w:w="4680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Review contra requisitos/rúbrica</w:t>
            </w:r>
          </w:p>
        </w:tc>
      </w:tr>
      <w:tr>
        <w:trPr>
          <w:cantSplit/>
        </w:trPr>
        <w:tc>
          <w:tcPr>
            <w:tcW w:type="dxa" w:w="46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Precio/suscripción generalista</w:t>
            </w:r>
          </w:p>
        </w:tc>
        <w:tc>
          <w:tcPr>
            <w:tcW w:type="dxa" w:w="46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Pago puntual de 5–12 € para un problema concreto</w:t>
            </w:r>
          </w:p>
        </w:tc>
      </w:tr>
      <w:tr>
        <w:trPr>
          <w:cantSplit/>
        </w:trPr>
        <w:tc>
          <w:tcPr>
            <w:tcW w:type="dxa" w:w="4680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El usuario aprende prompting</w:t>
            </w:r>
          </w:p>
        </w:tc>
        <w:tc>
          <w:tcPr>
            <w:tcW w:type="dxa" w:w="4680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El usuario solo sube archivos y elige una acción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9648"/>
      </w:tblGrid>
      <w:tr>
        <w:trPr>
          <w:cantSplit/>
        </w:trPr>
        <w:tc>
          <w:tcPr>
            <w:tcW w:type="dxa" w:w="5040"/>
            <w:shd w:fill="0F766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/>
        </w:tc>
        <w:tc>
          <w:tcPr>
            <w:tcW w:type="dxa" w:w="5040"/>
            <w:shd w:fill="F0FD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color w:val="0F172A"/>
                <w:sz w:val="20"/>
              </w:rPr>
              <w:t>Killer feature propuesta</w:t>
              <w:br/>
            </w:r>
            <w:r>
              <w:rPr>
                <w:rFonts w:ascii="Aptos" w:hAnsi="Aptos"/>
                <w:color w:val="475569"/>
                <w:sz w:val="19"/>
              </w:rPr>
              <w:t>PAC → materiales: mapear cada pregunta con los módulos, conceptos y fragmentos relevantes de los recursos aportados por el alumno. “Dime exactamente qué necesito estudiar para resolver esto.”</w:t>
            </w:r>
          </w:p>
        </w:tc>
      </w:tr>
    </w:tbl>
    <w:p>
      <w:pPr>
        <w:spacing w:after="20"/>
      </w:pPr>
    </w:p>
    <w:p>
      <w:pPr>
        <w:pStyle w:val="Heading2"/>
        <w:spacing w:before="100" w:after="80"/>
      </w:pPr>
      <w:r>
        <w:rPr>
          <w:rFonts w:ascii="Aptos" w:hAnsi="Aptos"/>
          <w:b/>
          <w:color w:val="0F172A"/>
          <w:sz w:val="30"/>
        </w:rPr>
        <w:t>4.1 Defensibilidad progresiva</w:t>
      </w:r>
    </w:p>
    <w:p>
      <w:pPr>
        <w:pStyle w:val="ListBullet"/>
        <w:spacing w:after="40"/>
        <w:ind w:left="317"/>
      </w:pPr>
      <w:r>
        <w:rPr>
          <w:rFonts w:ascii="Aptos" w:hAnsi="Aptos"/>
          <w:color w:val="475569"/>
          <w:sz w:val="19"/>
        </w:rPr>
        <w:t>Templates y lógica por tipo de asignatura: estadística, contabilidad, derecho, programación, etc.</w:t>
      </w:r>
    </w:p>
    <w:p>
      <w:pPr>
        <w:pStyle w:val="ListBullet"/>
        <w:spacing w:after="40"/>
        <w:ind w:left="317"/>
      </w:pPr>
      <w:r>
        <w:rPr>
          <w:rFonts w:ascii="Aptos" w:hAnsi="Aptos"/>
          <w:color w:val="475569"/>
          <w:sz w:val="19"/>
        </w:rPr>
        <w:t>Histórico agregado de dificultades, tipos de preguntas y errores frecuentes, respetando privacidad y derechos.</w:t>
      </w:r>
    </w:p>
    <w:p>
      <w:pPr>
        <w:pStyle w:val="ListBullet"/>
        <w:spacing w:after="40"/>
        <w:ind w:left="317"/>
      </w:pPr>
      <w:r>
        <w:rPr>
          <w:rFonts w:ascii="Aptos" w:hAnsi="Aptos"/>
          <w:color w:val="475569"/>
          <w:sz w:val="19"/>
        </w:rPr>
        <w:t>Evaluadores y herramientas deterministas: cálculos, tests, ejecución de código, validación de citas o fórmulas según materia.</w:t>
      </w:r>
    </w:p>
    <w:p>
      <w:pPr>
        <w:pStyle w:val="ListBullet"/>
        <w:spacing w:after="40"/>
        <w:ind w:left="317"/>
      </w:pPr>
      <w:r>
        <w:rPr>
          <w:rFonts w:ascii="Aptos" w:hAnsi="Aptos"/>
          <w:color w:val="475569"/>
          <w:sz w:val="19"/>
        </w:rPr>
        <w:t>SEO y arquitectura de páginas por universidad → grado → asignatura → tipo de evaluación.</w:t>
      </w:r>
    </w:p>
    <w:p>
      <w:pPr>
        <w:pStyle w:val="ListBullet"/>
        <w:spacing w:after="40"/>
        <w:ind w:left="317"/>
      </w:pPr>
      <w:r>
        <w:rPr>
          <w:rFonts w:ascii="Aptos" w:hAnsi="Aptos"/>
          <w:color w:val="475569"/>
          <w:sz w:val="19"/>
        </w:rPr>
        <w:t>Dataset interno de resultados y feedback sobre la utilidad de cada workflow.</w:t>
      </w:r>
    </w:p>
    <w:p>
      <w:pPr>
        <w:pStyle w:val="Heading1"/>
        <w:spacing w:before="160" w:after="80"/>
      </w:pPr>
      <w:r>
        <w:rPr>
          <w:rFonts w:ascii="Aptos" w:hAnsi="Aptos"/>
          <w:b/>
          <w:color w:val="0F172A"/>
          <w:sz w:val="40"/>
        </w:rPr>
        <w:t>5. Competencia y posicionamiento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160"/>
            <w:shd w:fill="0F172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Alternativa</w:t>
            </w:r>
          </w:p>
        </w:tc>
        <w:tc>
          <w:tcPr>
            <w:tcW w:type="dxa" w:w="3312"/>
            <w:shd w:fill="0F172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Fortaleza</w:t>
            </w:r>
          </w:p>
        </w:tc>
        <w:tc>
          <w:tcPr>
            <w:tcW w:type="dxa" w:w="4032"/>
            <w:shd w:fill="0F172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Debilidad / hueco</w:t>
            </w:r>
          </w:p>
        </w:tc>
      </w:tr>
      <w:tr>
        <w:trPr>
          <w:cantSplit/>
        </w:trP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6"/>
              </w:rPr>
              <w:t>ChatGPT / Claude / Gemini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6"/>
              </w:rPr>
              <w:t>Generalistas, potentes, baratos</w:t>
            </w:r>
          </w:p>
        </w:tc>
        <w:tc>
          <w:tcPr>
            <w:tcW w:type="dxa" w:w="403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6"/>
              </w:rPr>
              <w:t>No están productizados alrededor de la PAC concreta</w:t>
            </w:r>
          </w:p>
        </w:tc>
      </w:tr>
      <w:tr>
        <w:trPr>
          <w:cantSplit/>
        </w:trP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6"/>
              </w:rPr>
              <w:t>Pacsolver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6"/>
              </w:rPr>
              <w:t>Alta especialización UOC; WTP validado</w:t>
            </w:r>
          </w:p>
        </w:tc>
        <w:tc>
          <w:tcPr>
            <w:tcW w:type="dxa" w:w="4032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6"/>
              </w:rPr>
              <w:t>Servicio más caro y dependiente de operación humana</w:t>
            </w:r>
          </w:p>
        </w:tc>
      </w:tr>
      <w:tr>
        <w:trPr>
          <w:cantSplit/>
        </w:trP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6"/>
              </w:rPr>
              <w:t>SolucionesPAC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6"/>
              </w:rPr>
              <w:t>Ayuda personalizada y soporte</w:t>
            </w:r>
          </w:p>
        </w:tc>
        <w:tc>
          <w:tcPr>
            <w:tcW w:type="dxa" w:w="403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6"/>
              </w:rPr>
              <w:t>Contacto/WhatsApp, presupuesto y entrega humana</w:t>
            </w:r>
          </w:p>
        </w:tc>
      </w:tr>
      <w:tr>
        <w:trPr>
          <w:cantSplit/>
        </w:trP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6"/>
              </w:rPr>
              <w:t>Plataformas de apuntes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6"/>
              </w:rPr>
              <w:t>Gran inventario de documentos</w:t>
            </w:r>
          </w:p>
        </w:tc>
        <w:tc>
          <w:tcPr>
            <w:tcW w:type="dxa" w:w="4032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6"/>
              </w:rPr>
              <w:t>Calidad variable; no convierten la PAC actual en workflow individual</w:t>
            </w:r>
          </w:p>
        </w:tc>
      </w:tr>
      <w:tr>
        <w:trPr>
          <w:cantSplit/>
        </w:trP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6"/>
              </w:rPr>
              <w:t>Pauta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6"/>
              </w:rPr>
              <w:t>Self-service, específico, low-ticket</w:t>
            </w:r>
          </w:p>
        </w:tc>
        <w:tc>
          <w:tcPr>
            <w:tcW w:type="dxa" w:w="403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6"/>
              </w:rPr>
              <w:t>Debe demostrar que supera claramente un prompt generalista</w:t>
            </w:r>
          </w:p>
        </w:tc>
      </w:tr>
    </w:tbl>
    <w:p>
      <w:pPr>
        <w:spacing w:after="20"/>
      </w:pPr>
    </w:p>
    <w:p>
      <w:pPr>
        <w:spacing w:after="80" w:line="259" w:lineRule="auto"/>
      </w:pPr>
      <w:r>
        <w:rPr>
          <w:rFonts w:ascii="Aptos" w:hAnsi="Aptos"/>
          <w:color w:val="475569"/>
          <w:sz w:val="19"/>
        </w:rPr>
        <w:t>Referencias observadas a 10/09/2026: Pacsolver muestra ejemplos de resoluciones compartidas/personalizadas en torno a 70–100 € por PAC en determinadas asignaturas y un resumen reciente a 40 €. SolucionesPAC ofrece asistencia personalizada, entrega y soporte humano. Estas cifras no son un forecast: únicamente validan que existe disposición a pagar por ayuda específica.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9648"/>
      </w:tblGrid>
      <w:tr>
        <w:trPr>
          <w:cantSplit/>
        </w:trPr>
        <w:tc>
          <w:tcPr>
            <w:tcW w:type="dxa" w:w="5040"/>
            <w:shd w:fill="2563E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/>
        </w:tc>
        <w:tc>
          <w:tcPr>
            <w:tcW w:type="dxa" w:w="5040"/>
            <w:shd w:fill="EFF6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color w:val="0F172A"/>
                <w:sz w:val="20"/>
              </w:rPr>
              <w:t>Posicionamiento recomendado</w:t>
              <w:br/>
            </w:r>
            <w:r>
              <w:rPr>
                <w:rFonts w:ascii="Aptos" w:hAnsi="Aptos"/>
                <w:color w:val="475569"/>
                <w:sz w:val="19"/>
              </w:rPr>
              <w:t>“Más específico que ChatGPT. Mucho más económico que un servicio humano.” El precio bajo no es la única ventaja: el usuario debe obtener una experiencia preparada para su actividad, sin prompts ni coordinación.</w:t>
            </w:r>
          </w:p>
        </w:tc>
      </w:tr>
    </w:tbl>
    <w:p>
      <w:pPr>
        <w:spacing w:after="20"/>
      </w:pPr>
    </w:p>
    <w:p>
      <w:pPr>
        <w:pStyle w:val="Heading1"/>
        <w:spacing w:before="160" w:after="80"/>
      </w:pPr>
      <w:r>
        <w:rPr>
          <w:rFonts w:ascii="Aptos" w:hAnsi="Aptos"/>
          <w:b/>
          <w:color w:val="0F172A"/>
          <w:sz w:val="40"/>
        </w:rPr>
        <w:t>6. Adquisición de contenido y materiales</w:t>
      </w:r>
    </w:p>
    <w:p>
      <w:pPr>
        <w:spacing w:after="80" w:line="259" w:lineRule="auto"/>
      </w:pPr>
      <w:r>
        <w:rPr>
          <w:rFonts w:ascii="Aptos" w:hAnsi="Aptos"/>
          <w:color w:val="475569"/>
          <w:sz w:val="19"/>
        </w:rPr>
        <w:t>El cuello de botella no debe resolverse copiando un campus privado. El diseño correcto es que el producto funcione aun sin poseer una biblioteca propietaria completa.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232"/>
            <w:shd w:fill="0F172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Fuente</w:t>
            </w:r>
          </w:p>
        </w:tc>
        <w:tc>
          <w:tcPr>
            <w:tcW w:type="dxa" w:w="3672"/>
            <w:shd w:fill="0F172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Uso propuesto</w:t>
            </w:r>
          </w:p>
        </w:tc>
        <w:tc>
          <w:tcPr>
            <w:tcW w:type="dxa" w:w="3744"/>
            <w:shd w:fill="0F172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Regla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6"/>
              </w:rPr>
              <w:t>Información pública de asignaturas</w:t>
            </w:r>
          </w:p>
        </w:tc>
        <w:tc>
          <w:tcPr>
            <w:tcW w:type="dxa" w:w="367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6"/>
              </w:rPr>
              <w:t>Metadatos, competencias, evaluación, temario</w:t>
            </w:r>
          </w:p>
        </w:tc>
        <w:tc>
          <w:tcPr>
            <w:tcW w:type="dxa" w:w="374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6"/>
              </w:rPr>
              <w:t>Guardar solo lo que sea públicamente accesible y permitido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6"/>
              </w:rPr>
              <w:t>OER / recursos abiertos</w:t>
            </w:r>
          </w:p>
        </w:tc>
        <w:tc>
          <w:tcPr>
            <w:tcW w:type="dxa" w:w="3672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6"/>
              </w:rPr>
              <w:t>Contexto académico y contenido de apoyo</w:t>
            </w:r>
          </w:p>
        </w:tc>
        <w:tc>
          <w:tcPr>
            <w:tcW w:type="dxa" w:w="3744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6"/>
              </w:rPr>
              <w:t>Verificar licencia recurso por recurso; respetar atribución y límites comerciales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6"/>
              </w:rPr>
              <w:t>PAC actual subida por el alumno</w:t>
            </w:r>
          </w:p>
        </w:tc>
        <w:tc>
          <w:tcPr>
            <w:tcW w:type="dxa" w:w="367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6"/>
              </w:rPr>
              <w:t>Análisis individual de la actividad</w:t>
            </w:r>
          </w:p>
        </w:tc>
        <w:tc>
          <w:tcPr>
            <w:tcW w:type="dxa" w:w="374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6"/>
              </w:rPr>
              <w:t>Procesar para el usuario; no convertir automáticamente en contenido público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6"/>
              </w:rPr>
              <w:t>Materiales subidos por el alumno</w:t>
            </w:r>
          </w:p>
        </w:tc>
        <w:tc>
          <w:tcPr>
            <w:tcW w:type="dxa" w:w="3672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6"/>
              </w:rPr>
              <w:t>RAG/contexto privado</w:t>
            </w:r>
          </w:p>
        </w:tc>
        <w:tc>
          <w:tcPr>
            <w:tcW w:type="dxa" w:w="3744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6"/>
              </w:rPr>
              <w:t>Uso limitado a prestar el servicio; política clara de retención/eliminación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6"/>
              </w:rPr>
              <w:t>Contenido propio</w:t>
            </w:r>
          </w:p>
        </w:tc>
        <w:tc>
          <w:tcPr>
            <w:tcW w:type="dxa" w:w="367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6"/>
              </w:rPr>
              <w:t>Resúmenes, quizzes, ejemplos análogos</w:t>
            </w:r>
          </w:p>
        </w:tc>
        <w:tc>
          <w:tcPr>
            <w:tcW w:type="dxa" w:w="374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6"/>
              </w:rPr>
              <w:t>Construir progresivamente donde exista demanda real</w:t>
            </w:r>
          </w:p>
        </w:tc>
      </w:tr>
    </w:tbl>
    <w:p>
      <w:pPr>
        <w:spacing w:after="20"/>
      </w:pPr>
    </w:p>
    <w:p>
      <w:pPr>
        <w:spacing w:after="80" w:line="259" w:lineRule="auto"/>
      </w:pPr>
      <w:r>
        <w:rPr>
          <w:rFonts w:ascii="Aptos" w:hAnsi="Aptos"/>
          <w:color w:val="475569"/>
          <w:sz w:val="19"/>
        </w:rPr>
        <w:t>La UOC mantiene recursos abiertos, pero las licencias no son homogéneas: algunos materiales permiten reutilización y adaptación; otros incluyen restricciones no comerciales o de no derivación. Antes de usar un recurso en un producto de pago hay que verificar su licencia concreta. La estrategia inicial más segura es BYO materials + fuentes abiertas claramente compatibles + contenido propio.</w:t>
      </w:r>
    </w:p>
    <w:p>
      <w:pPr>
        <w:pStyle w:val="Heading2"/>
        <w:spacing w:before="100" w:after="80"/>
      </w:pPr>
      <w:r>
        <w:rPr>
          <w:rFonts w:ascii="Aptos" w:hAnsi="Aptos"/>
          <w:b/>
          <w:color w:val="0F172A"/>
          <w:sz w:val="30"/>
        </w:rPr>
        <w:t>6.1 Integridad académica</w:t>
      </w:r>
    </w:p>
    <w:p>
      <w:pPr>
        <w:pStyle w:val="ListBullet"/>
        <w:spacing w:after="40"/>
        <w:ind w:left="317"/>
      </w:pPr>
      <w:r>
        <w:rPr>
          <w:rFonts w:ascii="Aptos" w:hAnsi="Aptos"/>
          <w:color w:val="475569"/>
          <w:sz w:val="19"/>
        </w:rPr>
        <w:t>No entregar trabajos finales listos para presentar como propios.</w:t>
      </w:r>
    </w:p>
    <w:p>
      <w:pPr>
        <w:pStyle w:val="ListBullet"/>
        <w:spacing w:after="40"/>
        <w:ind w:left="317"/>
      </w:pPr>
      <w:r>
        <w:rPr>
          <w:rFonts w:ascii="Aptos" w:hAnsi="Aptos"/>
          <w:color w:val="475569"/>
          <w:sz w:val="19"/>
        </w:rPr>
        <w:t>No prestar asistencia para exámenes en directo ni suplantación.</w:t>
      </w:r>
    </w:p>
    <w:p>
      <w:pPr>
        <w:pStyle w:val="ListBullet"/>
        <w:spacing w:after="40"/>
        <w:ind w:left="317"/>
      </w:pPr>
      <w:r>
        <w:rPr>
          <w:rFonts w:ascii="Aptos" w:hAnsi="Aptos"/>
          <w:color w:val="475569"/>
          <w:sz w:val="19"/>
        </w:rPr>
        <w:t>No prometer “aprobado garantizado”, “indetectable” o evasión de controles.</w:t>
      </w:r>
    </w:p>
    <w:p>
      <w:pPr>
        <w:pStyle w:val="ListBullet"/>
        <w:spacing w:after="40"/>
        <w:ind w:left="317"/>
      </w:pPr>
      <w:r>
        <w:rPr>
          <w:rFonts w:ascii="Aptos" w:hAnsi="Aptos"/>
          <w:color w:val="475569"/>
          <w:sz w:val="19"/>
        </w:rPr>
        <w:t>Sí: explicación, planificación, ejercicios equivalentes, feedback, verificación y guía de resolución.</w:t>
      </w:r>
    </w:p>
    <w:p>
      <w:pPr>
        <w:pStyle w:val="ListBullet"/>
        <w:spacing w:after="40"/>
        <w:ind w:left="317"/>
      </w:pPr>
      <w:r>
        <w:rPr>
          <w:rFonts w:ascii="Aptos" w:hAnsi="Aptos"/>
          <w:color w:val="475569"/>
          <w:sz w:val="19"/>
        </w:rPr>
        <w:t>Mostrar una advertencia cuando una actividad limite explícitamente el uso de IA y adaptar el modo de ayuda.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9648"/>
      </w:tblGrid>
      <w:tr>
        <w:trPr>
          <w:cantSplit/>
        </w:trPr>
        <w:tc>
          <w:tcPr>
            <w:tcW w:type="dxa" w:w="5040"/>
            <w:shd w:fill="B91C1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/>
        </w:tc>
        <w:tc>
          <w:tcPr>
            <w:tcW w:type="dxa" w:w="5040"/>
            <w:shd w:fill="FEF2F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color w:val="0F172A"/>
                <w:sz w:val="20"/>
              </w:rPr>
              <w:t>Posición de marca</w:t>
              <w:br/>
            </w:r>
            <w:r>
              <w:rPr>
                <w:rFonts w:ascii="Aptos" w:hAnsi="Aptos"/>
                <w:color w:val="475569"/>
                <w:sz w:val="19"/>
              </w:rPr>
              <w:t>Pauta debe parecer una herramienta de estudio y revisión, no un servicio de fraude académico. Esto reduce riesgo y, además, diferencia visualmente la marca de competidores basados en “te hacemos la PAC”.</w:t>
            </w:r>
          </w:p>
        </w:tc>
      </w:tr>
    </w:tbl>
    <w:p>
      <w:pPr>
        <w:spacing w:after="20"/>
      </w:pPr>
    </w:p>
    <w:p>
      <w:pPr>
        <w:pStyle w:val="Heading1"/>
        <w:spacing w:before="160" w:after="80"/>
      </w:pPr>
      <w:r>
        <w:rPr>
          <w:rFonts w:ascii="Aptos" w:hAnsi="Aptos"/>
          <w:b/>
          <w:color w:val="0F172A"/>
          <w:sz w:val="40"/>
        </w:rPr>
        <w:t>7. Experiencia de usuario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1152"/>
            <w:shd w:fill="0F172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Paso</w:t>
            </w:r>
          </w:p>
        </w:tc>
        <w:tc>
          <w:tcPr>
            <w:tcW w:type="dxa" w:w="8496"/>
            <w:shd w:fill="0F172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Pantalla / acción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1</w:t>
            </w:r>
          </w:p>
        </w:tc>
        <w:tc>
          <w:tcPr>
            <w:tcW w:type="dxa" w:w="849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“Sube tu PAC/PEC”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2</w:t>
            </w:r>
          </w:p>
        </w:tc>
        <w:tc>
          <w:tcPr>
            <w:tcW w:type="dxa" w:w="8496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Detección automática de universidad/asignatura o selección manual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3</w:t>
            </w:r>
          </w:p>
        </w:tc>
        <w:tc>
          <w:tcPr>
            <w:tcW w:type="dxa" w:w="849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Materiales opcionales: “añade lo que te ha dado el profesor”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4</w:t>
            </w:r>
          </w:p>
        </w:tc>
        <w:tc>
          <w:tcPr>
            <w:tcW w:type="dxa" w:w="8496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Analyzer gratuito: requisitos, temas, dificultad, checklist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5</w:t>
            </w:r>
          </w:p>
        </w:tc>
        <w:tc>
          <w:tcPr>
            <w:tcW w:type="dxa" w:w="849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Oferta: Study Pack / Guided Plan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6</w:t>
            </w:r>
          </w:p>
        </w:tc>
        <w:tc>
          <w:tcPr>
            <w:tcW w:type="dxa" w:w="8496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Workspace por preguntas con progreso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7</w:t>
            </w:r>
          </w:p>
        </w:tc>
        <w:tc>
          <w:tcPr>
            <w:tcW w:type="dxa" w:w="849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Subir borrador → Review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8</w:t>
            </w:r>
          </w:p>
        </w:tc>
        <w:tc>
          <w:tcPr>
            <w:tcW w:type="dxa" w:w="8496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Volver con la siguiente PAC de la misma asignatura</w:t>
            </w:r>
          </w:p>
        </w:tc>
      </w:tr>
    </w:tbl>
    <w:p>
      <w:pPr>
        <w:spacing w:after="20"/>
      </w:pPr>
    </w:p>
    <w:p>
      <w:pPr>
        <w:pStyle w:val="Heading1"/>
        <w:spacing w:before="160" w:after="80"/>
      </w:pPr>
      <w:r>
        <w:rPr>
          <w:rFonts w:ascii="Aptos" w:hAnsi="Aptos"/>
          <w:b/>
          <w:color w:val="0F172A"/>
          <w:sz w:val="40"/>
        </w:rPr>
        <w:t>8. Concepto de marca</w:t>
      </w:r>
    </w:p>
    <w:p>
      <w:pPr>
        <w:spacing w:after="80" w:line="259" w:lineRule="auto"/>
      </w:pPr>
      <w:r>
        <w:rPr>
          <w:rFonts w:ascii="Aptos" w:hAnsi="Aptos"/>
          <w:color w:val="475569"/>
          <w:sz w:val="19"/>
        </w:rPr>
        <w:t>Nombre de trabajo recomendado: PAUTA. No se ha realizado todavía una búsqueda de disponibilidad de dominio o marca registrada; debe tratarse como dirección creativa provisional.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F172A"/>
            <w:tcMar>
              <w:top w:w="280" w:type="dxa"/>
              <w:start w:w="110" w:type="dxa"/>
              <w:bottom w:w="28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FFFFFF"/>
                <w:sz w:val="28"/>
              </w:rPr>
              <w:t xml:space="preserve"> </w:t>
            </w:r>
          </w:p>
        </w:tc>
        <w:tc>
          <w:tcPr>
            <w:tcW w:type="dxa" w:w="2520"/>
            <w:shd w:fill="2563EB"/>
            <w:tcMar>
              <w:top w:w="280" w:type="dxa"/>
              <w:start w:w="110" w:type="dxa"/>
              <w:bottom w:w="28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FFFFFF"/>
                <w:sz w:val="28"/>
              </w:rPr>
              <w:t xml:space="preserve"> </w:t>
            </w:r>
          </w:p>
        </w:tc>
        <w:tc>
          <w:tcPr>
            <w:tcW w:type="dxa" w:w="2520"/>
            <w:shd w:fill="0F766E"/>
            <w:tcMar>
              <w:top w:w="280" w:type="dxa"/>
              <w:start w:w="110" w:type="dxa"/>
              <w:bottom w:w="28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FFFFFF"/>
                <w:sz w:val="28"/>
              </w:rPr>
              <w:t xml:space="preserve"> </w:t>
            </w:r>
          </w:p>
        </w:tc>
        <w:tc>
          <w:tcPr>
            <w:tcW w:type="dxa" w:w="2520"/>
            <w:shd w:fill="F8FAFC"/>
            <w:tcMar>
              <w:top w:w="280" w:type="dxa"/>
              <w:start w:w="110" w:type="dxa"/>
              <w:bottom w:w="28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FFFFFF"/>
                <w:sz w:val="28"/>
              </w:rPr>
              <w:t xml:space="preserve"> </w:t>
            </w:r>
          </w:p>
        </w:tc>
      </w:tr>
      <w:tr>
        <w:tc>
          <w:tcPr>
            <w:tcW w:type="dxa" w:w="252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0F172A"/>
                <w:sz w:val="16"/>
              </w:rPr>
              <w:t>Navy</w:t>
              <w:br/>
              <w:t>#0F172A</w:t>
            </w:r>
          </w:p>
        </w:tc>
        <w:tc>
          <w:tcPr>
            <w:tcW w:type="dxa" w:w="252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0F172A"/>
                <w:sz w:val="16"/>
              </w:rPr>
              <w:t>Blue</w:t>
              <w:br/>
              <w:t>#2563EB</w:t>
            </w:r>
          </w:p>
        </w:tc>
        <w:tc>
          <w:tcPr>
            <w:tcW w:type="dxa" w:w="252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0F172A"/>
                <w:sz w:val="16"/>
              </w:rPr>
              <w:t>Teal</w:t>
              <w:br/>
              <w:t>#0F766E</w:t>
            </w:r>
          </w:p>
        </w:tc>
        <w:tc>
          <w:tcPr>
            <w:tcW w:type="dxa" w:w="252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0F172A"/>
                <w:sz w:val="16"/>
              </w:rPr>
              <w:t>Off-white</w:t>
              <w:br/>
              <w:t>#F8FAFC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592"/>
            <w:shd w:fill="0F172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Elemento de marca</w:t>
            </w:r>
          </w:p>
        </w:tc>
        <w:tc>
          <w:tcPr>
            <w:tcW w:type="dxa" w:w="6912"/>
            <w:shd w:fill="0F172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Dirección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Nombre de trabajo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Pauta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Tagline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Entiende la prueba. Prepárala bien.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Promesa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De enunciado a plan de estudio y revisión en minutos.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Personalidad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Clara, rigurosa, útil, calmada, no paternalista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Estética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Académica contemporánea; mucho blanco, azul profundo y acentos teal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Icono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Una pauta/checklist formada por 3 líneas que convergen en un check o ruta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Tipografía recomendada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Inter o Manrope para producto; serif solo opcional en contenidos largos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Evitar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Robots, birretes cliché, neón “AI”, estética de chuleta/examen resuelto</w:t>
            </w:r>
          </w:p>
        </w:tc>
      </w:tr>
    </w:tbl>
    <w:p>
      <w:pPr>
        <w:spacing w:after="20"/>
      </w:pPr>
    </w:p>
    <w:p>
      <w:pPr>
        <w:pStyle w:val="Heading2"/>
        <w:spacing w:before="100" w:after="80"/>
      </w:pPr>
      <w:r>
        <w:rPr>
          <w:rFonts w:ascii="Aptos" w:hAnsi="Aptos"/>
          <w:b/>
          <w:color w:val="0F172A"/>
          <w:sz w:val="30"/>
        </w:rPr>
        <w:t>8.1 Mensajes de marca</w:t>
      </w:r>
    </w:p>
    <w:p>
      <w:pPr>
        <w:pStyle w:val="ListBullet"/>
        <w:spacing w:after="40"/>
        <w:ind w:left="317"/>
      </w:pPr>
      <w:r>
        <w:rPr>
          <w:rFonts w:ascii="Aptos" w:hAnsi="Aptos"/>
          <w:color w:val="475569"/>
          <w:sz w:val="19"/>
        </w:rPr>
        <w:t>Hero: “Sube tu PAC. Descubre qué necesitas para resolverla.”</w:t>
      </w:r>
    </w:p>
    <w:p>
      <w:pPr>
        <w:pStyle w:val="ListBullet"/>
        <w:spacing w:after="40"/>
        <w:ind w:left="317"/>
      </w:pPr>
      <w:r>
        <w:rPr>
          <w:rFonts w:ascii="Aptos" w:hAnsi="Aptos"/>
          <w:color w:val="475569"/>
          <w:sz w:val="19"/>
        </w:rPr>
        <w:t>Subhero: “Analizamos el enunciado, conectamos cada pregunta con tus materiales y te damos una guía clara para avanzar.”</w:t>
      </w:r>
    </w:p>
    <w:p>
      <w:pPr>
        <w:pStyle w:val="ListBullet"/>
        <w:spacing w:after="40"/>
        <w:ind w:left="317"/>
      </w:pPr>
      <w:r>
        <w:rPr>
          <w:rFonts w:ascii="Aptos" w:hAnsi="Aptos"/>
          <w:color w:val="475569"/>
          <w:sz w:val="19"/>
        </w:rPr>
        <w:t>CTA primario: “Analizar mi PAC gratis”</w:t>
      </w:r>
    </w:p>
    <w:p>
      <w:pPr>
        <w:pStyle w:val="ListBullet"/>
        <w:spacing w:after="40"/>
        <w:ind w:left="317"/>
      </w:pPr>
      <w:r>
        <w:rPr>
          <w:rFonts w:ascii="Aptos" w:hAnsi="Aptos"/>
          <w:color w:val="475569"/>
          <w:sz w:val="19"/>
        </w:rPr>
        <w:t>CTA de pago: “Crear mi guía paso a paso”</w:t>
      </w:r>
    </w:p>
    <w:p>
      <w:pPr>
        <w:pStyle w:val="ListBullet"/>
        <w:spacing w:after="40"/>
        <w:ind w:left="317"/>
      </w:pPr>
      <w:r>
        <w:rPr>
          <w:rFonts w:ascii="Aptos" w:hAnsi="Aptos"/>
          <w:color w:val="475569"/>
          <w:sz w:val="19"/>
        </w:rPr>
        <w:t>Review: “Revisa tu PAC antes de entregarla.”</w:t>
      </w:r>
    </w:p>
    <w:p>
      <w:pPr>
        <w:pStyle w:val="Heading2"/>
        <w:spacing w:before="100" w:after="80"/>
      </w:pPr>
      <w:r>
        <w:rPr>
          <w:rFonts w:ascii="Aptos" w:hAnsi="Aptos"/>
          <w:b/>
          <w:color w:val="0F172A"/>
          <w:sz w:val="30"/>
        </w:rPr>
        <w:t>8.2 Naming alternativo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872"/>
            <w:shd w:fill="0F172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Nombre</w:t>
            </w:r>
          </w:p>
        </w:tc>
        <w:tc>
          <w:tcPr>
            <w:tcW w:type="dxa" w:w="2448"/>
            <w:shd w:fill="0F172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Lectura</w:t>
            </w:r>
          </w:p>
        </w:tc>
        <w:tc>
          <w:tcPr>
            <w:tcW w:type="dxa" w:w="5184"/>
            <w:shd w:fill="0F172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Comentario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Pauta</w:t>
            </w:r>
          </w:p>
        </w:tc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Guía / criterio / línea de trabajo</w:t>
            </w:r>
          </w:p>
        </w:tc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Recomendado como concepto; comprobar marca/dominio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AulaGuía</w:t>
            </w:r>
          </w:p>
        </w:tc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Muy explícito</w:t>
            </w:r>
          </w:p>
        </w:tc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Menos distintivo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Ruta</w:t>
            </w:r>
          </w:p>
        </w:tc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Proceso paso a paso</w:t>
            </w:r>
          </w:p>
        </w:tc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Demasiado genérico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Evalia</w:t>
            </w:r>
          </w:p>
        </w:tc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Evaluación + IA</w:t>
            </w:r>
          </w:p>
        </w:tc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Probable saturación de naming; verificar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StudyPath</w:t>
            </w:r>
          </w:p>
        </w:tc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Internacional</w:t>
            </w:r>
          </w:p>
        </w:tc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Menos específico para mercado español inicial</w:t>
            </w:r>
          </w:p>
        </w:tc>
      </w:tr>
    </w:tbl>
    <w:p>
      <w:pPr>
        <w:spacing w:after="20"/>
      </w:pPr>
    </w:p>
    <w:p>
      <w:pPr>
        <w:pStyle w:val="Heading2"/>
        <w:spacing w:before="100" w:after="80"/>
      </w:pPr>
      <w:r>
        <w:rPr>
          <w:rFonts w:ascii="Aptos" w:hAnsi="Aptos"/>
          <w:b/>
          <w:color w:val="0F172A"/>
          <w:sz w:val="30"/>
        </w:rPr>
        <w:t>8.3 Wireframe de landing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9648"/>
      </w:tblGrid>
      <w:tr>
        <w:trPr>
          <w:cantSplit/>
        </w:trPr>
        <w:tc>
          <w:tcPr>
            <w:tcW w:type="dxa" w:w="5040"/>
            <w:shd w:fill="2563E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/>
        </w:tc>
        <w:tc>
          <w:tcPr>
            <w:tcW w:type="dxa" w:w="504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color w:val="0F172A"/>
                <w:sz w:val="20"/>
              </w:rPr>
              <w:t>PAUTA</w:t>
              <w:br/>
            </w:r>
            <w:r>
              <w:rPr>
                <w:rFonts w:ascii="Aptos" w:hAnsi="Aptos"/>
                <w:color w:val="475569"/>
                <w:sz w:val="19"/>
              </w:rPr>
              <w:t>Sube tu PAC. Descubre qué necesitas para resolverla.</w:t>
              <w:br/>
              <w:br/>
              <w:t>[ Arrastra tu PDF aquí ]</w:t>
              <w:br/>
              <w:br/>
              <w:t>Análisis básico gratis · Sin suscripción · Materiales opcionales</w:t>
            </w:r>
          </w:p>
        </w:tc>
      </w:tr>
    </w:tbl>
    <w:p>
      <w:pPr>
        <w:spacing w:after="20"/>
      </w:pPr>
    </w:p>
    <w:p>
      <w:pPr>
        <w:pStyle w:val="Heading1"/>
        <w:spacing w:before="160" w:after="80"/>
      </w:pPr>
      <w:r>
        <w:rPr>
          <w:rFonts w:ascii="Aptos" w:hAnsi="Aptos"/>
          <w:b/>
          <w:color w:val="0F172A"/>
          <w:sz w:val="40"/>
        </w:rPr>
        <w:t>9. Arquitectura del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232"/>
            <w:shd w:fill="0F172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Capa</w:t>
            </w:r>
          </w:p>
        </w:tc>
        <w:tc>
          <w:tcPr>
            <w:tcW w:type="dxa" w:w="7272"/>
            <w:shd w:fill="0F172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Tecnología / responsabilidad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Frontend</w:t>
            </w:r>
          </w:p>
        </w:tc>
        <w:tc>
          <w:tcPr>
            <w:tcW w:type="dxa" w:w="727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Next.js / React: upload, resultado, checkout, workspace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API</w:t>
            </w:r>
          </w:p>
        </w:tc>
        <w:tc>
          <w:tcPr>
            <w:tcW w:type="dxa" w:w="7272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FastAPI / Python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Document parsing</w:t>
            </w:r>
          </w:p>
        </w:tc>
        <w:tc>
          <w:tcPr>
            <w:tcW w:type="dxa" w:w="727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PDF/DOCX extraction; OCR solo si es necesario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Academic schema</w:t>
            </w:r>
          </w:p>
        </w:tc>
        <w:tc>
          <w:tcPr>
            <w:tcW w:type="dxa" w:w="7272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Pydantic: preguntas, requisitos, temas, rubric items, deadlines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Context / RAG</w:t>
            </w:r>
          </w:p>
        </w:tc>
        <w:tc>
          <w:tcPr>
            <w:tcW w:type="dxa" w:w="727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Materiales subidos + fuentes abiertas/licenciadas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LLM layer</w:t>
            </w:r>
          </w:p>
        </w:tc>
        <w:tc>
          <w:tcPr>
            <w:tcW w:type="dxa" w:w="7272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Modelo intercambiable; structured outputs; prompts versionados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Deterministic tools</w:t>
            </w:r>
          </w:p>
        </w:tc>
        <w:tc>
          <w:tcPr>
            <w:tcW w:type="dxa" w:w="727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Cálculos, ejecución de código, validadores por materia cuando aporte valor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Data</w:t>
            </w:r>
          </w:p>
        </w:tc>
        <w:tc>
          <w:tcPr>
            <w:tcW w:type="dxa" w:w="7272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PostgreSQL + object storage con retención controlada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Payments</w:t>
            </w:r>
          </w:p>
        </w:tc>
        <w:tc>
          <w:tcPr>
            <w:tcW w:type="dxa" w:w="727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Stripe; pago por operación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Analytics</w:t>
            </w:r>
          </w:p>
        </w:tc>
        <w:tc>
          <w:tcPr>
            <w:tcW w:type="dxa" w:w="7272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Eventos: visit → upload → free result → checkout → repeat</w:t>
            </w:r>
          </w:p>
        </w:tc>
      </w:tr>
    </w:tbl>
    <w:p>
      <w:pPr>
        <w:spacing w:after="20"/>
      </w:pPr>
    </w:p>
    <w:p>
      <w:pPr>
        <w:spacing w:after="80" w:line="259" w:lineRule="auto"/>
      </w:pPr>
      <w:r>
        <w:rPr>
          <w:rFonts w:ascii="Aptos" w:hAnsi="Aptos"/>
          <w:color w:val="475569"/>
          <w:sz w:val="19"/>
        </w:rPr>
        <w:t>Principio técnico: el LLM interpreta y redacta; las tareas verificables deberían delegarse progresivamente a herramientas deterministas. No bloquearse con una arquitectura multiagente en el MVP.</w:t>
      </w:r>
    </w:p>
    <w:p>
      <w:pPr>
        <w:pStyle w:val="Heading1"/>
        <w:spacing w:before="160" w:after="80"/>
      </w:pPr>
      <w:r>
        <w:rPr>
          <w:rFonts w:ascii="Aptos" w:hAnsi="Aptos"/>
          <w:b/>
          <w:color w:val="0F172A"/>
          <w:sz w:val="40"/>
        </w:rPr>
        <w:t>10. Alcance del MVP de 10 días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936"/>
            <w:shd w:fill="0F172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Día</w:t>
            </w:r>
          </w:p>
        </w:tc>
        <w:tc>
          <w:tcPr>
            <w:tcW w:type="dxa" w:w="8568"/>
            <w:shd w:fill="0F172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Entrega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1</w:t>
            </w:r>
          </w:p>
        </w:tc>
        <w:tc>
          <w:tcPr>
            <w:tcW w:type="dxa" w:w="856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Landing, flujo, eventos y esquema de resultados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2</w:t>
            </w:r>
          </w:p>
        </w:tc>
        <w:tc>
          <w:tcPr>
            <w:tcW w:type="dxa" w:w="8568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Upload PDF + extracción robusta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3</w:t>
            </w:r>
          </w:p>
        </w:tc>
        <w:tc>
          <w:tcPr>
            <w:tcW w:type="dxa" w:w="856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Clasificación de secciones/preguntas/requisitos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4</w:t>
            </w:r>
          </w:p>
        </w:tc>
        <w:tc>
          <w:tcPr>
            <w:tcW w:type="dxa" w:w="8568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PAC Analyzer gratuito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5</w:t>
            </w:r>
          </w:p>
        </w:tc>
        <w:tc>
          <w:tcPr>
            <w:tcW w:type="dxa" w:w="856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Upload opcional de materiales + recuperación de contexto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6</w:t>
            </w:r>
          </w:p>
        </w:tc>
        <w:tc>
          <w:tcPr>
            <w:tcW w:type="dxa" w:w="8568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Study Pack de pago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7</w:t>
            </w:r>
          </w:p>
        </w:tc>
        <w:tc>
          <w:tcPr>
            <w:tcW w:type="dxa" w:w="856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Guided Plan de pago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8</w:t>
            </w:r>
          </w:p>
        </w:tc>
        <w:tc>
          <w:tcPr>
            <w:tcW w:type="dxa" w:w="8568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Stripe + entrega/descarga + emails transaccionales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9</w:t>
            </w:r>
          </w:p>
        </w:tc>
        <w:tc>
          <w:tcPr>
            <w:tcW w:type="dxa" w:w="856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Analytics, límites, errores, privacidad y borrado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10</w:t>
            </w:r>
          </w:p>
        </w:tc>
        <w:tc>
          <w:tcPr>
            <w:tcW w:type="dxa" w:w="8568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QA con 20–30 actividades de ejemplo + publicación</w:t>
            </w:r>
          </w:p>
        </w:tc>
      </w:tr>
    </w:tbl>
    <w:p>
      <w:pPr>
        <w:spacing w:after="20"/>
      </w:pPr>
    </w:p>
    <w:p>
      <w:pPr>
        <w:pStyle w:val="Heading2"/>
        <w:spacing w:before="100" w:after="80"/>
      </w:pPr>
      <w:r>
        <w:rPr>
          <w:rFonts w:ascii="Aptos" w:hAnsi="Aptos"/>
          <w:b/>
          <w:color w:val="0F172A"/>
          <w:sz w:val="30"/>
        </w:rPr>
        <w:t>10.1 Lo que NO entra</w:t>
      </w:r>
    </w:p>
    <w:p>
      <w:pPr>
        <w:pStyle w:val="ListBullet"/>
        <w:spacing w:after="40"/>
        <w:ind w:left="317"/>
      </w:pPr>
      <w:r>
        <w:rPr>
          <w:rFonts w:ascii="Aptos" w:hAnsi="Aptos"/>
          <w:color w:val="475569"/>
          <w:sz w:val="19"/>
        </w:rPr>
        <w:t>Aplicación móvil.</w:t>
      </w:r>
    </w:p>
    <w:p>
      <w:pPr>
        <w:pStyle w:val="ListBullet"/>
        <w:spacing w:after="40"/>
        <w:ind w:left="317"/>
      </w:pPr>
      <w:r>
        <w:rPr>
          <w:rFonts w:ascii="Aptos" w:hAnsi="Aptos"/>
          <w:color w:val="475569"/>
          <w:sz w:val="19"/>
        </w:rPr>
        <w:t>Marketplace de profesores.</w:t>
      </w:r>
    </w:p>
    <w:p>
      <w:pPr>
        <w:pStyle w:val="ListBullet"/>
        <w:spacing w:after="40"/>
        <w:ind w:left="317"/>
      </w:pPr>
      <w:r>
        <w:rPr>
          <w:rFonts w:ascii="Aptos" w:hAnsi="Aptos"/>
          <w:color w:val="475569"/>
          <w:sz w:val="19"/>
        </w:rPr>
        <w:t>Biblioteca masiva de asignaturas.</w:t>
      </w:r>
    </w:p>
    <w:p>
      <w:pPr>
        <w:pStyle w:val="ListBullet"/>
        <w:spacing w:after="40"/>
        <w:ind w:left="317"/>
      </w:pPr>
      <w:r>
        <w:rPr>
          <w:rFonts w:ascii="Aptos" w:hAnsi="Aptos"/>
          <w:color w:val="475569"/>
          <w:sz w:val="19"/>
        </w:rPr>
        <w:t>Integraciones con campus universitarios privados.</w:t>
      </w:r>
    </w:p>
    <w:p>
      <w:pPr>
        <w:pStyle w:val="ListBullet"/>
        <w:spacing w:after="40"/>
        <w:ind w:left="317"/>
      </w:pPr>
      <w:r>
        <w:rPr>
          <w:rFonts w:ascii="Aptos" w:hAnsi="Aptos"/>
          <w:color w:val="475569"/>
          <w:sz w:val="19"/>
        </w:rPr>
        <w:t>Multiuniversidad desde el día uno.</w:t>
      </w:r>
    </w:p>
    <w:p>
      <w:pPr>
        <w:pStyle w:val="ListBullet"/>
        <w:spacing w:after="40"/>
        <w:ind w:left="317"/>
      </w:pPr>
      <w:r>
        <w:rPr>
          <w:rFonts w:ascii="Aptos" w:hAnsi="Aptos"/>
          <w:color w:val="475569"/>
          <w:sz w:val="19"/>
        </w:rPr>
        <w:t>Sistema multiagente complejo.</w:t>
      </w:r>
    </w:p>
    <w:p>
      <w:pPr>
        <w:pStyle w:val="ListBullet"/>
        <w:spacing w:after="40"/>
        <w:ind w:left="317"/>
      </w:pPr>
      <w:r>
        <w:rPr>
          <w:rFonts w:ascii="Aptos" w:hAnsi="Aptos"/>
          <w:color w:val="475569"/>
          <w:sz w:val="19"/>
        </w:rPr>
        <w:t>Generación de entregas finales listas para presentar.</w:t>
      </w:r>
    </w:p>
    <w:p>
      <w:pPr>
        <w:pStyle w:val="Heading1"/>
        <w:spacing w:before="160" w:after="80"/>
      </w:pPr>
      <w:r>
        <w:rPr>
          <w:rFonts w:ascii="Aptos" w:hAnsi="Aptos"/>
          <w:b/>
          <w:color w:val="0F172A"/>
          <w:sz w:val="40"/>
        </w:rPr>
        <w:t>11. Métricas de validación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304"/>
            <w:shd w:fill="0F172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Métrica</w:t>
            </w:r>
          </w:p>
        </w:tc>
        <w:tc>
          <w:tcPr>
            <w:tcW w:type="dxa" w:w="4032"/>
            <w:shd w:fill="0F172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Qué nos dice</w:t>
            </w:r>
          </w:p>
        </w:tc>
        <w:tc>
          <w:tcPr>
            <w:tcW w:type="dxa" w:w="3168"/>
            <w:shd w:fill="0F172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Objetivo inicial orientativo</w:t>
            </w:r>
          </w:p>
        </w:tc>
      </w:tr>
      <w:tr>
        <w:trPr>
          <w:cantSplit/>
        </w:trP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6"/>
              </w:rPr>
              <w:t>Landing → upload</w:t>
            </w:r>
          </w:p>
        </w:tc>
        <w:tc>
          <w:tcPr>
            <w:tcW w:type="dxa" w:w="403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6"/>
              </w:rPr>
              <w:t>Intención real de probar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6"/>
              </w:rPr>
              <w:t>&gt;10–15% en tráfico muy cualificado</w:t>
            </w:r>
          </w:p>
        </w:tc>
      </w:tr>
      <w:tr>
        <w:trPr>
          <w:cantSplit/>
        </w:trP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6"/>
              </w:rPr>
              <w:t>Upload → analyzer completado</w:t>
            </w:r>
          </w:p>
        </w:tc>
        <w:tc>
          <w:tcPr>
            <w:tcW w:type="dxa" w:w="4032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6"/>
              </w:rPr>
              <w:t>Calidad técnica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6"/>
              </w:rPr>
              <w:t>&gt;85%</w:t>
            </w:r>
          </w:p>
        </w:tc>
      </w:tr>
      <w:tr>
        <w:trPr>
          <w:cantSplit/>
        </w:trP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6"/>
              </w:rPr>
              <w:t>Free result → compra</w:t>
            </w:r>
          </w:p>
        </w:tc>
        <w:tc>
          <w:tcPr>
            <w:tcW w:type="dxa" w:w="403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6"/>
              </w:rPr>
              <w:t>WTP / diferenciación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6"/>
              </w:rPr>
              <w:t>Buscar &gt;5%; excelente si &gt;10%</w:t>
            </w:r>
          </w:p>
        </w:tc>
      </w:tr>
      <w:tr>
        <w:trPr>
          <w:cantSplit/>
        </w:trP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6"/>
              </w:rPr>
              <w:t>AOV</w:t>
            </w:r>
          </w:p>
        </w:tc>
        <w:tc>
          <w:tcPr>
            <w:tcW w:type="dxa" w:w="4032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6"/>
              </w:rPr>
              <w:t>Capacidad de monetizar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6"/>
              </w:rPr>
              <w:t>&gt;8 €</w:t>
            </w:r>
          </w:p>
        </w:tc>
      </w:tr>
      <w:tr>
        <w:trPr>
          <w:cantSplit/>
        </w:trP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6"/>
              </w:rPr>
              <w:t>Repeat purchase 60 días</w:t>
            </w:r>
          </w:p>
        </w:tc>
        <w:tc>
          <w:tcPr>
            <w:tcW w:type="dxa" w:w="403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6"/>
              </w:rPr>
              <w:t>Recurrencia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6"/>
              </w:rPr>
              <w:t>&gt;15% como señal inicial</w:t>
            </w:r>
          </w:p>
        </w:tc>
      </w:tr>
      <w:tr>
        <w:trPr>
          <w:cantSplit/>
        </w:trP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6"/>
              </w:rPr>
              <w:t>Refunds</w:t>
            </w:r>
          </w:p>
        </w:tc>
        <w:tc>
          <w:tcPr>
            <w:tcW w:type="dxa" w:w="4032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6"/>
              </w:rPr>
              <w:t>Desalineación de expectativas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6"/>
              </w:rPr>
              <w:t>&lt;5%</w:t>
            </w:r>
          </w:p>
        </w:tc>
      </w:tr>
      <w:tr>
        <w:trPr>
          <w:cantSplit/>
        </w:trP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6"/>
              </w:rPr>
              <w:t>Support rate</w:t>
            </w:r>
          </w:p>
        </w:tc>
        <w:tc>
          <w:tcPr>
            <w:tcW w:type="dxa" w:w="403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6"/>
              </w:rPr>
              <w:t>Compatibilidad con cero contacto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6"/>
              </w:rPr>
              <w:t>&lt;10% de compradores requieren intervención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9648"/>
      </w:tblGrid>
      <w:tr>
        <w:trPr>
          <w:cantSplit/>
        </w:trPr>
        <w:tc>
          <w:tcPr>
            <w:tcW w:type="dxa" w:w="5040"/>
            <w:shd w:fill="F59E0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/>
        </w:tc>
        <w:tc>
          <w:tcPr>
            <w:tcW w:type="dxa" w:w="5040"/>
            <w:shd w:fill="FFF7E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color w:val="0F172A"/>
                <w:sz w:val="20"/>
              </w:rPr>
              <w:t>Kill / pivot criterion</w:t>
              <w:br/>
            </w:r>
            <w:r>
              <w:rPr>
                <w:rFonts w:ascii="Aptos" w:hAnsi="Aptos"/>
                <w:color w:val="475569"/>
                <w:sz w:val="19"/>
              </w:rPr>
              <w:t>Si 100 uploads cualificados producen casi cero pagos, no añadir más asignaturas ni features: revisar propuesta, precio y diferencia frente a ChatGPT. Si tras 300 uploads la conversión sigue por debajo de ~2%, la hipótesis de pago necesita cambiar.</w:t>
            </w:r>
          </w:p>
        </w:tc>
      </w:tr>
    </w:tbl>
    <w:p>
      <w:pPr>
        <w:spacing w:after="20"/>
      </w:pPr>
    </w:p>
    <w:p>
      <w:pPr>
        <w:pStyle w:val="Heading1"/>
        <w:spacing w:before="160" w:after="80"/>
      </w:pPr>
      <w:r>
        <w:rPr>
          <w:rFonts w:ascii="Aptos" w:hAnsi="Aptos"/>
          <w:b/>
          <w:color w:val="0F172A"/>
          <w:sz w:val="40"/>
        </w:rPr>
        <w:t>12. Escenarios económicos</w:t>
      </w:r>
    </w:p>
    <w:p>
      <w:pPr>
        <w:spacing w:after="80" w:line="259" w:lineRule="auto"/>
      </w:pPr>
      <w:r>
        <w:rPr>
          <w:rFonts w:ascii="Aptos" w:hAnsi="Aptos"/>
          <w:color w:val="475569"/>
          <w:sz w:val="19"/>
        </w:rPr>
        <w:t>Estos escenarios son matemáticas de funnel, no previsiones. Sirven para visualizar qué volumen necesitamos y qué variable debemos validar.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blHeader w:val="true"/>
        </w:trPr>
        <w:tc>
          <w:tcPr>
            <w:tcW w:type="dxa" w:w="1656"/>
            <w:shd w:fill="0F172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Escenario</w:t>
            </w:r>
          </w:p>
        </w:tc>
        <w:tc>
          <w:tcPr>
            <w:tcW w:type="dxa" w:w="1584"/>
            <w:shd w:fill="0F172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Visitas/mes</w:t>
            </w:r>
          </w:p>
        </w:tc>
        <w:tc>
          <w:tcPr>
            <w:tcW w:type="dxa" w:w="1872"/>
            <w:shd w:fill="0F172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Uploads</w:t>
            </w:r>
          </w:p>
        </w:tc>
        <w:tc>
          <w:tcPr>
            <w:tcW w:type="dxa" w:w="1656"/>
            <w:shd w:fill="0F172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Compras</w:t>
            </w:r>
          </w:p>
        </w:tc>
        <w:tc>
          <w:tcPr>
            <w:tcW w:type="dxa" w:w="1296"/>
            <w:shd w:fill="0F172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AOV</w:t>
            </w:r>
          </w:p>
        </w:tc>
        <w:tc>
          <w:tcPr>
            <w:tcW w:type="dxa" w:w="1584"/>
            <w:shd w:fill="0F172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Ingresos</w:t>
            </w:r>
          </w:p>
        </w:tc>
      </w:tr>
      <w:tr>
        <w:trPr>
          <w:cantSplit/>
        </w:trP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Bajo</w:t>
            </w:r>
          </w:p>
        </w:tc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1.000</w:t>
            </w:r>
          </w:p>
        </w:tc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150 (15%)</w:t>
            </w:r>
          </w:p>
        </w:tc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12 (8%)</w:t>
            </w:r>
          </w:p>
        </w:tc>
        <w:tc>
          <w:tcPr>
            <w:tcW w:type="dxa" w:w="129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10 €</w:t>
            </w:r>
          </w:p>
        </w:tc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120 €</w:t>
            </w:r>
          </w:p>
        </w:tc>
      </w:tr>
      <w:tr>
        <w:trPr>
          <w:cantSplit/>
        </w:trP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Base objetivo</w:t>
            </w:r>
          </w:p>
        </w:tc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5.000</w:t>
            </w:r>
          </w:p>
        </w:tc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1.000 (20%)</w:t>
            </w:r>
          </w:p>
        </w:tc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100 (10%)</w:t>
            </w:r>
          </w:p>
        </w:tc>
        <w:tc>
          <w:tcPr>
            <w:tcW w:type="dxa" w:w="1296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10,5 €</w:t>
            </w:r>
          </w:p>
        </w:tc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1.050 €</w:t>
            </w:r>
          </w:p>
        </w:tc>
      </w:tr>
      <w:tr>
        <w:trPr>
          <w:cantSplit/>
        </w:trP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Fuerte</w:t>
            </w:r>
          </w:p>
        </w:tc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15.000</w:t>
            </w:r>
          </w:p>
        </w:tc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3.300 (22%)</w:t>
            </w:r>
          </w:p>
        </w:tc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396 (12%)</w:t>
            </w:r>
          </w:p>
        </w:tc>
        <w:tc>
          <w:tcPr>
            <w:tcW w:type="dxa" w:w="129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12 €</w:t>
            </w:r>
          </w:p>
        </w:tc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4.752 €</w:t>
            </w:r>
          </w:p>
        </w:tc>
      </w:tr>
    </w:tbl>
    <w:p>
      <w:pPr>
        <w:spacing w:after="20"/>
      </w:pPr>
    </w:p>
    <w:p>
      <w:pPr>
        <w:spacing w:after="80" w:line="259" w:lineRule="auto"/>
      </w:pPr>
      <w:r>
        <w:rPr>
          <w:rFonts w:ascii="Aptos" w:hAnsi="Aptos"/>
          <w:color w:val="475569"/>
          <w:sz w:val="19"/>
        </w:rPr>
        <w:t>El escenario base muestra por qué el problema principal sigue siendo distribución: 1.000 €/mes puede requerir alrededor de 100 compras de low-ticket, salvo que el AOV o la repetición aumenten. El SEO long-tail y el analyzer gratuito son, por tanto, parte del producto, no marketing posterior.</w:t>
      </w:r>
    </w:p>
    <w:p>
      <w:pPr>
        <w:pStyle w:val="Heading1"/>
        <w:spacing w:before="160" w:after="80"/>
      </w:pPr>
      <w:r>
        <w:rPr>
          <w:rFonts w:ascii="Aptos" w:hAnsi="Aptos"/>
          <w:b/>
          <w:color w:val="0F172A"/>
          <w:sz w:val="40"/>
        </w:rPr>
        <w:t>13. Distribución</w:t>
      </w:r>
    </w:p>
    <w:p>
      <w:pPr>
        <w:pStyle w:val="Heading2"/>
        <w:spacing w:before="100" w:after="80"/>
      </w:pPr>
      <w:r>
        <w:rPr>
          <w:rFonts w:ascii="Aptos" w:hAnsi="Aptos"/>
          <w:b/>
          <w:color w:val="0F172A"/>
          <w:sz w:val="30"/>
        </w:rPr>
        <w:t>13.1 SEO long-tail</w:t>
      </w:r>
    </w:p>
    <w:p>
      <w:pPr>
        <w:spacing w:after="80" w:line="259" w:lineRule="auto"/>
      </w:pPr>
      <w:r>
        <w:rPr>
          <w:rFonts w:ascii="Aptos" w:hAnsi="Aptos"/>
          <w:color w:val="475569"/>
          <w:sz w:val="19"/>
        </w:rPr>
        <w:t>Arquitectura potencial de páginas: universidad → grado → asignatura → tipo de ayuda. Solo crear páginas con información útil real, no miles de plantillas vacías.</w:t>
      </w:r>
    </w:p>
    <w:p>
      <w:pPr>
        <w:pStyle w:val="ListBullet"/>
        <w:spacing w:after="40"/>
        <w:ind w:left="317"/>
      </w:pPr>
      <w:r>
        <w:rPr>
          <w:rFonts w:ascii="Aptos" w:hAnsi="Aptos"/>
          <w:color w:val="475569"/>
          <w:sz w:val="19"/>
        </w:rPr>
        <w:t>/uoc/ade/contabilidad-de-costes/pac</w:t>
      </w:r>
    </w:p>
    <w:p>
      <w:pPr>
        <w:pStyle w:val="ListBullet"/>
        <w:spacing w:after="40"/>
        <w:ind w:left="317"/>
      </w:pPr>
      <w:r>
        <w:rPr>
          <w:rFonts w:ascii="Aptos" w:hAnsi="Aptos"/>
          <w:color w:val="475569"/>
          <w:sz w:val="19"/>
        </w:rPr>
        <w:t>/uoc/ade/macroeconomia/resumen</w:t>
      </w:r>
    </w:p>
    <w:p>
      <w:pPr>
        <w:pStyle w:val="ListBullet"/>
        <w:spacing w:after="40"/>
        <w:ind w:left="317"/>
      </w:pPr>
      <w:r>
        <w:rPr>
          <w:rFonts w:ascii="Aptos" w:hAnsi="Aptos"/>
          <w:color w:val="475569"/>
          <w:sz w:val="19"/>
        </w:rPr>
        <w:t>/uoc/psicologia/[asignatura]/pac</w:t>
      </w:r>
    </w:p>
    <w:p>
      <w:pPr>
        <w:pStyle w:val="ListBullet"/>
        <w:spacing w:after="40"/>
        <w:ind w:left="317"/>
      </w:pPr>
      <w:r>
        <w:rPr>
          <w:rFonts w:ascii="Aptos" w:hAnsi="Aptos"/>
          <w:color w:val="475569"/>
          <w:sz w:val="19"/>
        </w:rPr>
        <w:t>/uoc/[asignatura]/revisar-pac</w:t>
      </w:r>
    </w:p>
    <w:p>
      <w:pPr>
        <w:pStyle w:val="Heading2"/>
        <w:spacing w:before="100" w:after="80"/>
      </w:pPr>
      <w:r>
        <w:rPr>
          <w:rFonts w:ascii="Aptos" w:hAnsi="Aptos"/>
          <w:b/>
          <w:color w:val="0F172A"/>
          <w:sz w:val="30"/>
        </w:rPr>
        <w:t>13.2 Loop de producto</w:t>
      </w:r>
    </w:p>
    <w:p>
      <w:pPr>
        <w:spacing w:after="80" w:line="259" w:lineRule="auto"/>
      </w:pPr>
      <w:r>
        <w:rPr>
          <w:rFonts w:ascii="Aptos" w:hAnsi="Aptos"/>
          <w:color w:val="475569"/>
          <w:sz w:val="19"/>
        </w:rPr>
        <w:t>Búsqueda específica → PAC Analyzer gratuito → resultado útil → pago → review → siguiente PAC. Si funciona, el mismo alumno vuelve varias veces en el semestre.</w:t>
      </w:r>
    </w:p>
    <w:p>
      <w:pPr>
        <w:pStyle w:val="Heading2"/>
        <w:spacing w:before="100" w:after="80"/>
      </w:pPr>
      <w:r>
        <w:rPr>
          <w:rFonts w:ascii="Aptos" w:hAnsi="Aptos"/>
          <w:b/>
          <w:color w:val="0F172A"/>
          <w:sz w:val="30"/>
        </w:rPr>
        <w:t>13.3 Canales secundarios</w:t>
      </w:r>
    </w:p>
    <w:p>
      <w:pPr>
        <w:pStyle w:val="ListBullet"/>
        <w:spacing w:after="40"/>
        <w:ind w:left="317"/>
      </w:pPr>
      <w:r>
        <w:rPr>
          <w:rFonts w:ascii="Aptos" w:hAnsi="Aptos"/>
          <w:color w:val="475569"/>
          <w:sz w:val="19"/>
        </w:rPr>
        <w:t>Referral simple: crédito de 2–3 € por compañero que compra.</w:t>
      </w:r>
    </w:p>
    <w:p>
      <w:pPr>
        <w:pStyle w:val="ListBullet"/>
        <w:spacing w:after="40"/>
        <w:ind w:left="317"/>
      </w:pPr>
      <w:r>
        <w:rPr>
          <w:rFonts w:ascii="Aptos" w:hAnsi="Aptos"/>
          <w:color w:val="475569"/>
          <w:sz w:val="19"/>
        </w:rPr>
        <w:t>Páginas de recursos propios gratuitos: quizzes, fórmulas, conceptos, calculadoras por asignatura.</w:t>
      </w:r>
    </w:p>
    <w:p>
      <w:pPr>
        <w:pStyle w:val="ListBullet"/>
        <w:spacing w:after="40"/>
        <w:ind w:left="317"/>
      </w:pPr>
      <w:r>
        <w:rPr>
          <w:rFonts w:ascii="Aptos" w:hAnsi="Aptos"/>
          <w:color w:val="475569"/>
          <w:sz w:val="19"/>
        </w:rPr>
        <w:t>Search ads de presupuesto pequeño únicamente para validar keywords con intención alta.</w:t>
      </w:r>
    </w:p>
    <w:p>
      <w:pPr>
        <w:pStyle w:val="Heading1"/>
        <w:spacing w:before="160" w:after="80"/>
      </w:pPr>
      <w:r>
        <w:rPr>
          <w:rFonts w:ascii="Aptos" w:hAnsi="Aptos"/>
          <w:b/>
          <w:color w:val="0F172A"/>
          <w:sz w:val="40"/>
        </w:rPr>
        <w:t>14. Riesgos principales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592"/>
            <w:shd w:fill="0F172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Riesgo</w:t>
            </w:r>
          </w:p>
        </w:tc>
        <w:tc>
          <w:tcPr>
            <w:tcW w:type="dxa" w:w="1296"/>
            <w:shd w:fill="0F172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Severidad</w:t>
            </w:r>
          </w:p>
        </w:tc>
        <w:tc>
          <w:tcPr>
            <w:tcW w:type="dxa" w:w="5472"/>
            <w:shd w:fill="0F172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Mitigación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6"/>
              </w:rPr>
              <w:t>“Es solo un wrapper de ChatGPT”</w:t>
            </w:r>
          </w:p>
        </w:tc>
        <w:tc>
          <w:tcPr>
            <w:tcW w:type="dxa" w:w="129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6"/>
              </w:rPr>
              <w:t>Crítica</w:t>
            </w:r>
          </w:p>
        </w:tc>
        <w:tc>
          <w:tcPr>
            <w:tcW w:type="dxa" w:w="547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6"/>
              </w:rPr>
              <w:t>Workflow, tracing, rúbrica, contexto y herramientas específicas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6"/>
              </w:rPr>
              <w:t>Copyright de materiales</w:t>
            </w:r>
          </w:p>
        </w:tc>
        <w:tc>
          <w:tcPr>
            <w:tcW w:type="dxa" w:w="1296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6"/>
              </w:rPr>
              <w:t>Crítica</w:t>
            </w:r>
          </w:p>
        </w:tc>
        <w:tc>
          <w:tcPr>
            <w:tcW w:type="dxa" w:w="5472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6"/>
              </w:rPr>
              <w:t>BYO materials; verificar licencias; no scrapear campus privado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6"/>
              </w:rPr>
              <w:t>Integridad académica</w:t>
            </w:r>
          </w:p>
        </w:tc>
        <w:tc>
          <w:tcPr>
            <w:tcW w:type="dxa" w:w="129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6"/>
              </w:rPr>
              <w:t>Crítica</w:t>
            </w:r>
          </w:p>
        </w:tc>
        <w:tc>
          <w:tcPr>
            <w:tcW w:type="dxa" w:w="547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6"/>
              </w:rPr>
              <w:t>Guía/revisión; no entrega final ni exámenes en directo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6"/>
              </w:rPr>
              <w:t>Alucinaciones</w:t>
            </w:r>
          </w:p>
        </w:tc>
        <w:tc>
          <w:tcPr>
            <w:tcW w:type="dxa" w:w="1296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6"/>
              </w:rPr>
              <w:t>Alta</w:t>
            </w:r>
          </w:p>
        </w:tc>
        <w:tc>
          <w:tcPr>
            <w:tcW w:type="dxa" w:w="5472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6"/>
              </w:rPr>
              <w:t>Citas al material, abstención cuando no hay evidencia, evaluadores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6"/>
              </w:rPr>
              <w:t>Estacionalidad</w:t>
            </w:r>
          </w:p>
        </w:tc>
        <w:tc>
          <w:tcPr>
            <w:tcW w:type="dxa" w:w="129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6"/>
              </w:rPr>
              <w:t>Alta</w:t>
            </w:r>
          </w:p>
        </w:tc>
        <w:tc>
          <w:tcPr>
            <w:tcW w:type="dxa" w:w="547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6"/>
              </w:rPr>
              <w:t>Varias asignaturas/universidades después de validar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6"/>
              </w:rPr>
              <w:t>SEO lento</w:t>
            </w:r>
          </w:p>
        </w:tc>
        <w:tc>
          <w:tcPr>
            <w:tcW w:type="dxa" w:w="1296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6"/>
              </w:rPr>
              <w:t>Alta</w:t>
            </w:r>
          </w:p>
        </w:tc>
        <w:tc>
          <w:tcPr>
            <w:tcW w:type="dxa" w:w="5472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6"/>
              </w:rPr>
              <w:t>PAC Analyzer + small paid-search tests + referrals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6"/>
              </w:rPr>
              <w:t>Coste LLM</w:t>
            </w:r>
          </w:p>
        </w:tc>
        <w:tc>
          <w:tcPr>
            <w:tcW w:type="dxa" w:w="129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6"/>
              </w:rPr>
              <w:t>Media</w:t>
            </w:r>
          </w:p>
        </w:tc>
        <w:tc>
          <w:tcPr>
            <w:tcW w:type="dxa" w:w="547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6"/>
              </w:rPr>
              <w:t>Contexto optimizado, caching, modelos por tarea, límites por producto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6"/>
              </w:rPr>
              <w:t>Competidor copia UX</w:t>
            </w:r>
          </w:p>
        </w:tc>
        <w:tc>
          <w:tcPr>
            <w:tcW w:type="dxa" w:w="1296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6"/>
              </w:rPr>
              <w:t>Media</w:t>
            </w:r>
          </w:p>
        </w:tc>
        <w:tc>
          <w:tcPr>
            <w:tcW w:type="dxa" w:w="5472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6"/>
              </w:rPr>
              <w:t>Distribución + conocimiento vertical + datos de uso + calidad</w:t>
            </w:r>
          </w:p>
        </w:tc>
      </w:tr>
    </w:tbl>
    <w:p>
      <w:pPr>
        <w:spacing w:after="20"/>
      </w:pPr>
    </w:p>
    <w:p>
      <w:pPr>
        <w:pStyle w:val="Heading1"/>
        <w:spacing w:before="160" w:after="80"/>
      </w:pPr>
      <w:r>
        <w:rPr>
          <w:rFonts w:ascii="Aptos" w:hAnsi="Aptos"/>
          <w:b/>
          <w:color w:val="0F172A"/>
          <w:sz w:val="40"/>
        </w:rPr>
        <w:t>15. Agenda de trabajo para la siguiente sesión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1296"/>
            <w:shd w:fill="0F172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Prioridad</w:t>
            </w:r>
          </w:p>
        </w:tc>
        <w:tc>
          <w:tcPr>
            <w:tcW w:type="dxa" w:w="8352"/>
            <w:shd w:fill="0F172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Decisión que debemos cerrar</w:t>
            </w:r>
          </w:p>
        </w:tc>
      </w:tr>
      <w:tr>
        <w:trPr>
          <w:cantSplit/>
        </w:trPr>
        <w:tc>
          <w:tcPr>
            <w:tcW w:type="dxa" w:w="129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1</w:t>
            </w:r>
          </w:p>
        </w:tc>
        <w:tc>
          <w:tcPr>
            <w:tcW w:type="dxa" w:w="835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Nombre/posicionamiento: confirmar si PAUTA es solo working name o buscar naming definitivo</w:t>
            </w:r>
          </w:p>
        </w:tc>
      </w:tr>
      <w:tr>
        <w:trPr>
          <w:cantSplit/>
        </w:trPr>
        <w:tc>
          <w:tcPr>
            <w:tcW w:type="dxa" w:w="1296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2</w:t>
            </w:r>
          </w:p>
        </w:tc>
        <w:tc>
          <w:tcPr>
            <w:tcW w:type="dxa" w:w="8352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Elegir 3–5 asignaturas UOC para pruebas de calidad inicial</w:t>
            </w:r>
          </w:p>
        </w:tc>
      </w:tr>
      <w:tr>
        <w:trPr>
          <w:cantSplit/>
        </w:trPr>
        <w:tc>
          <w:tcPr>
            <w:tcW w:type="dxa" w:w="129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3</w:t>
            </w:r>
          </w:p>
        </w:tc>
        <w:tc>
          <w:tcPr>
            <w:tcW w:type="dxa" w:w="835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Definir JSON/schema exacto del PAC Analyzer</w:t>
            </w:r>
          </w:p>
        </w:tc>
      </w:tr>
      <w:tr>
        <w:trPr>
          <w:cantSplit/>
        </w:trPr>
        <w:tc>
          <w:tcPr>
            <w:tcW w:type="dxa" w:w="1296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4</w:t>
            </w:r>
          </w:p>
        </w:tc>
        <w:tc>
          <w:tcPr>
            <w:tcW w:type="dxa" w:w="8352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Diseñar prompt/evaluador y criterio de trazabilidad a materiales</w:t>
            </w:r>
          </w:p>
        </w:tc>
      </w:tr>
      <w:tr>
        <w:trPr>
          <w:cantSplit/>
        </w:trPr>
        <w:tc>
          <w:tcPr>
            <w:tcW w:type="dxa" w:w="129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5</w:t>
            </w:r>
          </w:p>
        </w:tc>
        <w:tc>
          <w:tcPr>
            <w:tcW w:type="dxa" w:w="835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Definir paywall: qué queda gratis y qué se desbloquea a 4,99 / 9,99 / 6,99 €</w:t>
            </w:r>
          </w:p>
        </w:tc>
      </w:tr>
      <w:tr>
        <w:trPr>
          <w:cantSplit/>
        </w:trPr>
        <w:tc>
          <w:tcPr>
            <w:tcW w:type="dxa" w:w="1296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6</w:t>
            </w:r>
          </w:p>
        </w:tc>
        <w:tc>
          <w:tcPr>
            <w:tcW w:type="dxa" w:w="8352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Wireframe de 3 pantallas: upload, analyzer, guided plan</w:t>
            </w:r>
          </w:p>
        </w:tc>
      </w:tr>
      <w:tr>
        <w:trPr>
          <w:cantSplit/>
        </w:trPr>
        <w:tc>
          <w:tcPr>
            <w:tcW w:type="dxa" w:w="129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7</w:t>
            </w:r>
          </w:p>
        </w:tc>
        <w:tc>
          <w:tcPr>
            <w:tcW w:type="dxa" w:w="835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Plan de validación de demanda: keywords, landing, tráfico, 100 uploads cualificados</w:t>
            </w:r>
          </w:p>
        </w:tc>
      </w:tr>
      <w:tr>
        <w:trPr>
          <w:cantSplit/>
        </w:trPr>
        <w:tc>
          <w:tcPr>
            <w:tcW w:type="dxa" w:w="1296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8</w:t>
            </w:r>
          </w:p>
        </w:tc>
        <w:tc>
          <w:tcPr>
            <w:tcW w:type="dxa" w:w="8352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Revisión legal mínima de términos, copyright, privacidad e integridad académica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9648"/>
      </w:tblGrid>
      <w:tr>
        <w:trPr>
          <w:cantSplit/>
        </w:trPr>
        <w:tc>
          <w:tcPr>
            <w:tcW w:type="dxa" w:w="5040"/>
            <w:shd w:fill="0F766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/>
        </w:tc>
        <w:tc>
          <w:tcPr>
            <w:tcW w:type="dxa" w:w="5040"/>
            <w:shd w:fill="F0FD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color w:val="0F172A"/>
                <w:sz w:val="20"/>
              </w:rPr>
              <w:t>Decisión recomendada hoy</w:t>
              <w:br/>
            </w:r>
            <w:r>
              <w:rPr>
                <w:rFonts w:ascii="Aptos" w:hAnsi="Aptos"/>
                <w:color w:val="475569"/>
                <w:sz w:val="19"/>
              </w:rPr>
              <w:t>No construir una biblioteca de resúmenes todavía. Construir primero el PAC Analyzer + Guided Plan y dejar que los propios uploads revelen qué grados y asignaturas merecen inversión en contenido específico.</w:t>
            </w:r>
          </w:p>
        </w:tc>
      </w:tr>
    </w:tbl>
    <w:p>
      <w:pPr>
        <w:spacing w:after="20"/>
      </w:pPr>
    </w:p>
    <w:p>
      <w:pPr>
        <w:pStyle w:val="Heading1"/>
        <w:spacing w:before="160" w:after="80"/>
      </w:pPr>
      <w:r>
        <w:rPr>
          <w:rFonts w:ascii="Aptos" w:hAnsi="Aptos"/>
          <w:b/>
          <w:color w:val="0F172A"/>
          <w:sz w:val="40"/>
        </w:rPr>
        <w:t>16. Fuentes y referencias actuales</w:t>
      </w:r>
    </w:p>
    <w:p>
      <w:pPr>
        <w:spacing w:after="60"/>
      </w:pPr>
      <w:r>
        <w:rPr>
          <w:rFonts w:ascii="Aptos" w:hAnsi="Aptos"/>
          <w:b/>
          <w:color w:val="0F172A"/>
          <w:sz w:val="17"/>
        </w:rPr>
        <w:t>Pacsolver — ejemplo de resolución PAC UOC 2025/2026 (70–100 € en algunas modalidades/asignaturas)</w:t>
        <w:br/>
      </w:r>
      <w:r>
        <w:rPr>
          <w:rFonts w:ascii="Aptos" w:hAnsi="Aptos"/>
          <w:color w:val="2563EB"/>
          <w:sz w:val="16"/>
        </w:rPr>
        <w:t>https://pacsolver.com/pedidos/asignatura/integracion-de-sistemas-de-informacion/</w:t>
      </w:r>
    </w:p>
    <w:p>
      <w:pPr>
        <w:spacing w:after="60"/>
      </w:pPr>
      <w:r>
        <w:rPr>
          <w:rFonts w:ascii="Aptos" w:hAnsi="Aptos"/>
          <w:b/>
          <w:color w:val="0F172A"/>
          <w:sz w:val="17"/>
        </w:rPr>
        <w:t>Pacsolver — ejemplo de resumen UOC 2026/2027 (40 € en la página observada)</w:t>
        <w:br/>
      </w:r>
      <w:r>
        <w:rPr>
          <w:rFonts w:ascii="Aptos" w:hAnsi="Aptos"/>
          <w:color w:val="2563EB"/>
          <w:sz w:val="16"/>
        </w:rPr>
        <w:t>https://pacsolver.com/pedidos/asignatura/resumen-control-presupuestario-y-de-gestion/</w:t>
      </w:r>
    </w:p>
    <w:p>
      <w:pPr>
        <w:spacing w:after="60"/>
      </w:pPr>
      <w:r>
        <w:rPr>
          <w:rFonts w:ascii="Aptos" w:hAnsi="Aptos"/>
          <w:b/>
          <w:color w:val="0F172A"/>
          <w:sz w:val="17"/>
        </w:rPr>
        <w:t>SolucionesPAC — ayuda específica y operación humana/WhatsApp</w:t>
        <w:br/>
      </w:r>
      <w:r>
        <w:rPr>
          <w:rFonts w:ascii="Aptos" w:hAnsi="Aptos"/>
          <w:color w:val="2563EB"/>
          <w:sz w:val="16"/>
        </w:rPr>
        <w:t>https://www.solucionespac.com/es/</w:t>
      </w:r>
    </w:p>
    <w:p>
      <w:pPr>
        <w:spacing w:after="60"/>
      </w:pPr>
      <w:r>
        <w:rPr>
          <w:rFonts w:ascii="Aptos" w:hAnsi="Aptos"/>
          <w:b/>
          <w:color w:val="0F172A"/>
          <w:sz w:val="17"/>
        </w:rPr>
        <w:t>UOC Biblioteca — OER en la UOC</w:t>
        <w:br/>
      </w:r>
      <w:r>
        <w:rPr>
          <w:rFonts w:ascii="Aptos" w:hAnsi="Aptos"/>
          <w:color w:val="2563EB"/>
          <w:sz w:val="16"/>
        </w:rPr>
        <w:t>https://biblioteca.uoc.edu/es/biblioguias/biblioguia/OER-en-la-UOC/</w:t>
      </w:r>
    </w:p>
    <w:p>
      <w:pPr>
        <w:spacing w:after="60"/>
      </w:pPr>
      <w:r>
        <w:rPr>
          <w:rFonts w:ascii="Aptos" w:hAnsi="Aptos"/>
          <w:b/>
          <w:color w:val="0F172A"/>
          <w:sz w:val="17"/>
        </w:rPr>
        <w:t>UOC — guía de recursos de aprendizaje 2026–2027</w:t>
        <w:br/>
      </w:r>
      <w:r>
        <w:rPr>
          <w:rFonts w:ascii="Aptos" w:hAnsi="Aptos"/>
          <w:color w:val="2563EB"/>
          <w:sz w:val="16"/>
        </w:rPr>
        <w:t>https://www.uoc.edu/estudiant/portal/guia/es/com_estudia/recursos_aprenentatge/index.html</w:t>
      </w:r>
    </w:p>
    <w:p>
      <w:pPr>
        <w:spacing w:after="60"/>
      </w:pPr>
      <w:r>
        <w:rPr>
          <w:rFonts w:ascii="Aptos" w:hAnsi="Aptos"/>
          <w:b/>
          <w:color w:val="0F172A"/>
          <w:sz w:val="17"/>
        </w:rPr>
        <w:t>UOC Biblioteca — propiedad intelectual y licencias Creative Commons</w:t>
        <w:br/>
      </w:r>
      <w:r>
        <w:rPr>
          <w:rFonts w:ascii="Aptos" w:hAnsi="Aptos"/>
          <w:color w:val="2563EB"/>
          <w:sz w:val="16"/>
        </w:rPr>
        <w:t>https://biblioteca.uoc.edu/es/estudiantes/la-propiedad-intelectual</w:t>
      </w:r>
    </w:p>
    <w:p>
      <w:pPr>
        <w:spacing w:after="80" w:line="259" w:lineRule="auto"/>
      </w:pPr>
      <w:r>
        <w:rPr>
          <w:rFonts w:ascii="Aptos" w:hAnsi="Aptos"/>
          <w:color w:val="475569"/>
          <w:sz w:val="17"/>
        </w:rPr>
        <w:t>Nota: precios, competidores y políticas pueden cambiar. Revalidar antes de publicar o tomar decisiones legales/comerciales.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475569"/>
        <w:sz w:val="15"/>
      </w:rPr>
      <w:t>Documento de trabajo · 10 septiembre 2026 · Nombre y disponibilidad de marca pendientes de validación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475569"/>
        <w:sz w:val="16"/>
      </w:rPr>
      <w:t>PAUTA  /  PRODUCT CONCEPT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F172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