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F53" w:rsidRPr="007E7E17" w:rsidRDefault="007B6F53" w:rsidP="007B6F53">
      <w:pPr>
        <w:rPr>
          <w:rFonts w:ascii="Times New Roman" w:hAnsi="Times New Roman" w:cs="Times New Roman"/>
          <w:sz w:val="24"/>
          <w:szCs w:val="24"/>
        </w:rPr>
      </w:pPr>
      <w:r w:rsidRPr="007E7E17">
        <w:rPr>
          <w:rFonts w:ascii="Times New Roman" w:hAnsi="Times New Roman" w:cs="Times New Roman"/>
          <w:sz w:val="24"/>
          <w:szCs w:val="24"/>
        </w:rPr>
        <w:t xml:space="preserve">TO: </w:t>
      </w:r>
      <w:r w:rsidR="002C3944" w:rsidRPr="007E7E17">
        <w:rPr>
          <w:rFonts w:ascii="Times New Roman" w:hAnsi="Times New Roman" w:cs="Times New Roman"/>
          <w:sz w:val="24"/>
          <w:szCs w:val="24"/>
        </w:rPr>
        <w:t>John Disraeli, Senior Partner at Disraeli Law Firm</w:t>
      </w:r>
    </w:p>
    <w:p w:rsidR="007B6F53" w:rsidRPr="007E7E17" w:rsidRDefault="007B6F53" w:rsidP="007B6F53">
      <w:pPr>
        <w:rPr>
          <w:rFonts w:ascii="Times New Roman" w:hAnsi="Times New Roman" w:cs="Times New Roman"/>
          <w:sz w:val="24"/>
          <w:szCs w:val="24"/>
        </w:rPr>
      </w:pPr>
      <w:r w:rsidRPr="007E7E17">
        <w:rPr>
          <w:rFonts w:ascii="Times New Roman" w:hAnsi="Times New Roman" w:cs="Times New Roman"/>
          <w:sz w:val="24"/>
          <w:szCs w:val="24"/>
        </w:rPr>
        <w:t xml:space="preserve">FROM: </w:t>
      </w:r>
      <w:r w:rsidR="002C3944" w:rsidRPr="007E7E17">
        <w:rPr>
          <w:rFonts w:ascii="Times New Roman" w:hAnsi="Times New Roman" w:cs="Times New Roman"/>
          <w:sz w:val="24"/>
          <w:szCs w:val="24"/>
        </w:rPr>
        <w:t xml:space="preserve">Eric </w:t>
      </w:r>
      <w:proofErr w:type="spellStart"/>
      <w:r w:rsidR="002C3944" w:rsidRPr="007E7E17">
        <w:rPr>
          <w:rFonts w:ascii="Times New Roman" w:hAnsi="Times New Roman" w:cs="Times New Roman"/>
          <w:sz w:val="24"/>
          <w:szCs w:val="24"/>
        </w:rPr>
        <w:t>Komar</w:t>
      </w:r>
      <w:proofErr w:type="spellEnd"/>
      <w:r w:rsidR="002C3944" w:rsidRPr="007E7E17">
        <w:rPr>
          <w:rFonts w:ascii="Times New Roman" w:hAnsi="Times New Roman" w:cs="Times New Roman"/>
          <w:sz w:val="24"/>
          <w:szCs w:val="24"/>
        </w:rPr>
        <w:t>, Senior Paralegal</w:t>
      </w:r>
    </w:p>
    <w:p w:rsidR="007B6F53" w:rsidRPr="007E7E17" w:rsidRDefault="007B6F53" w:rsidP="007B6F53">
      <w:pPr>
        <w:rPr>
          <w:rFonts w:ascii="Times New Roman" w:hAnsi="Times New Roman" w:cs="Times New Roman"/>
          <w:sz w:val="24"/>
          <w:szCs w:val="24"/>
        </w:rPr>
      </w:pPr>
      <w:r w:rsidRPr="007E7E17">
        <w:rPr>
          <w:rFonts w:ascii="Times New Roman" w:hAnsi="Times New Roman" w:cs="Times New Roman"/>
          <w:sz w:val="24"/>
          <w:szCs w:val="24"/>
        </w:rPr>
        <w:t xml:space="preserve">RE: </w:t>
      </w:r>
      <w:r w:rsidR="002C3944" w:rsidRPr="007E7E17">
        <w:rPr>
          <w:rFonts w:ascii="Times New Roman" w:hAnsi="Times New Roman" w:cs="Times New Roman"/>
          <w:sz w:val="24"/>
          <w:szCs w:val="24"/>
        </w:rPr>
        <w:t>Clyde Wilson’s case regarding age-related discrimination in the workplace</w:t>
      </w:r>
    </w:p>
    <w:p w:rsidR="003D379E" w:rsidRPr="007E7E17" w:rsidRDefault="007B6F53" w:rsidP="007B6F53">
      <w:pPr>
        <w:rPr>
          <w:rFonts w:ascii="Times New Roman" w:hAnsi="Times New Roman" w:cs="Times New Roman"/>
          <w:sz w:val="24"/>
          <w:szCs w:val="24"/>
        </w:rPr>
      </w:pPr>
      <w:r w:rsidRPr="007E7E17">
        <w:rPr>
          <w:rFonts w:ascii="Times New Roman" w:hAnsi="Times New Roman" w:cs="Times New Roman"/>
          <w:sz w:val="24"/>
          <w:szCs w:val="24"/>
        </w:rPr>
        <w:t xml:space="preserve">DATE: </w:t>
      </w:r>
      <w:r w:rsidR="002C3944" w:rsidRPr="007E7E17">
        <w:rPr>
          <w:rFonts w:ascii="Times New Roman" w:hAnsi="Times New Roman" w:cs="Times New Roman"/>
          <w:sz w:val="24"/>
          <w:szCs w:val="24"/>
        </w:rPr>
        <w:t>August 1, 2019</w:t>
      </w:r>
    </w:p>
    <w:p w:rsidR="00BF393E" w:rsidRPr="007E7E17" w:rsidRDefault="00BF393E" w:rsidP="007B6F53">
      <w:pPr>
        <w:rPr>
          <w:rFonts w:ascii="Times New Roman" w:hAnsi="Times New Roman" w:cs="Times New Roman"/>
          <w:sz w:val="24"/>
          <w:szCs w:val="24"/>
        </w:rPr>
      </w:pPr>
    </w:p>
    <w:p w:rsidR="007B6F53" w:rsidRPr="007E7E17" w:rsidRDefault="00BF393E" w:rsidP="00BF393E">
      <w:pPr>
        <w:pStyle w:val="ListParagraph"/>
        <w:numPr>
          <w:ilvl w:val="0"/>
          <w:numId w:val="1"/>
        </w:numPr>
        <w:rPr>
          <w:rFonts w:ascii="Times New Roman" w:hAnsi="Times New Roman" w:cs="Times New Roman"/>
          <w:sz w:val="24"/>
          <w:szCs w:val="24"/>
        </w:rPr>
      </w:pPr>
      <w:r w:rsidRPr="007E7E17">
        <w:rPr>
          <w:rFonts w:ascii="Times New Roman" w:hAnsi="Times New Roman" w:cs="Times New Roman"/>
          <w:sz w:val="24"/>
          <w:szCs w:val="24"/>
        </w:rPr>
        <w:t xml:space="preserve">The Legal </w:t>
      </w:r>
      <w:r w:rsidR="00A76AFF">
        <w:rPr>
          <w:rFonts w:ascii="Times New Roman" w:hAnsi="Times New Roman" w:cs="Times New Roman"/>
          <w:sz w:val="24"/>
          <w:szCs w:val="24"/>
        </w:rPr>
        <w:t>Issue/Questions</w:t>
      </w:r>
      <w:r w:rsidRPr="007E7E17">
        <w:rPr>
          <w:rFonts w:ascii="Times New Roman" w:hAnsi="Times New Roman" w:cs="Times New Roman"/>
          <w:sz w:val="24"/>
          <w:szCs w:val="24"/>
        </w:rPr>
        <w:t xml:space="preserve"> Presented:</w:t>
      </w:r>
      <w:r w:rsidR="0026356F">
        <w:rPr>
          <w:rFonts w:ascii="Times New Roman" w:hAnsi="Times New Roman" w:cs="Times New Roman"/>
          <w:sz w:val="24"/>
          <w:szCs w:val="24"/>
        </w:rPr>
        <w:br/>
      </w:r>
    </w:p>
    <w:p w:rsidR="007B6F53" w:rsidRDefault="00F70513" w:rsidP="004738B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Does </w:t>
      </w:r>
      <w:r w:rsidR="0098091C" w:rsidRPr="007E7E17">
        <w:rPr>
          <w:rFonts w:ascii="Times New Roman" w:hAnsi="Times New Roman" w:cs="Times New Roman"/>
          <w:sz w:val="24"/>
          <w:szCs w:val="24"/>
        </w:rPr>
        <w:t xml:space="preserve">Clyde Wilson’s dismissal from his </w:t>
      </w:r>
      <w:r w:rsidR="00265A64">
        <w:rPr>
          <w:rFonts w:ascii="Times New Roman" w:hAnsi="Times New Roman" w:cs="Times New Roman"/>
          <w:sz w:val="24"/>
          <w:szCs w:val="24"/>
        </w:rPr>
        <w:t>job</w:t>
      </w:r>
      <w:r w:rsidR="0098091C" w:rsidRPr="007E7E17">
        <w:rPr>
          <w:rFonts w:ascii="Times New Roman" w:hAnsi="Times New Roman" w:cs="Times New Roman"/>
          <w:sz w:val="24"/>
          <w:szCs w:val="24"/>
        </w:rPr>
        <w:t xml:space="preserve"> a</w:t>
      </w:r>
      <w:r w:rsidR="00D1410D">
        <w:rPr>
          <w:rFonts w:ascii="Times New Roman" w:hAnsi="Times New Roman" w:cs="Times New Roman"/>
          <w:sz w:val="24"/>
          <w:szCs w:val="24"/>
        </w:rPr>
        <w:t>t Dice &amp; Jacobs Law constitute an instance of age-rela</w:t>
      </w:r>
      <w:r w:rsidR="004738BC">
        <w:rPr>
          <w:rFonts w:ascii="Times New Roman" w:hAnsi="Times New Roman" w:cs="Times New Roman"/>
          <w:sz w:val="24"/>
          <w:szCs w:val="24"/>
        </w:rPr>
        <w:t>ted discrimination</w:t>
      </w:r>
      <w:r w:rsidR="004738BC">
        <w:rPr>
          <w:rStyle w:val="FootnoteReference"/>
          <w:rFonts w:ascii="Times New Roman" w:hAnsi="Times New Roman" w:cs="Times New Roman"/>
          <w:sz w:val="24"/>
          <w:szCs w:val="24"/>
        </w:rPr>
        <w:footnoteReference w:id="1"/>
      </w:r>
      <w:r w:rsidR="004738BC">
        <w:rPr>
          <w:rFonts w:ascii="Times New Roman" w:hAnsi="Times New Roman" w:cs="Times New Roman"/>
          <w:sz w:val="24"/>
          <w:szCs w:val="24"/>
        </w:rPr>
        <w:t>?</w:t>
      </w:r>
      <w:r w:rsidR="005A63E1">
        <w:rPr>
          <w:rFonts w:ascii="Times New Roman" w:hAnsi="Times New Roman" w:cs="Times New Roman"/>
          <w:sz w:val="24"/>
          <w:szCs w:val="24"/>
        </w:rPr>
        <w:t xml:space="preserve"> </w:t>
      </w:r>
      <w:r w:rsidR="00265A64">
        <w:rPr>
          <w:rFonts w:ascii="Times New Roman" w:hAnsi="Times New Roman" w:cs="Times New Roman"/>
          <w:sz w:val="24"/>
          <w:szCs w:val="24"/>
        </w:rPr>
        <w:t xml:space="preserve">Is our client’s claim of wrongful termination vis-à-vis ageist discrimination legitimized </w:t>
      </w:r>
      <w:r w:rsidR="001F7345">
        <w:rPr>
          <w:rFonts w:ascii="Times New Roman" w:hAnsi="Times New Roman" w:cs="Times New Roman"/>
          <w:sz w:val="24"/>
          <w:szCs w:val="24"/>
        </w:rPr>
        <w:t>through the application of</w:t>
      </w:r>
      <w:r>
        <w:rPr>
          <w:rFonts w:ascii="Times New Roman" w:hAnsi="Times New Roman" w:cs="Times New Roman"/>
          <w:sz w:val="24"/>
          <w:szCs w:val="24"/>
        </w:rPr>
        <w:t xml:space="preserve"> </w:t>
      </w:r>
      <w:r w:rsidR="004738BC">
        <w:rPr>
          <w:rFonts w:ascii="Times New Roman" w:hAnsi="Times New Roman" w:cs="Times New Roman"/>
          <w:sz w:val="24"/>
          <w:szCs w:val="24"/>
        </w:rPr>
        <w:t xml:space="preserve">state </w:t>
      </w:r>
      <w:r w:rsidR="00B10628">
        <w:rPr>
          <w:rFonts w:ascii="Times New Roman" w:hAnsi="Times New Roman" w:cs="Times New Roman"/>
          <w:sz w:val="24"/>
          <w:szCs w:val="24"/>
        </w:rPr>
        <w:t>and/</w:t>
      </w:r>
      <w:r w:rsidR="00D1410D">
        <w:rPr>
          <w:rFonts w:ascii="Times New Roman" w:hAnsi="Times New Roman" w:cs="Times New Roman"/>
          <w:sz w:val="24"/>
          <w:szCs w:val="24"/>
        </w:rPr>
        <w:t>or</w:t>
      </w:r>
      <w:r w:rsidR="0098091C" w:rsidRPr="007E7E17">
        <w:rPr>
          <w:rFonts w:ascii="Times New Roman" w:hAnsi="Times New Roman" w:cs="Times New Roman"/>
          <w:sz w:val="24"/>
          <w:szCs w:val="24"/>
        </w:rPr>
        <w:t xml:space="preserve"> federal laws </w:t>
      </w:r>
      <w:r>
        <w:rPr>
          <w:rFonts w:ascii="Times New Roman" w:hAnsi="Times New Roman" w:cs="Times New Roman"/>
          <w:sz w:val="24"/>
          <w:szCs w:val="24"/>
        </w:rPr>
        <w:t>proscribing</w:t>
      </w:r>
      <w:r w:rsidR="00265A64">
        <w:rPr>
          <w:rFonts w:ascii="Times New Roman" w:hAnsi="Times New Roman" w:cs="Times New Roman"/>
          <w:sz w:val="24"/>
          <w:szCs w:val="24"/>
        </w:rPr>
        <w:t xml:space="preserve"> such</w:t>
      </w:r>
      <w:r w:rsidR="0098091C" w:rsidRPr="007E7E17">
        <w:rPr>
          <w:rFonts w:ascii="Times New Roman" w:hAnsi="Times New Roman" w:cs="Times New Roman"/>
          <w:sz w:val="24"/>
          <w:szCs w:val="24"/>
        </w:rPr>
        <w:t xml:space="preserve"> discrimina</w:t>
      </w:r>
      <w:r w:rsidR="004738BC">
        <w:rPr>
          <w:rFonts w:ascii="Times New Roman" w:hAnsi="Times New Roman" w:cs="Times New Roman"/>
          <w:sz w:val="24"/>
          <w:szCs w:val="24"/>
        </w:rPr>
        <w:t>tion?</w:t>
      </w:r>
      <w:r w:rsidR="00265A64">
        <w:rPr>
          <w:rFonts w:ascii="Times New Roman" w:hAnsi="Times New Roman" w:cs="Times New Roman"/>
          <w:sz w:val="24"/>
          <w:szCs w:val="24"/>
        </w:rPr>
        <w:t xml:space="preserve"> Furthermore, assuming </w:t>
      </w:r>
      <w:r>
        <w:rPr>
          <w:rFonts w:ascii="Times New Roman" w:hAnsi="Times New Roman" w:cs="Times New Roman"/>
          <w:sz w:val="24"/>
          <w:szCs w:val="24"/>
        </w:rPr>
        <w:t xml:space="preserve">a satisfactory </w:t>
      </w:r>
      <w:r w:rsidR="00B10628">
        <w:rPr>
          <w:rFonts w:ascii="Times New Roman" w:hAnsi="Times New Roman" w:cs="Times New Roman"/>
          <w:sz w:val="24"/>
          <w:szCs w:val="24"/>
        </w:rPr>
        <w:t>demonstration of the matter in question</w:t>
      </w:r>
      <w:r>
        <w:rPr>
          <w:rFonts w:ascii="Times New Roman" w:hAnsi="Times New Roman" w:cs="Times New Roman"/>
          <w:sz w:val="24"/>
          <w:szCs w:val="24"/>
        </w:rPr>
        <w:t>,</w:t>
      </w:r>
      <w:r w:rsidR="00265A64">
        <w:rPr>
          <w:rFonts w:ascii="Times New Roman" w:hAnsi="Times New Roman" w:cs="Times New Roman"/>
          <w:sz w:val="24"/>
          <w:szCs w:val="24"/>
        </w:rPr>
        <w:t xml:space="preserve"> </w:t>
      </w:r>
      <w:r w:rsidR="00D67EA0">
        <w:rPr>
          <w:rFonts w:ascii="Times New Roman" w:hAnsi="Times New Roman" w:cs="Times New Roman"/>
          <w:sz w:val="24"/>
          <w:szCs w:val="24"/>
        </w:rPr>
        <w:t>does</w:t>
      </w:r>
      <w:r w:rsidR="00265A64">
        <w:rPr>
          <w:rFonts w:ascii="Times New Roman" w:hAnsi="Times New Roman" w:cs="Times New Roman"/>
          <w:sz w:val="24"/>
          <w:szCs w:val="24"/>
        </w:rPr>
        <w:t xml:space="preserve"> </w:t>
      </w:r>
      <w:r w:rsidR="00FE1694">
        <w:rPr>
          <w:rFonts w:ascii="Times New Roman" w:hAnsi="Times New Roman" w:cs="Times New Roman"/>
          <w:sz w:val="24"/>
          <w:szCs w:val="24"/>
        </w:rPr>
        <w:t>ou</w:t>
      </w:r>
      <w:r w:rsidR="00D67EA0">
        <w:rPr>
          <w:rFonts w:ascii="Times New Roman" w:hAnsi="Times New Roman" w:cs="Times New Roman"/>
          <w:sz w:val="24"/>
          <w:szCs w:val="24"/>
        </w:rPr>
        <w:t xml:space="preserve">r client have a legal mechanism </w:t>
      </w:r>
      <w:r>
        <w:rPr>
          <w:rFonts w:ascii="Times New Roman" w:hAnsi="Times New Roman" w:cs="Times New Roman"/>
          <w:sz w:val="24"/>
          <w:szCs w:val="24"/>
        </w:rPr>
        <w:t xml:space="preserve">he can </w:t>
      </w:r>
      <w:r w:rsidR="00571D5F">
        <w:rPr>
          <w:rFonts w:ascii="Times New Roman" w:hAnsi="Times New Roman" w:cs="Times New Roman"/>
          <w:sz w:val="24"/>
          <w:szCs w:val="24"/>
        </w:rPr>
        <w:t>utilize</w:t>
      </w:r>
      <w:r>
        <w:rPr>
          <w:rFonts w:ascii="Times New Roman" w:hAnsi="Times New Roman" w:cs="Times New Roman"/>
          <w:sz w:val="24"/>
          <w:szCs w:val="24"/>
        </w:rPr>
        <w:t xml:space="preserve"> </w:t>
      </w:r>
      <w:r w:rsidR="00D67EA0">
        <w:rPr>
          <w:rFonts w:ascii="Times New Roman" w:hAnsi="Times New Roman" w:cs="Times New Roman"/>
          <w:sz w:val="24"/>
          <w:szCs w:val="24"/>
        </w:rPr>
        <w:t xml:space="preserve">to regain </w:t>
      </w:r>
      <w:r w:rsidR="00571D5F">
        <w:rPr>
          <w:rFonts w:ascii="Times New Roman" w:hAnsi="Times New Roman" w:cs="Times New Roman"/>
          <w:sz w:val="24"/>
          <w:szCs w:val="24"/>
        </w:rPr>
        <w:t>his prior employment</w:t>
      </w:r>
      <w:r w:rsidR="00FE1694">
        <w:rPr>
          <w:rFonts w:ascii="Times New Roman" w:hAnsi="Times New Roman" w:cs="Times New Roman"/>
          <w:sz w:val="24"/>
          <w:szCs w:val="24"/>
        </w:rPr>
        <w:t>?</w:t>
      </w:r>
    </w:p>
    <w:p w:rsidR="004738BC" w:rsidRDefault="004738BC" w:rsidP="004738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Brief Answer:</w:t>
      </w:r>
    </w:p>
    <w:p w:rsidR="004738BC" w:rsidRPr="004738BC" w:rsidRDefault="00265A64" w:rsidP="004738B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the first point: Yes. To the second point: </w:t>
      </w:r>
      <w:r w:rsidR="00712EA5">
        <w:rPr>
          <w:rFonts w:ascii="Times New Roman" w:hAnsi="Times New Roman" w:cs="Times New Roman"/>
          <w:sz w:val="24"/>
          <w:szCs w:val="24"/>
        </w:rPr>
        <w:t>Yes.</w:t>
      </w:r>
      <w:r w:rsidR="00F70513">
        <w:rPr>
          <w:rFonts w:ascii="Times New Roman" w:hAnsi="Times New Roman" w:cs="Times New Roman"/>
          <w:sz w:val="24"/>
          <w:szCs w:val="24"/>
        </w:rPr>
        <w:t xml:space="preserve"> </w:t>
      </w:r>
      <w:r w:rsidR="009F2515">
        <w:rPr>
          <w:rFonts w:ascii="Times New Roman" w:hAnsi="Times New Roman" w:cs="Times New Roman"/>
          <w:sz w:val="24"/>
          <w:szCs w:val="24"/>
        </w:rPr>
        <w:t xml:space="preserve">To the third point: Yes. </w:t>
      </w:r>
      <w:r w:rsidR="00F70513">
        <w:rPr>
          <w:rFonts w:ascii="Times New Roman" w:hAnsi="Times New Roman" w:cs="Times New Roman"/>
          <w:sz w:val="24"/>
          <w:szCs w:val="24"/>
        </w:rPr>
        <w:t xml:space="preserve">With respect to </w:t>
      </w:r>
      <w:r w:rsidR="009F2515">
        <w:rPr>
          <w:rFonts w:ascii="Times New Roman" w:hAnsi="Times New Roman" w:cs="Times New Roman"/>
          <w:sz w:val="24"/>
          <w:szCs w:val="24"/>
        </w:rPr>
        <w:t>all three points</w:t>
      </w:r>
      <w:r w:rsidR="00712EA5">
        <w:rPr>
          <w:rFonts w:ascii="Times New Roman" w:hAnsi="Times New Roman" w:cs="Times New Roman"/>
          <w:sz w:val="24"/>
          <w:szCs w:val="24"/>
        </w:rPr>
        <w:t>, o</w:t>
      </w:r>
      <w:r w:rsidR="00341060">
        <w:rPr>
          <w:rFonts w:ascii="Times New Roman" w:hAnsi="Times New Roman" w:cs="Times New Roman"/>
          <w:sz w:val="24"/>
          <w:szCs w:val="24"/>
        </w:rPr>
        <w:t xml:space="preserve">ur client </w:t>
      </w:r>
      <w:r w:rsidR="00F70513">
        <w:rPr>
          <w:rFonts w:ascii="Times New Roman" w:hAnsi="Times New Roman" w:cs="Times New Roman"/>
          <w:sz w:val="24"/>
          <w:szCs w:val="24"/>
        </w:rPr>
        <w:t xml:space="preserve">has a </w:t>
      </w:r>
      <w:r w:rsidR="00712EA5">
        <w:rPr>
          <w:rFonts w:ascii="Times New Roman" w:hAnsi="Times New Roman" w:cs="Times New Roman"/>
          <w:sz w:val="24"/>
          <w:szCs w:val="24"/>
        </w:rPr>
        <w:t>valid</w:t>
      </w:r>
      <w:r w:rsidR="00341060">
        <w:rPr>
          <w:rFonts w:ascii="Times New Roman" w:hAnsi="Times New Roman" w:cs="Times New Roman"/>
          <w:sz w:val="24"/>
          <w:szCs w:val="24"/>
        </w:rPr>
        <w:t xml:space="preserve"> case </w:t>
      </w:r>
      <w:r w:rsidR="00F70513">
        <w:rPr>
          <w:rFonts w:ascii="Times New Roman" w:hAnsi="Times New Roman" w:cs="Times New Roman"/>
          <w:sz w:val="24"/>
          <w:szCs w:val="24"/>
        </w:rPr>
        <w:t xml:space="preserve">to make </w:t>
      </w:r>
      <w:r w:rsidR="00341060">
        <w:rPr>
          <w:rFonts w:ascii="Times New Roman" w:hAnsi="Times New Roman" w:cs="Times New Roman"/>
          <w:sz w:val="24"/>
          <w:szCs w:val="24"/>
        </w:rPr>
        <w:t>against his employer</w:t>
      </w:r>
      <w:r w:rsidR="009F2515">
        <w:rPr>
          <w:rFonts w:ascii="Times New Roman" w:hAnsi="Times New Roman" w:cs="Times New Roman"/>
          <w:sz w:val="24"/>
          <w:szCs w:val="24"/>
        </w:rPr>
        <w:t xml:space="preserve"> and </w:t>
      </w:r>
      <w:r w:rsidR="00571D5F">
        <w:rPr>
          <w:rFonts w:ascii="Times New Roman" w:hAnsi="Times New Roman" w:cs="Times New Roman"/>
          <w:sz w:val="24"/>
          <w:szCs w:val="24"/>
        </w:rPr>
        <w:t xml:space="preserve">has, at his disposal, </w:t>
      </w:r>
      <w:r w:rsidR="009F2515">
        <w:rPr>
          <w:rFonts w:ascii="Times New Roman" w:hAnsi="Times New Roman" w:cs="Times New Roman"/>
          <w:sz w:val="24"/>
          <w:szCs w:val="24"/>
        </w:rPr>
        <w:t>a legally-sanctioned means of redress</w:t>
      </w:r>
      <w:r w:rsidR="00F70513">
        <w:rPr>
          <w:rFonts w:ascii="Times New Roman" w:hAnsi="Times New Roman" w:cs="Times New Roman"/>
          <w:sz w:val="24"/>
          <w:szCs w:val="24"/>
        </w:rPr>
        <w:t>. The issue has two c</w:t>
      </w:r>
      <w:r w:rsidR="00F20BCE">
        <w:rPr>
          <w:rFonts w:ascii="Times New Roman" w:hAnsi="Times New Roman" w:cs="Times New Roman"/>
          <w:sz w:val="24"/>
          <w:szCs w:val="24"/>
        </w:rPr>
        <w:t>omponents. The first element lay in the determination of an age-related discriminatory grievance. Upon satisfaction</w:t>
      </w:r>
      <w:r w:rsidR="00F70513">
        <w:rPr>
          <w:rFonts w:ascii="Times New Roman" w:hAnsi="Times New Roman" w:cs="Times New Roman"/>
          <w:sz w:val="24"/>
          <w:szCs w:val="24"/>
        </w:rPr>
        <w:t>,</w:t>
      </w:r>
      <w:r w:rsidR="00F20BCE">
        <w:rPr>
          <w:rFonts w:ascii="Times New Roman" w:hAnsi="Times New Roman" w:cs="Times New Roman"/>
          <w:sz w:val="24"/>
          <w:szCs w:val="24"/>
        </w:rPr>
        <w:t xml:space="preserve"> this element is complimented with</w:t>
      </w:r>
      <w:r w:rsidR="00F70513">
        <w:rPr>
          <w:rFonts w:ascii="Times New Roman" w:hAnsi="Times New Roman" w:cs="Times New Roman"/>
          <w:sz w:val="24"/>
          <w:szCs w:val="24"/>
        </w:rPr>
        <w:t xml:space="preserve"> </w:t>
      </w:r>
      <w:r w:rsidR="00571D5F">
        <w:rPr>
          <w:rFonts w:ascii="Times New Roman" w:hAnsi="Times New Roman" w:cs="Times New Roman"/>
          <w:sz w:val="24"/>
          <w:szCs w:val="24"/>
        </w:rPr>
        <w:t xml:space="preserve">the </w:t>
      </w:r>
      <w:r w:rsidR="00F70513">
        <w:rPr>
          <w:rFonts w:ascii="Times New Roman" w:hAnsi="Times New Roman" w:cs="Times New Roman"/>
          <w:sz w:val="24"/>
          <w:szCs w:val="24"/>
        </w:rPr>
        <w:t xml:space="preserve">restoration of </w:t>
      </w:r>
      <w:r w:rsidR="00F20BCE">
        <w:rPr>
          <w:rFonts w:ascii="Times New Roman" w:hAnsi="Times New Roman" w:cs="Times New Roman"/>
          <w:sz w:val="24"/>
          <w:szCs w:val="24"/>
        </w:rPr>
        <w:t xml:space="preserve">the </w:t>
      </w:r>
      <w:r w:rsidR="009F2515">
        <w:rPr>
          <w:rFonts w:ascii="Times New Roman" w:hAnsi="Times New Roman" w:cs="Times New Roman"/>
          <w:sz w:val="24"/>
          <w:szCs w:val="24"/>
        </w:rPr>
        <w:t>illicitly-aborted</w:t>
      </w:r>
      <w:r w:rsidR="00341060">
        <w:rPr>
          <w:rFonts w:ascii="Times New Roman" w:hAnsi="Times New Roman" w:cs="Times New Roman"/>
          <w:sz w:val="24"/>
          <w:szCs w:val="24"/>
        </w:rPr>
        <w:t xml:space="preserve"> employment</w:t>
      </w:r>
      <w:r w:rsidR="009F2515">
        <w:rPr>
          <w:rFonts w:ascii="Times New Roman" w:hAnsi="Times New Roman" w:cs="Times New Roman"/>
          <w:sz w:val="24"/>
          <w:szCs w:val="24"/>
        </w:rPr>
        <w:t>.</w:t>
      </w:r>
      <w:r w:rsidR="00615BBF">
        <w:rPr>
          <w:rFonts w:ascii="Times New Roman" w:hAnsi="Times New Roman" w:cs="Times New Roman"/>
          <w:sz w:val="24"/>
          <w:szCs w:val="24"/>
        </w:rPr>
        <w:t xml:space="preserve"> </w:t>
      </w:r>
      <w:r w:rsidR="009F2515">
        <w:rPr>
          <w:rFonts w:ascii="Times New Roman" w:hAnsi="Times New Roman" w:cs="Times New Roman"/>
          <w:sz w:val="24"/>
          <w:szCs w:val="24"/>
        </w:rPr>
        <w:t>Both elements have</w:t>
      </w:r>
      <w:r w:rsidR="00341060">
        <w:rPr>
          <w:rFonts w:ascii="Times New Roman" w:hAnsi="Times New Roman" w:cs="Times New Roman"/>
          <w:sz w:val="24"/>
          <w:szCs w:val="24"/>
        </w:rPr>
        <w:t xml:space="preserve"> their</w:t>
      </w:r>
      <w:r w:rsidR="00615BBF">
        <w:rPr>
          <w:rFonts w:ascii="Times New Roman" w:hAnsi="Times New Roman" w:cs="Times New Roman"/>
          <w:sz w:val="24"/>
          <w:szCs w:val="24"/>
        </w:rPr>
        <w:t xml:space="preserve"> superstructure in </w:t>
      </w:r>
      <w:r w:rsidR="004738BC" w:rsidRPr="004738BC">
        <w:rPr>
          <w:rFonts w:ascii="Times New Roman" w:hAnsi="Times New Roman" w:cs="Times New Roman"/>
          <w:sz w:val="24"/>
          <w:szCs w:val="24"/>
        </w:rPr>
        <w:t>Fede</w:t>
      </w:r>
      <w:r w:rsidR="00615BBF">
        <w:rPr>
          <w:rFonts w:ascii="Times New Roman" w:hAnsi="Times New Roman" w:cs="Times New Roman"/>
          <w:sz w:val="24"/>
          <w:szCs w:val="24"/>
        </w:rPr>
        <w:t>ral Civil Rights law</w:t>
      </w:r>
      <w:r w:rsidR="00615BBF">
        <w:rPr>
          <w:rStyle w:val="FootnoteReference"/>
          <w:rFonts w:ascii="Times New Roman" w:hAnsi="Times New Roman" w:cs="Times New Roman"/>
          <w:sz w:val="24"/>
          <w:szCs w:val="24"/>
        </w:rPr>
        <w:footnoteReference w:id="2"/>
      </w:r>
      <w:r w:rsidR="00341060">
        <w:rPr>
          <w:rFonts w:ascii="Times New Roman" w:hAnsi="Times New Roman" w:cs="Times New Roman"/>
          <w:sz w:val="24"/>
          <w:szCs w:val="24"/>
        </w:rPr>
        <w:t xml:space="preserve">. Both elements have </w:t>
      </w:r>
      <w:r w:rsidR="009F2515">
        <w:rPr>
          <w:rFonts w:ascii="Times New Roman" w:hAnsi="Times New Roman" w:cs="Times New Roman"/>
          <w:sz w:val="24"/>
          <w:szCs w:val="24"/>
        </w:rPr>
        <w:t>ultimate antecedents (their</w:t>
      </w:r>
      <w:r w:rsidR="00615BBF">
        <w:rPr>
          <w:rFonts w:ascii="Times New Roman" w:hAnsi="Times New Roman" w:cs="Times New Roman"/>
          <w:sz w:val="24"/>
          <w:szCs w:val="24"/>
        </w:rPr>
        <w:t xml:space="preserve"> base) </w:t>
      </w:r>
      <w:r w:rsidR="004738BC" w:rsidRPr="004738BC">
        <w:rPr>
          <w:rFonts w:ascii="Times New Roman" w:hAnsi="Times New Roman" w:cs="Times New Roman"/>
          <w:sz w:val="24"/>
          <w:szCs w:val="24"/>
        </w:rPr>
        <w:t>in the Fourteenth</w:t>
      </w:r>
      <w:r w:rsidR="00190C9E">
        <w:rPr>
          <w:rFonts w:ascii="Times New Roman" w:hAnsi="Times New Roman" w:cs="Times New Roman"/>
          <w:sz w:val="24"/>
          <w:szCs w:val="24"/>
        </w:rPr>
        <w:t xml:space="preserve"> Amendment to the Constitution</w:t>
      </w:r>
      <w:r w:rsidR="00682923">
        <w:rPr>
          <w:rStyle w:val="FootnoteReference"/>
          <w:rFonts w:ascii="Times New Roman" w:hAnsi="Times New Roman" w:cs="Times New Roman"/>
          <w:sz w:val="24"/>
          <w:szCs w:val="24"/>
        </w:rPr>
        <w:footnoteReference w:id="3"/>
      </w:r>
      <w:r w:rsidR="00AF1430">
        <w:rPr>
          <w:rFonts w:ascii="Times New Roman" w:hAnsi="Times New Roman" w:cs="Times New Roman"/>
          <w:sz w:val="24"/>
          <w:szCs w:val="24"/>
        </w:rPr>
        <w:t>. The circumstances i</w:t>
      </w:r>
      <w:r w:rsidR="00065D2A">
        <w:rPr>
          <w:rFonts w:ascii="Times New Roman" w:hAnsi="Times New Roman" w:cs="Times New Roman"/>
          <w:sz w:val="24"/>
          <w:szCs w:val="24"/>
        </w:rPr>
        <w:t>nforming this particular</w:t>
      </w:r>
      <w:r w:rsidR="00AF1430">
        <w:rPr>
          <w:rFonts w:ascii="Times New Roman" w:hAnsi="Times New Roman" w:cs="Times New Roman"/>
          <w:sz w:val="24"/>
          <w:szCs w:val="24"/>
        </w:rPr>
        <w:t xml:space="preserve"> discrimination suit will, in all likelihood, not </w:t>
      </w:r>
      <w:r w:rsidR="009F2515">
        <w:rPr>
          <w:rFonts w:ascii="Times New Roman" w:hAnsi="Times New Roman" w:cs="Times New Roman"/>
          <w:sz w:val="24"/>
          <w:szCs w:val="24"/>
        </w:rPr>
        <w:t xml:space="preserve">require an </w:t>
      </w:r>
      <w:r w:rsidR="00F20BCE">
        <w:rPr>
          <w:rFonts w:ascii="Times New Roman" w:hAnsi="Times New Roman" w:cs="Times New Roman"/>
          <w:sz w:val="24"/>
          <w:szCs w:val="24"/>
        </w:rPr>
        <w:t>eventual</w:t>
      </w:r>
      <w:r w:rsidR="00AF1430">
        <w:rPr>
          <w:rFonts w:ascii="Times New Roman" w:hAnsi="Times New Roman" w:cs="Times New Roman"/>
          <w:sz w:val="24"/>
          <w:szCs w:val="24"/>
        </w:rPr>
        <w:t xml:space="preserve"> Constitution</w:t>
      </w:r>
      <w:r w:rsidR="00190C9E">
        <w:rPr>
          <w:rFonts w:ascii="Times New Roman" w:hAnsi="Times New Roman" w:cs="Times New Roman"/>
          <w:sz w:val="24"/>
          <w:szCs w:val="24"/>
        </w:rPr>
        <w:t xml:space="preserve"> challenge. </w:t>
      </w:r>
      <w:r w:rsidR="009F2515">
        <w:rPr>
          <w:rFonts w:ascii="Times New Roman" w:hAnsi="Times New Roman" w:cs="Times New Roman"/>
          <w:sz w:val="24"/>
          <w:szCs w:val="24"/>
        </w:rPr>
        <w:t xml:space="preserve">Based </w:t>
      </w:r>
      <w:r w:rsidR="009F2515">
        <w:rPr>
          <w:rFonts w:ascii="Times New Roman" w:hAnsi="Times New Roman" w:cs="Times New Roman"/>
          <w:sz w:val="24"/>
          <w:szCs w:val="24"/>
        </w:rPr>
        <w:lastRenderedPageBreak/>
        <w:t>on the law, our case does</w:t>
      </w:r>
      <w:r w:rsidR="00190C9E">
        <w:rPr>
          <w:rFonts w:ascii="Times New Roman" w:hAnsi="Times New Roman" w:cs="Times New Roman"/>
          <w:sz w:val="24"/>
          <w:szCs w:val="24"/>
        </w:rPr>
        <w:t xml:space="preserve"> not prescribe an eventual translation of </w:t>
      </w:r>
      <w:r w:rsidR="009F2515">
        <w:rPr>
          <w:rFonts w:ascii="Times New Roman" w:hAnsi="Times New Roman" w:cs="Times New Roman"/>
          <w:sz w:val="24"/>
          <w:szCs w:val="24"/>
        </w:rPr>
        <w:t>jurisdiction</w:t>
      </w:r>
      <w:r w:rsidR="00190C9E">
        <w:rPr>
          <w:rFonts w:ascii="Times New Roman" w:hAnsi="Times New Roman" w:cs="Times New Roman"/>
          <w:sz w:val="24"/>
          <w:szCs w:val="24"/>
        </w:rPr>
        <w:t xml:space="preserve"> from </w:t>
      </w:r>
      <w:r w:rsidR="00AF1430">
        <w:rPr>
          <w:rFonts w:ascii="Times New Roman" w:hAnsi="Times New Roman" w:cs="Times New Roman"/>
          <w:sz w:val="24"/>
          <w:szCs w:val="24"/>
        </w:rPr>
        <w:t>U.S. Fe</w:t>
      </w:r>
      <w:r w:rsidR="00190C9E">
        <w:rPr>
          <w:rFonts w:ascii="Times New Roman" w:hAnsi="Times New Roman" w:cs="Times New Roman"/>
          <w:sz w:val="24"/>
          <w:szCs w:val="24"/>
        </w:rPr>
        <w:t>deral District</w:t>
      </w:r>
      <w:r w:rsidR="009F2515">
        <w:rPr>
          <w:rFonts w:ascii="Times New Roman" w:hAnsi="Times New Roman" w:cs="Times New Roman"/>
          <w:sz w:val="24"/>
          <w:szCs w:val="24"/>
        </w:rPr>
        <w:t xml:space="preserve"> Court</w:t>
      </w:r>
      <w:r w:rsidR="00AF1430">
        <w:rPr>
          <w:rFonts w:ascii="Times New Roman" w:hAnsi="Times New Roman" w:cs="Times New Roman"/>
          <w:sz w:val="24"/>
          <w:szCs w:val="24"/>
        </w:rPr>
        <w:t xml:space="preserve"> to the Supreme Court</w:t>
      </w:r>
      <w:r w:rsidR="009F2515">
        <w:rPr>
          <w:rFonts w:ascii="Times New Roman" w:hAnsi="Times New Roman" w:cs="Times New Roman"/>
          <w:sz w:val="24"/>
          <w:szCs w:val="24"/>
        </w:rPr>
        <w:t>.</w:t>
      </w:r>
      <w:r w:rsidR="00AF1430">
        <w:rPr>
          <w:rFonts w:ascii="Times New Roman" w:hAnsi="Times New Roman" w:cs="Times New Roman"/>
          <w:sz w:val="24"/>
          <w:szCs w:val="24"/>
        </w:rPr>
        <w:t xml:space="preserve"> </w:t>
      </w:r>
    </w:p>
    <w:p w:rsidR="007B6F53" w:rsidRPr="007E7E17" w:rsidRDefault="004554C7" w:rsidP="007E7E17">
      <w:pPr>
        <w:pStyle w:val="ListParagraph"/>
        <w:numPr>
          <w:ilvl w:val="0"/>
          <w:numId w:val="1"/>
        </w:numPr>
        <w:spacing w:line="480" w:lineRule="auto"/>
        <w:rPr>
          <w:rFonts w:ascii="Times New Roman" w:hAnsi="Times New Roman" w:cs="Times New Roman"/>
          <w:sz w:val="24"/>
          <w:szCs w:val="24"/>
        </w:rPr>
      </w:pPr>
      <w:r w:rsidRPr="007E7E17">
        <w:rPr>
          <w:rFonts w:ascii="Times New Roman" w:hAnsi="Times New Roman" w:cs="Times New Roman"/>
          <w:sz w:val="24"/>
          <w:szCs w:val="24"/>
        </w:rPr>
        <w:t>Prefatory Remark</w:t>
      </w:r>
      <w:r w:rsidR="00D1410D">
        <w:rPr>
          <w:rFonts w:ascii="Times New Roman" w:hAnsi="Times New Roman" w:cs="Times New Roman"/>
          <w:sz w:val="24"/>
          <w:szCs w:val="24"/>
        </w:rPr>
        <w:t>s</w:t>
      </w:r>
      <w:r w:rsidR="00BF393E" w:rsidRPr="007E7E17">
        <w:rPr>
          <w:rFonts w:ascii="Times New Roman" w:hAnsi="Times New Roman" w:cs="Times New Roman"/>
          <w:sz w:val="24"/>
          <w:szCs w:val="24"/>
        </w:rPr>
        <w:t>:</w:t>
      </w:r>
    </w:p>
    <w:p w:rsidR="00BF393E" w:rsidRPr="007E7E17" w:rsidRDefault="00BF393E" w:rsidP="007E7E17">
      <w:pPr>
        <w:spacing w:line="480" w:lineRule="auto"/>
        <w:rPr>
          <w:rFonts w:ascii="Times New Roman" w:hAnsi="Times New Roman" w:cs="Times New Roman"/>
          <w:sz w:val="24"/>
          <w:szCs w:val="24"/>
        </w:rPr>
      </w:pPr>
      <w:r w:rsidRPr="007E7E17">
        <w:rPr>
          <w:rFonts w:ascii="Times New Roman" w:hAnsi="Times New Roman" w:cs="Times New Roman"/>
          <w:sz w:val="24"/>
          <w:szCs w:val="24"/>
        </w:rPr>
        <w:t>Dr. Robert N. Butler, the first director of the National Institute on Aging</w:t>
      </w:r>
      <w:r w:rsidR="00341060">
        <w:rPr>
          <w:rFonts w:ascii="Times New Roman" w:hAnsi="Times New Roman" w:cs="Times New Roman"/>
          <w:sz w:val="24"/>
          <w:szCs w:val="24"/>
        </w:rPr>
        <w:t>,</w:t>
      </w:r>
      <w:r w:rsidRPr="007E7E17">
        <w:rPr>
          <w:rFonts w:ascii="Times New Roman" w:hAnsi="Times New Roman" w:cs="Times New Roman"/>
          <w:sz w:val="24"/>
          <w:szCs w:val="24"/>
        </w:rPr>
        <w:t xml:space="preserve"> coined the term "ageism" in 1968. </w:t>
      </w:r>
      <w:r w:rsidR="00065D2A">
        <w:rPr>
          <w:rFonts w:ascii="Times New Roman" w:hAnsi="Times New Roman" w:cs="Times New Roman"/>
          <w:sz w:val="24"/>
          <w:szCs w:val="24"/>
        </w:rPr>
        <w:t>Butler defined ‘ageism’</w:t>
      </w:r>
      <w:r w:rsidRPr="007E7E17">
        <w:rPr>
          <w:rFonts w:ascii="Times New Roman" w:hAnsi="Times New Roman" w:cs="Times New Roman"/>
          <w:sz w:val="24"/>
          <w:szCs w:val="24"/>
        </w:rPr>
        <w:t xml:space="preserve"> as "a process of systematic stereotyping of and discrimination against people because they are old…Just as racism and sexism accomplish this with skin color and gender . . . ageism allows the younger generation to see older people as different from themselves; thus they subtly cease to identify with their elders as human beings."</w:t>
      </w:r>
      <w:r w:rsidRPr="007E7E17">
        <w:rPr>
          <w:rStyle w:val="FootnoteReference"/>
          <w:rFonts w:ascii="Times New Roman" w:hAnsi="Times New Roman" w:cs="Times New Roman"/>
          <w:sz w:val="24"/>
          <w:szCs w:val="24"/>
        </w:rPr>
        <w:footnoteReference w:id="4"/>
      </w:r>
      <w:r w:rsidR="00A4405A" w:rsidRPr="007E7E17">
        <w:rPr>
          <w:rFonts w:ascii="Times New Roman" w:hAnsi="Times New Roman" w:cs="Times New Roman"/>
          <w:sz w:val="24"/>
          <w:szCs w:val="24"/>
        </w:rPr>
        <w:t xml:space="preserve"> </w:t>
      </w:r>
      <w:r w:rsidR="00065D2A">
        <w:rPr>
          <w:rFonts w:ascii="Times New Roman" w:hAnsi="Times New Roman" w:cs="Times New Roman"/>
          <w:sz w:val="24"/>
          <w:szCs w:val="24"/>
        </w:rPr>
        <w:t>As a rule, prejudicial attitudes are inimical to the meritocratic praxis of American society</w:t>
      </w:r>
      <w:r w:rsidR="00065D2A">
        <w:rPr>
          <w:rStyle w:val="FootnoteReference"/>
          <w:rFonts w:ascii="Times New Roman" w:hAnsi="Times New Roman" w:cs="Times New Roman"/>
          <w:sz w:val="24"/>
          <w:szCs w:val="24"/>
        </w:rPr>
        <w:footnoteReference w:id="5"/>
      </w:r>
      <w:r w:rsidR="00065D2A">
        <w:rPr>
          <w:rFonts w:ascii="Times New Roman" w:hAnsi="Times New Roman" w:cs="Times New Roman"/>
          <w:sz w:val="24"/>
          <w:szCs w:val="24"/>
        </w:rPr>
        <w:t xml:space="preserve">. </w:t>
      </w:r>
      <w:r w:rsidR="00A4405A" w:rsidRPr="007E7E17">
        <w:rPr>
          <w:rFonts w:ascii="Times New Roman" w:hAnsi="Times New Roman" w:cs="Times New Roman"/>
          <w:sz w:val="24"/>
          <w:szCs w:val="24"/>
        </w:rPr>
        <w:t xml:space="preserve">American </w:t>
      </w:r>
      <w:r w:rsidR="004554C7" w:rsidRPr="007E7E17">
        <w:rPr>
          <w:rFonts w:ascii="Times New Roman" w:hAnsi="Times New Roman" w:cs="Times New Roman"/>
          <w:sz w:val="24"/>
          <w:szCs w:val="24"/>
        </w:rPr>
        <w:t>public</w:t>
      </w:r>
      <w:r w:rsidR="00A4405A" w:rsidRPr="007E7E17">
        <w:rPr>
          <w:rFonts w:ascii="Times New Roman" w:hAnsi="Times New Roman" w:cs="Times New Roman"/>
          <w:sz w:val="24"/>
          <w:szCs w:val="24"/>
        </w:rPr>
        <w:t xml:space="preserve"> policy</w:t>
      </w:r>
      <w:r w:rsidR="00D67EA0">
        <w:rPr>
          <w:rFonts w:ascii="Times New Roman" w:hAnsi="Times New Roman" w:cs="Times New Roman"/>
          <w:sz w:val="24"/>
          <w:szCs w:val="24"/>
        </w:rPr>
        <w:t xml:space="preserve"> (</w:t>
      </w:r>
      <w:r w:rsidR="009F2515">
        <w:rPr>
          <w:rFonts w:ascii="Times New Roman" w:hAnsi="Times New Roman" w:cs="Times New Roman"/>
          <w:sz w:val="24"/>
          <w:szCs w:val="24"/>
        </w:rPr>
        <w:t>which has manifestation</w:t>
      </w:r>
      <w:r w:rsidR="00D67EA0">
        <w:rPr>
          <w:rFonts w:ascii="Times New Roman" w:hAnsi="Times New Roman" w:cs="Times New Roman"/>
          <w:sz w:val="24"/>
          <w:szCs w:val="24"/>
        </w:rPr>
        <w:t xml:space="preserve"> in the law), </w:t>
      </w:r>
      <w:r w:rsidR="00BB73F1">
        <w:rPr>
          <w:rFonts w:ascii="Times New Roman" w:hAnsi="Times New Roman" w:cs="Times New Roman"/>
          <w:sz w:val="24"/>
          <w:szCs w:val="24"/>
        </w:rPr>
        <w:t>prohibits racial</w:t>
      </w:r>
      <w:r w:rsidR="00A4405A" w:rsidRPr="007E7E17">
        <w:rPr>
          <w:rFonts w:ascii="Times New Roman" w:hAnsi="Times New Roman" w:cs="Times New Roman"/>
          <w:sz w:val="24"/>
          <w:szCs w:val="24"/>
        </w:rPr>
        <w:t xml:space="preserve"> and sex</w:t>
      </w:r>
      <w:r w:rsidR="00BB73F1">
        <w:rPr>
          <w:rFonts w:ascii="Times New Roman" w:hAnsi="Times New Roman" w:cs="Times New Roman"/>
          <w:sz w:val="24"/>
          <w:szCs w:val="24"/>
        </w:rPr>
        <w:t xml:space="preserve">ual </w:t>
      </w:r>
      <w:r w:rsidR="00A4405A" w:rsidRPr="007E7E17">
        <w:rPr>
          <w:rFonts w:ascii="Times New Roman" w:hAnsi="Times New Roman" w:cs="Times New Roman"/>
          <w:sz w:val="24"/>
          <w:szCs w:val="24"/>
        </w:rPr>
        <w:t>discrimination</w:t>
      </w:r>
      <w:r w:rsidR="00D67EA0">
        <w:rPr>
          <w:rFonts w:ascii="Times New Roman" w:hAnsi="Times New Roman" w:cs="Times New Roman"/>
          <w:sz w:val="24"/>
          <w:szCs w:val="24"/>
        </w:rPr>
        <w:t>. The law</w:t>
      </w:r>
      <w:r w:rsidR="00A4405A" w:rsidRPr="007E7E17">
        <w:rPr>
          <w:rFonts w:ascii="Times New Roman" w:hAnsi="Times New Roman" w:cs="Times New Roman"/>
          <w:sz w:val="24"/>
          <w:szCs w:val="24"/>
        </w:rPr>
        <w:t xml:space="preserve"> </w:t>
      </w:r>
      <w:r w:rsidR="00BB73F1">
        <w:rPr>
          <w:rFonts w:ascii="Times New Roman" w:hAnsi="Times New Roman" w:cs="Times New Roman"/>
          <w:sz w:val="24"/>
          <w:szCs w:val="24"/>
        </w:rPr>
        <w:t xml:space="preserve">has </w:t>
      </w:r>
      <w:r w:rsidR="00A4405A" w:rsidRPr="007E7E17">
        <w:rPr>
          <w:rFonts w:ascii="Times New Roman" w:hAnsi="Times New Roman" w:cs="Times New Roman"/>
          <w:sz w:val="24"/>
          <w:szCs w:val="24"/>
        </w:rPr>
        <w:t xml:space="preserve">also </w:t>
      </w:r>
      <w:r w:rsidR="00BB73F1">
        <w:rPr>
          <w:rFonts w:ascii="Times New Roman" w:hAnsi="Times New Roman" w:cs="Times New Roman"/>
          <w:sz w:val="24"/>
          <w:szCs w:val="24"/>
        </w:rPr>
        <w:t>been amended to proscribe</w:t>
      </w:r>
      <w:r w:rsidR="00A4405A" w:rsidRPr="007E7E17">
        <w:rPr>
          <w:rFonts w:ascii="Times New Roman" w:hAnsi="Times New Roman" w:cs="Times New Roman"/>
          <w:sz w:val="24"/>
          <w:szCs w:val="24"/>
        </w:rPr>
        <w:t xml:space="preserve"> age-</w:t>
      </w:r>
      <w:r w:rsidR="00D67EA0">
        <w:rPr>
          <w:rFonts w:ascii="Times New Roman" w:hAnsi="Times New Roman" w:cs="Times New Roman"/>
          <w:sz w:val="24"/>
          <w:szCs w:val="24"/>
        </w:rPr>
        <w:t>related discrimination</w:t>
      </w:r>
      <w:r w:rsidR="00BB73F1">
        <w:rPr>
          <w:rFonts w:ascii="Times New Roman" w:hAnsi="Times New Roman" w:cs="Times New Roman"/>
          <w:sz w:val="24"/>
          <w:szCs w:val="24"/>
        </w:rPr>
        <w:t xml:space="preserve"> -- all three, of course, within the purview of the workplace</w:t>
      </w:r>
      <w:r w:rsidR="00D67EA0">
        <w:rPr>
          <w:rFonts w:ascii="Times New Roman" w:hAnsi="Times New Roman" w:cs="Times New Roman"/>
          <w:sz w:val="24"/>
          <w:szCs w:val="24"/>
        </w:rPr>
        <w:t xml:space="preserve">. Legally protected immutables such as </w:t>
      </w:r>
      <w:r w:rsidR="00A4405A" w:rsidRPr="007E7E17">
        <w:rPr>
          <w:rFonts w:ascii="Times New Roman" w:hAnsi="Times New Roman" w:cs="Times New Roman"/>
          <w:sz w:val="24"/>
          <w:szCs w:val="24"/>
        </w:rPr>
        <w:t>race and s</w:t>
      </w:r>
      <w:r w:rsidR="00D67EA0">
        <w:rPr>
          <w:rFonts w:ascii="Times New Roman" w:hAnsi="Times New Roman" w:cs="Times New Roman"/>
          <w:sz w:val="24"/>
          <w:szCs w:val="24"/>
        </w:rPr>
        <w:t xml:space="preserve">ex also include age; </w:t>
      </w:r>
      <w:r w:rsidR="00A4405A" w:rsidRPr="007E7E17">
        <w:rPr>
          <w:rFonts w:ascii="Times New Roman" w:hAnsi="Times New Roman" w:cs="Times New Roman"/>
          <w:sz w:val="24"/>
          <w:szCs w:val="24"/>
        </w:rPr>
        <w:t xml:space="preserve">one cannot </w:t>
      </w:r>
      <w:r w:rsidR="004554C7" w:rsidRPr="007E7E17">
        <w:rPr>
          <w:rFonts w:ascii="Times New Roman" w:hAnsi="Times New Roman" w:cs="Times New Roman"/>
          <w:sz w:val="24"/>
          <w:szCs w:val="24"/>
        </w:rPr>
        <w:t>“</w:t>
      </w:r>
      <w:r w:rsidR="00A4405A" w:rsidRPr="007E7E17">
        <w:rPr>
          <w:rFonts w:ascii="Times New Roman" w:hAnsi="Times New Roman" w:cs="Times New Roman"/>
          <w:sz w:val="24"/>
          <w:szCs w:val="24"/>
        </w:rPr>
        <w:t>choose</w:t>
      </w:r>
      <w:r w:rsidR="004554C7" w:rsidRPr="007E7E17">
        <w:rPr>
          <w:rFonts w:ascii="Times New Roman" w:hAnsi="Times New Roman" w:cs="Times New Roman"/>
          <w:sz w:val="24"/>
          <w:szCs w:val="24"/>
        </w:rPr>
        <w:t>”</w:t>
      </w:r>
      <w:r w:rsidR="00A4405A" w:rsidRPr="007E7E17">
        <w:rPr>
          <w:rFonts w:ascii="Times New Roman" w:hAnsi="Times New Roman" w:cs="Times New Roman"/>
          <w:sz w:val="24"/>
          <w:szCs w:val="24"/>
        </w:rPr>
        <w:t xml:space="preserve"> </w:t>
      </w:r>
      <w:r w:rsidR="004554C7" w:rsidRPr="007E7E17">
        <w:rPr>
          <w:rFonts w:ascii="Times New Roman" w:hAnsi="Times New Roman" w:cs="Times New Roman"/>
          <w:sz w:val="24"/>
          <w:szCs w:val="24"/>
        </w:rPr>
        <w:t xml:space="preserve">to turn a particular age but rather does so through </w:t>
      </w:r>
      <w:r w:rsidR="00D67EA0">
        <w:rPr>
          <w:rFonts w:ascii="Times New Roman" w:hAnsi="Times New Roman" w:cs="Times New Roman"/>
          <w:sz w:val="24"/>
          <w:szCs w:val="24"/>
        </w:rPr>
        <w:t>his</w:t>
      </w:r>
      <w:r w:rsidR="004554C7" w:rsidRPr="007E7E17">
        <w:rPr>
          <w:rFonts w:ascii="Times New Roman" w:hAnsi="Times New Roman" w:cs="Times New Roman"/>
          <w:sz w:val="24"/>
          <w:szCs w:val="24"/>
        </w:rPr>
        <w:t xml:space="preserve"> own continuous existence along the infinite arrow of time.</w:t>
      </w:r>
      <w:r w:rsidR="004554C7" w:rsidRPr="007E7E17">
        <w:rPr>
          <w:rStyle w:val="FootnoteReference"/>
          <w:rFonts w:ascii="Times New Roman" w:hAnsi="Times New Roman" w:cs="Times New Roman"/>
          <w:sz w:val="24"/>
          <w:szCs w:val="24"/>
        </w:rPr>
        <w:footnoteReference w:id="6"/>
      </w:r>
      <w:r w:rsidR="006D196C">
        <w:rPr>
          <w:rFonts w:ascii="Times New Roman" w:hAnsi="Times New Roman" w:cs="Times New Roman"/>
          <w:sz w:val="24"/>
          <w:szCs w:val="24"/>
        </w:rPr>
        <w:t xml:space="preserve"> </w:t>
      </w:r>
    </w:p>
    <w:p w:rsidR="007B6F53" w:rsidRPr="007E7E17" w:rsidRDefault="00FE6955" w:rsidP="007E7E17">
      <w:pPr>
        <w:spacing w:line="480" w:lineRule="auto"/>
        <w:ind w:firstLine="720"/>
        <w:rPr>
          <w:rFonts w:ascii="Times New Roman" w:hAnsi="Times New Roman" w:cs="Times New Roman"/>
          <w:sz w:val="24"/>
          <w:szCs w:val="24"/>
        </w:rPr>
      </w:pPr>
      <w:r>
        <w:rPr>
          <w:rFonts w:ascii="Times New Roman" w:hAnsi="Times New Roman" w:cs="Times New Roman"/>
          <w:sz w:val="24"/>
          <w:szCs w:val="24"/>
        </w:rPr>
        <w:t>Demonstrating ageism</w:t>
      </w:r>
      <w:r w:rsidR="0047471C" w:rsidRPr="007E7E17">
        <w:rPr>
          <w:rFonts w:ascii="Times New Roman" w:hAnsi="Times New Roman" w:cs="Times New Roman"/>
          <w:sz w:val="24"/>
          <w:szCs w:val="24"/>
        </w:rPr>
        <w:t xml:space="preserve">, however, </w:t>
      </w:r>
      <w:r>
        <w:rPr>
          <w:rFonts w:ascii="Times New Roman" w:hAnsi="Times New Roman" w:cs="Times New Roman"/>
          <w:sz w:val="24"/>
          <w:szCs w:val="24"/>
        </w:rPr>
        <w:t>relies on more than ju</w:t>
      </w:r>
      <w:r w:rsidR="00BB73F1">
        <w:rPr>
          <w:rFonts w:ascii="Times New Roman" w:hAnsi="Times New Roman" w:cs="Times New Roman"/>
          <w:sz w:val="24"/>
          <w:szCs w:val="24"/>
        </w:rPr>
        <w:t>st a</w:t>
      </w:r>
      <w:r w:rsidR="006F0358">
        <w:rPr>
          <w:rFonts w:ascii="Times New Roman" w:hAnsi="Times New Roman" w:cs="Times New Roman"/>
          <w:sz w:val="24"/>
          <w:szCs w:val="24"/>
        </w:rPr>
        <w:t xml:space="preserve"> </w:t>
      </w:r>
      <w:r w:rsidR="0047471C" w:rsidRPr="007E7E17">
        <w:rPr>
          <w:rFonts w:ascii="Times New Roman" w:hAnsi="Times New Roman" w:cs="Times New Roman"/>
          <w:sz w:val="24"/>
          <w:szCs w:val="24"/>
        </w:rPr>
        <w:t xml:space="preserve">suspicion </w:t>
      </w:r>
      <w:r w:rsidR="00A41E4A">
        <w:rPr>
          <w:rFonts w:ascii="Times New Roman" w:hAnsi="Times New Roman" w:cs="Times New Roman"/>
          <w:sz w:val="24"/>
          <w:szCs w:val="24"/>
        </w:rPr>
        <w:t xml:space="preserve">evinced from a </w:t>
      </w:r>
      <w:r w:rsidR="00BB73F1">
        <w:rPr>
          <w:rFonts w:ascii="Times New Roman" w:hAnsi="Times New Roman" w:cs="Times New Roman"/>
          <w:sz w:val="24"/>
          <w:szCs w:val="24"/>
        </w:rPr>
        <w:t xml:space="preserve">lengthy and fruitless job search; or, after many years of loyal, </w:t>
      </w:r>
      <w:r w:rsidR="00A41E4A">
        <w:rPr>
          <w:rFonts w:ascii="Times New Roman" w:hAnsi="Times New Roman" w:cs="Times New Roman"/>
          <w:sz w:val="24"/>
          <w:szCs w:val="24"/>
        </w:rPr>
        <w:t>steadfast</w:t>
      </w:r>
      <w:r w:rsidR="00571D5F">
        <w:rPr>
          <w:rFonts w:ascii="Times New Roman" w:hAnsi="Times New Roman" w:cs="Times New Roman"/>
          <w:sz w:val="24"/>
          <w:szCs w:val="24"/>
        </w:rPr>
        <w:t xml:space="preserve"> service, a </w:t>
      </w:r>
      <w:r w:rsidR="00C5391C">
        <w:rPr>
          <w:rFonts w:ascii="Times New Roman" w:hAnsi="Times New Roman" w:cs="Times New Roman"/>
          <w:sz w:val="24"/>
          <w:szCs w:val="24"/>
        </w:rPr>
        <w:t xml:space="preserve">dismissal </w:t>
      </w:r>
      <w:r w:rsidR="00571D5F">
        <w:rPr>
          <w:rFonts w:ascii="Times New Roman" w:hAnsi="Times New Roman" w:cs="Times New Roman"/>
          <w:sz w:val="24"/>
          <w:szCs w:val="24"/>
        </w:rPr>
        <w:t xml:space="preserve">from employment </w:t>
      </w:r>
      <w:r w:rsidR="00BB73F1">
        <w:rPr>
          <w:rFonts w:ascii="Times New Roman" w:hAnsi="Times New Roman" w:cs="Times New Roman"/>
          <w:sz w:val="24"/>
          <w:szCs w:val="24"/>
        </w:rPr>
        <w:t>which is ostensibly</w:t>
      </w:r>
      <w:r w:rsidR="007E7E17">
        <w:rPr>
          <w:rFonts w:ascii="Times New Roman" w:hAnsi="Times New Roman" w:cs="Times New Roman"/>
          <w:sz w:val="24"/>
          <w:szCs w:val="24"/>
        </w:rPr>
        <w:t xml:space="preserve"> congruent to the law</w:t>
      </w:r>
      <w:r w:rsidR="00C5391C">
        <w:rPr>
          <w:rFonts w:ascii="Times New Roman" w:hAnsi="Times New Roman" w:cs="Times New Roman"/>
          <w:sz w:val="24"/>
          <w:szCs w:val="24"/>
        </w:rPr>
        <w:t>. T</w:t>
      </w:r>
      <w:r>
        <w:rPr>
          <w:rFonts w:ascii="Times New Roman" w:hAnsi="Times New Roman" w:cs="Times New Roman"/>
          <w:sz w:val="24"/>
          <w:szCs w:val="24"/>
        </w:rPr>
        <w:t>wo</w:t>
      </w:r>
      <w:r w:rsidR="007E7E17">
        <w:rPr>
          <w:rFonts w:ascii="Times New Roman" w:hAnsi="Times New Roman" w:cs="Times New Roman"/>
          <w:sz w:val="24"/>
          <w:szCs w:val="24"/>
        </w:rPr>
        <w:t xml:space="preserve"> concrete </w:t>
      </w:r>
      <w:r w:rsidR="00BB73F1">
        <w:rPr>
          <w:rFonts w:ascii="Times New Roman" w:hAnsi="Times New Roman" w:cs="Times New Roman"/>
          <w:sz w:val="24"/>
          <w:szCs w:val="24"/>
        </w:rPr>
        <w:t xml:space="preserve">methods </w:t>
      </w:r>
      <w:r w:rsidR="00C5391C">
        <w:rPr>
          <w:rFonts w:ascii="Times New Roman" w:hAnsi="Times New Roman" w:cs="Times New Roman"/>
          <w:sz w:val="24"/>
          <w:szCs w:val="24"/>
        </w:rPr>
        <w:t>are employed when</w:t>
      </w:r>
      <w:r w:rsidR="00BB73F1">
        <w:rPr>
          <w:rFonts w:ascii="Times New Roman" w:hAnsi="Times New Roman" w:cs="Times New Roman"/>
          <w:sz w:val="24"/>
          <w:szCs w:val="24"/>
        </w:rPr>
        <w:t xml:space="preserve"> building </w:t>
      </w:r>
      <w:r w:rsidR="007F451B" w:rsidRPr="007E7E17">
        <w:rPr>
          <w:rFonts w:ascii="Times New Roman" w:hAnsi="Times New Roman" w:cs="Times New Roman"/>
          <w:sz w:val="24"/>
          <w:szCs w:val="24"/>
        </w:rPr>
        <w:t xml:space="preserve">a </w:t>
      </w:r>
      <w:r w:rsidR="007F451B" w:rsidRPr="00FE6955">
        <w:rPr>
          <w:rFonts w:ascii="Times New Roman" w:hAnsi="Times New Roman" w:cs="Times New Roman"/>
          <w:i/>
          <w:sz w:val="24"/>
          <w:szCs w:val="24"/>
        </w:rPr>
        <w:t>prima facie</w:t>
      </w:r>
      <w:r w:rsidR="007F451B" w:rsidRPr="007E7E17">
        <w:rPr>
          <w:rFonts w:ascii="Times New Roman" w:hAnsi="Times New Roman" w:cs="Times New Roman"/>
          <w:sz w:val="24"/>
          <w:szCs w:val="24"/>
        </w:rPr>
        <w:t xml:space="preserve"> cas</w:t>
      </w:r>
      <w:r w:rsidR="00BB73F1">
        <w:rPr>
          <w:rFonts w:ascii="Times New Roman" w:hAnsi="Times New Roman" w:cs="Times New Roman"/>
          <w:sz w:val="24"/>
          <w:szCs w:val="24"/>
        </w:rPr>
        <w:t>e of age-related prejudice: (1) one’s citation of direct discriminatory evidence</w:t>
      </w:r>
      <w:r w:rsidR="007F451B" w:rsidRPr="007E7E17">
        <w:rPr>
          <w:rStyle w:val="FootnoteReference"/>
          <w:rFonts w:ascii="Times New Roman" w:hAnsi="Times New Roman" w:cs="Times New Roman"/>
          <w:sz w:val="24"/>
          <w:szCs w:val="24"/>
        </w:rPr>
        <w:footnoteReference w:id="7"/>
      </w:r>
      <w:r w:rsidR="00BB73F1">
        <w:rPr>
          <w:rFonts w:ascii="Times New Roman" w:hAnsi="Times New Roman" w:cs="Times New Roman"/>
          <w:sz w:val="24"/>
          <w:szCs w:val="24"/>
        </w:rPr>
        <w:t>,</w:t>
      </w:r>
      <w:r w:rsidR="007F451B" w:rsidRPr="007E7E17">
        <w:rPr>
          <w:rFonts w:ascii="Times New Roman" w:hAnsi="Times New Roman" w:cs="Times New Roman"/>
          <w:sz w:val="24"/>
          <w:szCs w:val="24"/>
        </w:rPr>
        <w:t xml:space="preserve"> or</w:t>
      </w:r>
      <w:r w:rsidR="00F82D07">
        <w:rPr>
          <w:rFonts w:ascii="Times New Roman" w:hAnsi="Times New Roman" w:cs="Times New Roman"/>
          <w:sz w:val="24"/>
          <w:szCs w:val="24"/>
        </w:rPr>
        <w:t xml:space="preserve">, if the circumstances surrounding the alleged discrimination are </w:t>
      </w:r>
      <w:r w:rsidR="00F82D07">
        <w:rPr>
          <w:rFonts w:ascii="Times New Roman" w:hAnsi="Times New Roman" w:cs="Times New Roman"/>
          <w:sz w:val="24"/>
          <w:szCs w:val="24"/>
        </w:rPr>
        <w:lastRenderedPageBreak/>
        <w:t>more nebulous,</w:t>
      </w:r>
      <w:r w:rsidR="007F451B" w:rsidRPr="007E7E17">
        <w:rPr>
          <w:rFonts w:ascii="Times New Roman" w:hAnsi="Times New Roman" w:cs="Times New Roman"/>
          <w:sz w:val="24"/>
          <w:szCs w:val="24"/>
        </w:rPr>
        <w:t xml:space="preserve"> (2)</w:t>
      </w:r>
      <w:r w:rsidR="00C5391C">
        <w:rPr>
          <w:rFonts w:ascii="Times New Roman" w:hAnsi="Times New Roman" w:cs="Times New Roman"/>
          <w:sz w:val="24"/>
          <w:szCs w:val="24"/>
        </w:rPr>
        <w:t xml:space="preserve"> an achievement of the four requisites which are to</w:t>
      </w:r>
      <w:r w:rsidR="007F451B" w:rsidRPr="007E7E17">
        <w:rPr>
          <w:rFonts w:ascii="Times New Roman" w:hAnsi="Times New Roman" w:cs="Times New Roman"/>
          <w:sz w:val="24"/>
          <w:szCs w:val="24"/>
        </w:rPr>
        <w:t xml:space="preserve"> </w:t>
      </w:r>
      <w:r w:rsidR="00C5391C">
        <w:rPr>
          <w:rFonts w:ascii="Times New Roman" w:hAnsi="Times New Roman" w:cs="Times New Roman"/>
          <w:sz w:val="24"/>
          <w:szCs w:val="24"/>
        </w:rPr>
        <w:t>serve</w:t>
      </w:r>
      <w:r w:rsidR="0078482E">
        <w:rPr>
          <w:rFonts w:ascii="Times New Roman" w:hAnsi="Times New Roman" w:cs="Times New Roman"/>
          <w:sz w:val="24"/>
          <w:szCs w:val="24"/>
        </w:rPr>
        <w:t xml:space="preserve"> as the first burden in an indirect</w:t>
      </w:r>
      <w:r w:rsidR="007F451B" w:rsidRPr="007E7E17">
        <w:rPr>
          <w:rFonts w:ascii="Times New Roman" w:hAnsi="Times New Roman" w:cs="Times New Roman"/>
          <w:sz w:val="24"/>
          <w:szCs w:val="24"/>
        </w:rPr>
        <w:t xml:space="preserve"> </w:t>
      </w:r>
      <w:r w:rsidR="007F451B" w:rsidRPr="00D1410D">
        <w:rPr>
          <w:rFonts w:ascii="Times New Roman" w:hAnsi="Times New Roman" w:cs="Times New Roman"/>
          <w:i/>
          <w:sz w:val="24"/>
          <w:szCs w:val="24"/>
        </w:rPr>
        <w:t>prima facie</w:t>
      </w:r>
      <w:r w:rsidR="007F451B" w:rsidRPr="007E7E17">
        <w:rPr>
          <w:rFonts w:ascii="Times New Roman" w:hAnsi="Times New Roman" w:cs="Times New Roman"/>
          <w:sz w:val="24"/>
          <w:szCs w:val="24"/>
        </w:rPr>
        <w:t xml:space="preserve"> </w:t>
      </w:r>
      <w:r w:rsidR="00571D5F">
        <w:rPr>
          <w:rFonts w:ascii="Times New Roman" w:hAnsi="Times New Roman" w:cs="Times New Roman"/>
          <w:sz w:val="24"/>
          <w:szCs w:val="24"/>
        </w:rPr>
        <w:t>case</w:t>
      </w:r>
      <w:r w:rsidR="0078482E">
        <w:rPr>
          <w:rFonts w:ascii="Times New Roman" w:hAnsi="Times New Roman" w:cs="Times New Roman"/>
          <w:sz w:val="24"/>
          <w:szCs w:val="24"/>
        </w:rPr>
        <w:t xml:space="preserve"> of discrimination. This </w:t>
      </w:r>
      <w:r w:rsidR="00C5391C">
        <w:rPr>
          <w:rFonts w:ascii="Times New Roman" w:hAnsi="Times New Roman" w:cs="Times New Roman"/>
          <w:sz w:val="24"/>
          <w:szCs w:val="24"/>
        </w:rPr>
        <w:t xml:space="preserve">precedent </w:t>
      </w:r>
      <w:r w:rsidR="0078482E">
        <w:rPr>
          <w:rFonts w:ascii="Times New Roman" w:hAnsi="Times New Roman" w:cs="Times New Roman"/>
          <w:sz w:val="24"/>
          <w:szCs w:val="24"/>
        </w:rPr>
        <w:t>was established by t</w:t>
      </w:r>
      <w:r w:rsidR="007626DE">
        <w:rPr>
          <w:rFonts w:ascii="Times New Roman" w:hAnsi="Times New Roman" w:cs="Times New Roman"/>
          <w:sz w:val="24"/>
          <w:szCs w:val="24"/>
        </w:rPr>
        <w:t>he Supreme Court in</w:t>
      </w:r>
      <w:r w:rsidR="007F451B" w:rsidRPr="007E7E17">
        <w:rPr>
          <w:rFonts w:ascii="Times New Roman" w:hAnsi="Times New Roman" w:cs="Times New Roman"/>
          <w:sz w:val="24"/>
          <w:szCs w:val="24"/>
        </w:rPr>
        <w:t xml:space="preserve"> </w:t>
      </w:r>
      <w:r w:rsidR="007F451B" w:rsidRPr="007E7E17">
        <w:rPr>
          <w:rFonts w:ascii="Times New Roman" w:hAnsi="Times New Roman" w:cs="Times New Roman"/>
          <w:sz w:val="24"/>
          <w:szCs w:val="24"/>
          <w:u w:val="single"/>
        </w:rPr>
        <w:t>McDonnell Douglas Corp. v. Green, 411 U.S. 792 (1973)</w:t>
      </w:r>
      <w:r w:rsidR="007F451B" w:rsidRPr="007E7E17">
        <w:rPr>
          <w:rStyle w:val="FootnoteReference"/>
          <w:rFonts w:ascii="Times New Roman" w:hAnsi="Times New Roman" w:cs="Times New Roman"/>
          <w:sz w:val="24"/>
          <w:szCs w:val="24"/>
          <w:u w:val="single"/>
        </w:rPr>
        <w:footnoteReference w:id="8"/>
      </w:r>
      <w:r w:rsidR="007E7E17" w:rsidRPr="007E7E17">
        <w:rPr>
          <w:rFonts w:ascii="Times New Roman" w:hAnsi="Times New Roman" w:cs="Times New Roman"/>
          <w:sz w:val="24"/>
          <w:szCs w:val="24"/>
        </w:rPr>
        <w:t>.</w:t>
      </w:r>
    </w:p>
    <w:p w:rsidR="00047DBE" w:rsidRDefault="00D1410D" w:rsidP="00470A9E">
      <w:pPr>
        <w:spacing w:line="480" w:lineRule="auto"/>
        <w:rPr>
          <w:rFonts w:ascii="Times New Roman" w:hAnsi="Times New Roman" w:cs="Times New Roman"/>
          <w:sz w:val="24"/>
          <w:szCs w:val="24"/>
        </w:rPr>
      </w:pPr>
      <w:r>
        <w:tab/>
      </w:r>
      <w:r w:rsidR="0078482E">
        <w:rPr>
          <w:rFonts w:ascii="Times New Roman" w:hAnsi="Times New Roman" w:cs="Times New Roman"/>
          <w:sz w:val="24"/>
          <w:szCs w:val="24"/>
        </w:rPr>
        <w:t>While it will</w:t>
      </w:r>
      <w:r w:rsidR="00571D5F">
        <w:rPr>
          <w:rFonts w:ascii="Times New Roman" w:hAnsi="Times New Roman" w:cs="Times New Roman"/>
          <w:sz w:val="24"/>
          <w:szCs w:val="24"/>
        </w:rPr>
        <w:t xml:space="preserve"> be necessary to fully explicate</w:t>
      </w:r>
      <w:r w:rsidR="0078482E">
        <w:rPr>
          <w:rFonts w:ascii="Times New Roman" w:hAnsi="Times New Roman" w:cs="Times New Roman"/>
          <w:sz w:val="24"/>
          <w:szCs w:val="24"/>
        </w:rPr>
        <w:t xml:space="preserve"> </w:t>
      </w:r>
      <w:r w:rsidR="00C5391C">
        <w:rPr>
          <w:rFonts w:ascii="Times New Roman" w:hAnsi="Times New Roman" w:cs="Times New Roman"/>
          <w:sz w:val="24"/>
          <w:szCs w:val="24"/>
        </w:rPr>
        <w:t>all discriminatory mechanics</w:t>
      </w:r>
      <w:r w:rsidR="0078482E">
        <w:rPr>
          <w:rFonts w:ascii="Times New Roman" w:hAnsi="Times New Roman" w:cs="Times New Roman"/>
          <w:sz w:val="24"/>
          <w:szCs w:val="24"/>
        </w:rPr>
        <w:t xml:space="preserve"> as the issue</w:t>
      </w:r>
      <w:r w:rsidR="00D67EA0">
        <w:rPr>
          <w:rFonts w:ascii="Times New Roman" w:hAnsi="Times New Roman" w:cs="Times New Roman"/>
          <w:sz w:val="24"/>
          <w:szCs w:val="24"/>
        </w:rPr>
        <w:t xml:space="preserve"> is litigated, the </w:t>
      </w:r>
      <w:r w:rsidR="00047DBE">
        <w:rPr>
          <w:rFonts w:ascii="Times New Roman" w:hAnsi="Times New Roman" w:cs="Times New Roman"/>
          <w:sz w:val="24"/>
          <w:szCs w:val="24"/>
        </w:rPr>
        <w:t>heuristic</w:t>
      </w:r>
      <w:r w:rsidR="00571D5F">
        <w:rPr>
          <w:rFonts w:ascii="Times New Roman" w:hAnsi="Times New Roman" w:cs="Times New Roman"/>
          <w:sz w:val="24"/>
          <w:szCs w:val="24"/>
        </w:rPr>
        <w:t xml:space="preserve"> </w:t>
      </w:r>
      <w:r w:rsidR="00C5391C">
        <w:rPr>
          <w:rFonts w:ascii="Times New Roman" w:hAnsi="Times New Roman" w:cs="Times New Roman"/>
          <w:sz w:val="24"/>
          <w:szCs w:val="24"/>
        </w:rPr>
        <w:t>use</w:t>
      </w:r>
      <w:r w:rsidR="00571D5F">
        <w:rPr>
          <w:rFonts w:ascii="Times New Roman" w:hAnsi="Times New Roman" w:cs="Times New Roman"/>
          <w:sz w:val="24"/>
          <w:szCs w:val="24"/>
        </w:rPr>
        <w:t>d</w:t>
      </w:r>
      <w:r w:rsidR="00C5391C">
        <w:rPr>
          <w:rFonts w:ascii="Times New Roman" w:hAnsi="Times New Roman" w:cs="Times New Roman"/>
          <w:sz w:val="24"/>
          <w:szCs w:val="24"/>
        </w:rPr>
        <w:t xml:space="preserve"> to dete</w:t>
      </w:r>
      <w:r w:rsidR="00571D5F">
        <w:rPr>
          <w:rFonts w:ascii="Times New Roman" w:hAnsi="Times New Roman" w:cs="Times New Roman"/>
          <w:sz w:val="24"/>
          <w:szCs w:val="24"/>
        </w:rPr>
        <w:t>rmine</w:t>
      </w:r>
      <w:r w:rsidR="00B36B15">
        <w:rPr>
          <w:rFonts w:ascii="Times New Roman" w:hAnsi="Times New Roman" w:cs="Times New Roman"/>
          <w:sz w:val="24"/>
          <w:szCs w:val="24"/>
        </w:rPr>
        <w:t xml:space="preserve"> lega</w:t>
      </w:r>
      <w:r w:rsidR="00571D5F">
        <w:rPr>
          <w:rFonts w:ascii="Times New Roman" w:hAnsi="Times New Roman" w:cs="Times New Roman"/>
          <w:sz w:val="24"/>
          <w:szCs w:val="24"/>
        </w:rPr>
        <w:t xml:space="preserve">l merit at this time </w:t>
      </w:r>
      <w:r w:rsidR="00C5391C">
        <w:rPr>
          <w:rFonts w:ascii="Times New Roman" w:hAnsi="Times New Roman" w:cs="Times New Roman"/>
          <w:sz w:val="24"/>
          <w:szCs w:val="24"/>
        </w:rPr>
        <w:t>is</w:t>
      </w:r>
      <w:r w:rsidR="00787257">
        <w:rPr>
          <w:rFonts w:ascii="Times New Roman" w:hAnsi="Times New Roman" w:cs="Times New Roman"/>
          <w:sz w:val="24"/>
          <w:szCs w:val="24"/>
        </w:rPr>
        <w:t>:</w:t>
      </w:r>
    </w:p>
    <w:p w:rsidR="00047DBE" w:rsidRDefault="00787257" w:rsidP="00047DB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Are</w:t>
      </w:r>
      <w:r w:rsidR="00047DBE" w:rsidRPr="00047DBE">
        <w:rPr>
          <w:rFonts w:ascii="Times New Roman" w:hAnsi="Times New Roman" w:cs="Times New Roman"/>
          <w:sz w:val="24"/>
          <w:szCs w:val="24"/>
        </w:rPr>
        <w:t xml:space="preserve"> the </w:t>
      </w:r>
      <w:r w:rsidR="0078482E">
        <w:rPr>
          <w:rFonts w:ascii="Times New Roman" w:hAnsi="Times New Roman" w:cs="Times New Roman"/>
          <w:sz w:val="24"/>
          <w:szCs w:val="24"/>
        </w:rPr>
        <w:t>causal circumstances</w:t>
      </w:r>
      <w:r w:rsidR="00470A9E" w:rsidRPr="00047DBE">
        <w:rPr>
          <w:rFonts w:ascii="Times New Roman" w:hAnsi="Times New Roman" w:cs="Times New Roman"/>
          <w:sz w:val="24"/>
          <w:szCs w:val="24"/>
        </w:rPr>
        <w:t xml:space="preserve"> </w:t>
      </w:r>
      <w:r w:rsidR="0078482E">
        <w:rPr>
          <w:rFonts w:ascii="Times New Roman" w:hAnsi="Times New Roman" w:cs="Times New Roman"/>
          <w:sz w:val="24"/>
          <w:szCs w:val="24"/>
        </w:rPr>
        <w:t xml:space="preserve">of the dismissal-in-question </w:t>
      </w:r>
      <w:r w:rsidRPr="00787257">
        <w:rPr>
          <w:rFonts w:ascii="Times New Roman" w:hAnsi="Times New Roman" w:cs="Times New Roman"/>
          <w:i/>
          <w:sz w:val="24"/>
          <w:szCs w:val="24"/>
        </w:rPr>
        <w:t>prima fac</w:t>
      </w:r>
      <w:r w:rsidR="0078482E">
        <w:rPr>
          <w:rFonts w:ascii="Times New Roman" w:hAnsi="Times New Roman" w:cs="Times New Roman"/>
          <w:i/>
          <w:sz w:val="24"/>
          <w:szCs w:val="24"/>
        </w:rPr>
        <w:t>i</w:t>
      </w:r>
      <w:r w:rsidRPr="00787257">
        <w:rPr>
          <w:rFonts w:ascii="Times New Roman" w:hAnsi="Times New Roman" w:cs="Times New Roman"/>
          <w:i/>
          <w:sz w:val="24"/>
          <w:szCs w:val="24"/>
        </w:rPr>
        <w:t xml:space="preserve">e </w:t>
      </w:r>
      <w:r w:rsidR="007626DE" w:rsidRPr="00047DBE">
        <w:rPr>
          <w:rFonts w:ascii="Times New Roman" w:hAnsi="Times New Roman" w:cs="Times New Roman"/>
          <w:sz w:val="24"/>
          <w:szCs w:val="24"/>
        </w:rPr>
        <w:t>discriminatory or</w:t>
      </w:r>
      <w:r w:rsidR="00047DBE">
        <w:rPr>
          <w:rFonts w:ascii="Times New Roman" w:hAnsi="Times New Roman" w:cs="Times New Roman"/>
          <w:sz w:val="24"/>
          <w:szCs w:val="24"/>
        </w:rPr>
        <w:t>; if not,</w:t>
      </w:r>
    </w:p>
    <w:p w:rsidR="00047DBE" w:rsidRDefault="00B36B15" w:rsidP="00047DB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Are</w:t>
      </w:r>
      <w:r w:rsidR="00787257">
        <w:rPr>
          <w:rFonts w:ascii="Times New Roman" w:hAnsi="Times New Roman" w:cs="Times New Roman"/>
          <w:sz w:val="24"/>
          <w:szCs w:val="24"/>
        </w:rPr>
        <w:t xml:space="preserve"> </w:t>
      </w:r>
      <w:r w:rsidR="0078482E">
        <w:rPr>
          <w:rFonts w:ascii="Times New Roman" w:hAnsi="Times New Roman" w:cs="Times New Roman"/>
          <w:sz w:val="24"/>
          <w:szCs w:val="24"/>
        </w:rPr>
        <w:t>the</w:t>
      </w:r>
      <w:r w:rsidR="00787257">
        <w:rPr>
          <w:rFonts w:ascii="Times New Roman" w:hAnsi="Times New Roman" w:cs="Times New Roman"/>
          <w:sz w:val="24"/>
          <w:szCs w:val="24"/>
        </w:rPr>
        <w:t xml:space="preserve"> general </w:t>
      </w:r>
      <w:r w:rsidR="0078482E">
        <w:rPr>
          <w:rFonts w:ascii="Times New Roman" w:hAnsi="Times New Roman" w:cs="Times New Roman"/>
          <w:sz w:val="24"/>
          <w:szCs w:val="24"/>
        </w:rPr>
        <w:t>context</w:t>
      </w:r>
      <w:r>
        <w:rPr>
          <w:rFonts w:ascii="Times New Roman" w:hAnsi="Times New Roman" w:cs="Times New Roman"/>
          <w:sz w:val="24"/>
          <w:szCs w:val="24"/>
        </w:rPr>
        <w:t>ual circumstances</w:t>
      </w:r>
      <w:r w:rsidR="0078482E">
        <w:rPr>
          <w:rFonts w:ascii="Times New Roman" w:hAnsi="Times New Roman" w:cs="Times New Roman"/>
          <w:sz w:val="24"/>
          <w:szCs w:val="24"/>
        </w:rPr>
        <w:t xml:space="preserve"> of discharge</w:t>
      </w:r>
      <w:r w:rsidR="00787257">
        <w:rPr>
          <w:rFonts w:ascii="Times New Roman" w:hAnsi="Times New Roman" w:cs="Times New Roman"/>
          <w:sz w:val="24"/>
          <w:szCs w:val="24"/>
        </w:rPr>
        <w:t xml:space="preserve">, while not </w:t>
      </w:r>
      <w:r w:rsidR="0078482E" w:rsidRPr="0078482E">
        <w:rPr>
          <w:rFonts w:ascii="Times New Roman" w:hAnsi="Times New Roman" w:cs="Times New Roman"/>
          <w:i/>
          <w:sz w:val="24"/>
          <w:szCs w:val="24"/>
        </w:rPr>
        <w:t>prima facie</w:t>
      </w:r>
      <w:r w:rsidR="00787257">
        <w:rPr>
          <w:rFonts w:ascii="Times New Roman" w:hAnsi="Times New Roman" w:cs="Times New Roman"/>
          <w:sz w:val="24"/>
          <w:szCs w:val="24"/>
        </w:rPr>
        <w:t xml:space="preserve"> </w:t>
      </w:r>
      <w:r>
        <w:rPr>
          <w:rFonts w:ascii="Times New Roman" w:hAnsi="Times New Roman" w:cs="Times New Roman"/>
          <w:sz w:val="24"/>
          <w:szCs w:val="24"/>
        </w:rPr>
        <w:t xml:space="preserve">discriminatory are ones which legal precedent </w:t>
      </w:r>
      <w:r w:rsidR="00571D5F">
        <w:rPr>
          <w:rFonts w:ascii="Times New Roman" w:hAnsi="Times New Roman" w:cs="Times New Roman"/>
          <w:sz w:val="24"/>
          <w:szCs w:val="24"/>
        </w:rPr>
        <w:t>has</w:t>
      </w:r>
      <w:r w:rsidR="0078482E">
        <w:rPr>
          <w:rFonts w:ascii="Times New Roman" w:hAnsi="Times New Roman" w:cs="Times New Roman"/>
          <w:sz w:val="24"/>
          <w:szCs w:val="24"/>
        </w:rPr>
        <w:t xml:space="preserve"> established as </w:t>
      </w:r>
      <w:r w:rsidR="00571D5F">
        <w:rPr>
          <w:rFonts w:ascii="Times New Roman" w:hAnsi="Times New Roman" w:cs="Times New Roman"/>
          <w:sz w:val="24"/>
          <w:szCs w:val="24"/>
        </w:rPr>
        <w:t>circumstance</w:t>
      </w:r>
      <w:r>
        <w:rPr>
          <w:rFonts w:ascii="Times New Roman" w:hAnsi="Times New Roman" w:cs="Times New Roman"/>
          <w:sz w:val="24"/>
          <w:szCs w:val="24"/>
        </w:rPr>
        <w:t xml:space="preserve"> where</w:t>
      </w:r>
      <w:r w:rsidR="0078482E">
        <w:rPr>
          <w:rFonts w:ascii="Times New Roman" w:hAnsi="Times New Roman" w:cs="Times New Roman"/>
          <w:sz w:val="24"/>
          <w:szCs w:val="24"/>
        </w:rPr>
        <w:t xml:space="preserve"> </w:t>
      </w:r>
      <w:r>
        <w:rPr>
          <w:rFonts w:ascii="Times New Roman" w:hAnsi="Times New Roman" w:cs="Times New Roman"/>
          <w:sz w:val="24"/>
          <w:szCs w:val="24"/>
        </w:rPr>
        <w:t xml:space="preserve">age-related </w:t>
      </w:r>
      <w:r w:rsidR="0078482E">
        <w:rPr>
          <w:rFonts w:ascii="Times New Roman" w:hAnsi="Times New Roman" w:cs="Times New Roman"/>
          <w:sz w:val="24"/>
          <w:szCs w:val="24"/>
        </w:rPr>
        <w:t>discrimination can be adduced</w:t>
      </w:r>
      <w:r w:rsidR="00787257">
        <w:rPr>
          <w:rFonts w:ascii="Times New Roman" w:hAnsi="Times New Roman" w:cs="Times New Roman"/>
          <w:sz w:val="24"/>
          <w:szCs w:val="24"/>
        </w:rPr>
        <w:t>?</w:t>
      </w:r>
      <w:r w:rsidR="007626DE" w:rsidRPr="00047DBE">
        <w:rPr>
          <w:rFonts w:ascii="Times New Roman" w:hAnsi="Times New Roman" w:cs="Times New Roman"/>
          <w:sz w:val="24"/>
          <w:szCs w:val="24"/>
        </w:rPr>
        <w:t xml:space="preserve"> </w:t>
      </w:r>
    </w:p>
    <w:p w:rsidR="00787257" w:rsidRDefault="00047DBE" w:rsidP="00065D2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former is </w:t>
      </w:r>
      <w:r w:rsidR="0078482E">
        <w:rPr>
          <w:rFonts w:ascii="Times New Roman" w:hAnsi="Times New Roman" w:cs="Times New Roman"/>
          <w:sz w:val="24"/>
          <w:szCs w:val="24"/>
        </w:rPr>
        <w:t xml:space="preserve">the </w:t>
      </w:r>
      <w:r>
        <w:rPr>
          <w:rFonts w:ascii="Times New Roman" w:hAnsi="Times New Roman" w:cs="Times New Roman"/>
          <w:sz w:val="24"/>
          <w:szCs w:val="24"/>
        </w:rPr>
        <w:t xml:space="preserve">direct approach; the latter </w:t>
      </w:r>
      <w:r w:rsidR="0078482E">
        <w:rPr>
          <w:rFonts w:ascii="Times New Roman" w:hAnsi="Times New Roman" w:cs="Times New Roman"/>
          <w:sz w:val="24"/>
          <w:szCs w:val="24"/>
        </w:rPr>
        <w:t xml:space="preserve">is the </w:t>
      </w:r>
      <w:r w:rsidR="00B36B15">
        <w:rPr>
          <w:rFonts w:ascii="Times New Roman" w:hAnsi="Times New Roman" w:cs="Times New Roman"/>
          <w:sz w:val="24"/>
          <w:szCs w:val="24"/>
        </w:rPr>
        <w:t>indirect approach. Our approach will be</w:t>
      </w:r>
      <w:r w:rsidR="00BB15E4">
        <w:rPr>
          <w:rFonts w:ascii="Times New Roman" w:hAnsi="Times New Roman" w:cs="Times New Roman"/>
          <w:sz w:val="24"/>
          <w:szCs w:val="24"/>
        </w:rPr>
        <w:t xml:space="preserve"> the direc</w:t>
      </w:r>
      <w:r w:rsidR="00F20BCE">
        <w:rPr>
          <w:rFonts w:ascii="Times New Roman" w:hAnsi="Times New Roman" w:cs="Times New Roman"/>
          <w:sz w:val="24"/>
          <w:szCs w:val="24"/>
        </w:rPr>
        <w:t>t one</w:t>
      </w:r>
      <w:r w:rsidR="0078482E">
        <w:rPr>
          <w:rFonts w:ascii="Times New Roman" w:hAnsi="Times New Roman" w:cs="Times New Roman"/>
          <w:sz w:val="24"/>
          <w:szCs w:val="24"/>
        </w:rPr>
        <w:t>.</w:t>
      </w:r>
    </w:p>
    <w:p w:rsidR="0026356F" w:rsidRPr="00047DBE" w:rsidRDefault="0026356F" w:rsidP="00047DBE">
      <w:pPr>
        <w:spacing w:line="480" w:lineRule="auto"/>
        <w:ind w:left="360"/>
        <w:rPr>
          <w:rFonts w:ascii="Times New Roman" w:hAnsi="Times New Roman" w:cs="Times New Roman"/>
          <w:sz w:val="24"/>
          <w:szCs w:val="24"/>
        </w:rPr>
      </w:pPr>
      <w:r w:rsidRPr="00047DBE">
        <w:rPr>
          <w:rFonts w:ascii="Times New Roman" w:hAnsi="Times New Roman" w:cs="Times New Roman"/>
          <w:sz w:val="24"/>
          <w:szCs w:val="24"/>
        </w:rPr>
        <w:tab/>
        <w:t>III.</w:t>
      </w:r>
      <w:r w:rsidRPr="00047DBE">
        <w:rPr>
          <w:rFonts w:ascii="Times New Roman" w:hAnsi="Times New Roman" w:cs="Times New Roman"/>
          <w:sz w:val="24"/>
          <w:szCs w:val="24"/>
        </w:rPr>
        <w:tab/>
        <w:t>Statement of Facts:</w:t>
      </w:r>
    </w:p>
    <w:p w:rsidR="008641A8" w:rsidRDefault="00EE0034" w:rsidP="00470A9E">
      <w:pPr>
        <w:spacing w:line="480" w:lineRule="auto"/>
        <w:rPr>
          <w:rFonts w:ascii="Times New Roman" w:hAnsi="Times New Roman" w:cs="Times New Roman"/>
          <w:sz w:val="24"/>
          <w:szCs w:val="24"/>
        </w:rPr>
      </w:pPr>
      <w:r>
        <w:rPr>
          <w:rFonts w:ascii="Times New Roman" w:hAnsi="Times New Roman" w:cs="Times New Roman"/>
          <w:sz w:val="24"/>
          <w:szCs w:val="24"/>
        </w:rPr>
        <w:tab/>
      </w:r>
      <w:r w:rsidR="00E55834">
        <w:rPr>
          <w:rFonts w:ascii="Times New Roman" w:hAnsi="Times New Roman" w:cs="Times New Roman"/>
          <w:sz w:val="24"/>
          <w:szCs w:val="24"/>
        </w:rPr>
        <w:t xml:space="preserve">Our client, </w:t>
      </w:r>
      <w:r>
        <w:rPr>
          <w:rFonts w:ascii="Times New Roman" w:hAnsi="Times New Roman" w:cs="Times New Roman"/>
          <w:sz w:val="24"/>
          <w:szCs w:val="24"/>
        </w:rPr>
        <w:t>Clyde Wilson</w:t>
      </w:r>
      <w:r w:rsidR="00E55834">
        <w:rPr>
          <w:rFonts w:ascii="Times New Roman" w:hAnsi="Times New Roman" w:cs="Times New Roman"/>
          <w:sz w:val="24"/>
          <w:szCs w:val="24"/>
        </w:rPr>
        <w:t>,</w:t>
      </w:r>
      <w:r>
        <w:rPr>
          <w:rFonts w:ascii="Times New Roman" w:hAnsi="Times New Roman" w:cs="Times New Roman"/>
          <w:sz w:val="24"/>
          <w:szCs w:val="24"/>
        </w:rPr>
        <w:t xml:space="preserve"> was employed at Dice &amp; Jacobs Law as </w:t>
      </w:r>
      <w:r w:rsidR="00E55834">
        <w:rPr>
          <w:rFonts w:ascii="Times New Roman" w:hAnsi="Times New Roman" w:cs="Times New Roman"/>
          <w:sz w:val="24"/>
          <w:szCs w:val="24"/>
        </w:rPr>
        <w:t xml:space="preserve">a </w:t>
      </w:r>
      <w:r>
        <w:rPr>
          <w:rFonts w:ascii="Times New Roman" w:hAnsi="Times New Roman" w:cs="Times New Roman"/>
          <w:sz w:val="24"/>
          <w:szCs w:val="24"/>
        </w:rPr>
        <w:t>file clerk for exactly twenty years. Over the course of his</w:t>
      </w:r>
      <w:r w:rsidR="00C5391C">
        <w:rPr>
          <w:rFonts w:ascii="Times New Roman" w:hAnsi="Times New Roman" w:cs="Times New Roman"/>
          <w:sz w:val="24"/>
          <w:szCs w:val="24"/>
        </w:rPr>
        <w:t xml:space="preserve"> </w:t>
      </w:r>
      <w:r w:rsidR="00E55834">
        <w:rPr>
          <w:rFonts w:ascii="Times New Roman" w:hAnsi="Times New Roman" w:cs="Times New Roman"/>
          <w:sz w:val="24"/>
          <w:szCs w:val="24"/>
        </w:rPr>
        <w:t>career</w:t>
      </w:r>
      <w:r>
        <w:rPr>
          <w:rFonts w:ascii="Times New Roman" w:hAnsi="Times New Roman" w:cs="Times New Roman"/>
          <w:sz w:val="24"/>
          <w:szCs w:val="24"/>
        </w:rPr>
        <w:t xml:space="preserve">, he received </w:t>
      </w:r>
      <w:r w:rsidR="000C2521">
        <w:rPr>
          <w:rFonts w:ascii="Times New Roman" w:hAnsi="Times New Roman" w:cs="Times New Roman"/>
          <w:sz w:val="24"/>
          <w:szCs w:val="24"/>
        </w:rPr>
        <w:t xml:space="preserve">only </w:t>
      </w:r>
      <w:r>
        <w:rPr>
          <w:rFonts w:ascii="Times New Roman" w:hAnsi="Times New Roman" w:cs="Times New Roman"/>
          <w:sz w:val="24"/>
          <w:szCs w:val="24"/>
        </w:rPr>
        <w:t>sparkling rev</w:t>
      </w:r>
      <w:r w:rsidR="000C2521">
        <w:rPr>
          <w:rFonts w:ascii="Times New Roman" w:hAnsi="Times New Roman" w:cs="Times New Roman"/>
          <w:sz w:val="24"/>
          <w:szCs w:val="24"/>
        </w:rPr>
        <w:t xml:space="preserve">iews from his superiors. He was undoubtedly </w:t>
      </w:r>
      <w:r>
        <w:rPr>
          <w:rFonts w:ascii="Times New Roman" w:hAnsi="Times New Roman" w:cs="Times New Roman"/>
          <w:sz w:val="24"/>
          <w:szCs w:val="24"/>
        </w:rPr>
        <w:t xml:space="preserve">an integral asset to the </w:t>
      </w:r>
      <w:r w:rsidR="00E55834">
        <w:rPr>
          <w:rFonts w:ascii="Times New Roman" w:hAnsi="Times New Roman" w:cs="Times New Roman"/>
          <w:sz w:val="24"/>
          <w:szCs w:val="24"/>
        </w:rPr>
        <w:t>company</w:t>
      </w:r>
      <w:r>
        <w:rPr>
          <w:rFonts w:ascii="Times New Roman" w:hAnsi="Times New Roman" w:cs="Times New Roman"/>
          <w:sz w:val="24"/>
          <w:szCs w:val="24"/>
        </w:rPr>
        <w:t>.</w:t>
      </w:r>
      <w:r w:rsidR="006117DD">
        <w:rPr>
          <w:rFonts w:ascii="Times New Roman" w:hAnsi="Times New Roman" w:cs="Times New Roman"/>
          <w:sz w:val="24"/>
          <w:szCs w:val="24"/>
        </w:rPr>
        <w:t xml:space="preserve"> On his twentieth </w:t>
      </w:r>
      <w:r w:rsidR="00B36B15">
        <w:rPr>
          <w:rFonts w:ascii="Times New Roman" w:hAnsi="Times New Roman" w:cs="Times New Roman"/>
          <w:sz w:val="24"/>
          <w:szCs w:val="24"/>
        </w:rPr>
        <w:t>work-anniversary</w:t>
      </w:r>
      <w:r w:rsidR="006117DD">
        <w:rPr>
          <w:rFonts w:ascii="Times New Roman" w:hAnsi="Times New Roman" w:cs="Times New Roman"/>
          <w:sz w:val="24"/>
          <w:szCs w:val="24"/>
        </w:rPr>
        <w:t xml:space="preserve">, he was invited into the office </w:t>
      </w:r>
      <w:r w:rsidR="00DA776B">
        <w:rPr>
          <w:rFonts w:ascii="Times New Roman" w:hAnsi="Times New Roman" w:cs="Times New Roman"/>
          <w:sz w:val="24"/>
          <w:szCs w:val="24"/>
        </w:rPr>
        <w:t>of his superior</w:t>
      </w:r>
      <w:r w:rsidR="00B36B15">
        <w:rPr>
          <w:rFonts w:ascii="Times New Roman" w:hAnsi="Times New Roman" w:cs="Times New Roman"/>
          <w:sz w:val="24"/>
          <w:szCs w:val="24"/>
        </w:rPr>
        <w:t xml:space="preserve">, Charles Jacobs. While Wilson </w:t>
      </w:r>
      <w:r w:rsidR="00B36B15">
        <w:rPr>
          <w:rFonts w:ascii="Times New Roman" w:hAnsi="Times New Roman" w:cs="Times New Roman"/>
          <w:sz w:val="24"/>
          <w:szCs w:val="24"/>
        </w:rPr>
        <w:lastRenderedPageBreak/>
        <w:t>expected</w:t>
      </w:r>
      <w:r w:rsidR="00DA776B">
        <w:rPr>
          <w:rFonts w:ascii="Times New Roman" w:hAnsi="Times New Roman" w:cs="Times New Roman"/>
          <w:sz w:val="24"/>
          <w:szCs w:val="24"/>
        </w:rPr>
        <w:t xml:space="preserve"> a raise on what </w:t>
      </w:r>
      <w:r w:rsidR="00B36B15">
        <w:rPr>
          <w:rFonts w:ascii="Times New Roman" w:hAnsi="Times New Roman" w:cs="Times New Roman"/>
          <w:sz w:val="24"/>
          <w:szCs w:val="24"/>
        </w:rPr>
        <w:t xml:space="preserve">he </w:t>
      </w:r>
      <w:r w:rsidR="00047DBE">
        <w:rPr>
          <w:rFonts w:ascii="Times New Roman" w:hAnsi="Times New Roman" w:cs="Times New Roman"/>
          <w:sz w:val="24"/>
          <w:szCs w:val="24"/>
        </w:rPr>
        <w:t>believed to have been an</w:t>
      </w:r>
      <w:r w:rsidR="00DA776B">
        <w:rPr>
          <w:rFonts w:ascii="Times New Roman" w:hAnsi="Times New Roman" w:cs="Times New Roman"/>
          <w:sz w:val="24"/>
          <w:szCs w:val="24"/>
        </w:rPr>
        <w:t xml:space="preserve"> auspicious </w:t>
      </w:r>
      <w:r w:rsidR="00B36B15">
        <w:rPr>
          <w:rFonts w:ascii="Times New Roman" w:hAnsi="Times New Roman" w:cs="Times New Roman"/>
          <w:sz w:val="24"/>
          <w:szCs w:val="24"/>
        </w:rPr>
        <w:t>day</w:t>
      </w:r>
      <w:r w:rsidR="00DA776B">
        <w:rPr>
          <w:rFonts w:ascii="Times New Roman" w:hAnsi="Times New Roman" w:cs="Times New Roman"/>
          <w:sz w:val="24"/>
          <w:szCs w:val="24"/>
        </w:rPr>
        <w:t xml:space="preserve">, Jacobs </w:t>
      </w:r>
      <w:r w:rsidR="00C30D7E">
        <w:rPr>
          <w:rFonts w:ascii="Times New Roman" w:hAnsi="Times New Roman" w:cs="Times New Roman"/>
          <w:sz w:val="24"/>
          <w:szCs w:val="24"/>
        </w:rPr>
        <w:t>informed Wilson of two things which were to</w:t>
      </w:r>
      <w:r w:rsidR="00B36B15">
        <w:rPr>
          <w:rFonts w:ascii="Times New Roman" w:hAnsi="Times New Roman" w:cs="Times New Roman"/>
          <w:sz w:val="24"/>
          <w:szCs w:val="24"/>
        </w:rPr>
        <w:t xml:space="preserve"> </w:t>
      </w:r>
      <w:r w:rsidR="00F4770F">
        <w:rPr>
          <w:rFonts w:ascii="Times New Roman" w:hAnsi="Times New Roman" w:cs="Times New Roman"/>
          <w:sz w:val="24"/>
          <w:szCs w:val="24"/>
        </w:rPr>
        <w:t>serve as</w:t>
      </w:r>
      <w:r w:rsidR="00B36B15">
        <w:rPr>
          <w:rFonts w:ascii="Times New Roman" w:hAnsi="Times New Roman" w:cs="Times New Roman"/>
          <w:sz w:val="24"/>
          <w:szCs w:val="24"/>
        </w:rPr>
        <w:t xml:space="preserve"> the</w:t>
      </w:r>
      <w:r w:rsidR="00F4770F">
        <w:rPr>
          <w:rFonts w:ascii="Times New Roman" w:hAnsi="Times New Roman" w:cs="Times New Roman"/>
          <w:sz w:val="24"/>
          <w:szCs w:val="24"/>
        </w:rPr>
        <w:t xml:space="preserve"> legal</w:t>
      </w:r>
      <w:r w:rsidR="00B36B15">
        <w:rPr>
          <w:rFonts w:ascii="Times New Roman" w:hAnsi="Times New Roman" w:cs="Times New Roman"/>
          <w:sz w:val="24"/>
          <w:szCs w:val="24"/>
        </w:rPr>
        <w:t xml:space="preserve"> foundation of this suit. </w:t>
      </w:r>
      <w:r w:rsidR="00DA776B">
        <w:rPr>
          <w:rFonts w:ascii="Times New Roman" w:hAnsi="Times New Roman" w:cs="Times New Roman"/>
          <w:sz w:val="24"/>
          <w:szCs w:val="24"/>
        </w:rPr>
        <w:t xml:space="preserve">Wilson </w:t>
      </w:r>
      <w:r w:rsidR="00B36B15">
        <w:rPr>
          <w:rFonts w:ascii="Times New Roman" w:hAnsi="Times New Roman" w:cs="Times New Roman"/>
          <w:sz w:val="24"/>
          <w:szCs w:val="24"/>
        </w:rPr>
        <w:t xml:space="preserve">was told </w:t>
      </w:r>
      <w:r w:rsidR="006117DD">
        <w:rPr>
          <w:rFonts w:ascii="Times New Roman" w:hAnsi="Times New Roman" w:cs="Times New Roman"/>
          <w:sz w:val="24"/>
          <w:szCs w:val="24"/>
        </w:rPr>
        <w:t>that</w:t>
      </w:r>
      <w:r w:rsidR="00B36B15">
        <w:rPr>
          <w:rFonts w:ascii="Times New Roman" w:hAnsi="Times New Roman" w:cs="Times New Roman"/>
          <w:sz w:val="24"/>
          <w:szCs w:val="24"/>
        </w:rPr>
        <w:t xml:space="preserve"> (a)</w:t>
      </w:r>
      <w:r w:rsidR="006117DD">
        <w:rPr>
          <w:rFonts w:ascii="Times New Roman" w:hAnsi="Times New Roman" w:cs="Times New Roman"/>
          <w:sz w:val="24"/>
          <w:szCs w:val="24"/>
        </w:rPr>
        <w:t xml:space="preserve"> his </w:t>
      </w:r>
      <w:r w:rsidR="00FE1694">
        <w:rPr>
          <w:rFonts w:ascii="Times New Roman" w:hAnsi="Times New Roman" w:cs="Times New Roman"/>
          <w:sz w:val="24"/>
          <w:szCs w:val="24"/>
        </w:rPr>
        <w:t>twenty-years of service</w:t>
      </w:r>
      <w:r w:rsidR="006117DD">
        <w:rPr>
          <w:rFonts w:ascii="Times New Roman" w:hAnsi="Times New Roman" w:cs="Times New Roman"/>
          <w:sz w:val="24"/>
          <w:szCs w:val="24"/>
        </w:rPr>
        <w:t xml:space="preserve"> was to </w:t>
      </w:r>
      <w:r w:rsidR="00B36B15">
        <w:rPr>
          <w:rFonts w:ascii="Times New Roman" w:hAnsi="Times New Roman" w:cs="Times New Roman"/>
          <w:sz w:val="24"/>
          <w:szCs w:val="24"/>
        </w:rPr>
        <w:t xml:space="preserve">come to immediate stop and that (b) </w:t>
      </w:r>
      <w:r w:rsidR="00047DBE">
        <w:rPr>
          <w:rFonts w:ascii="Times New Roman" w:hAnsi="Times New Roman" w:cs="Times New Roman"/>
          <w:sz w:val="24"/>
          <w:szCs w:val="24"/>
        </w:rPr>
        <w:t xml:space="preserve">Wilson’s post– that of filing clerk – was </w:t>
      </w:r>
      <w:r w:rsidR="008641A8">
        <w:rPr>
          <w:rFonts w:ascii="Times New Roman" w:hAnsi="Times New Roman" w:cs="Times New Roman"/>
          <w:sz w:val="24"/>
          <w:szCs w:val="24"/>
        </w:rPr>
        <w:t>one</w:t>
      </w:r>
      <w:r w:rsidR="00B36B15">
        <w:rPr>
          <w:rFonts w:ascii="Times New Roman" w:hAnsi="Times New Roman" w:cs="Times New Roman"/>
          <w:sz w:val="24"/>
          <w:szCs w:val="24"/>
        </w:rPr>
        <w:t xml:space="preserve"> to be</w:t>
      </w:r>
      <w:r w:rsidR="008641A8">
        <w:rPr>
          <w:rFonts w:ascii="Times New Roman" w:hAnsi="Times New Roman" w:cs="Times New Roman"/>
          <w:sz w:val="24"/>
          <w:szCs w:val="24"/>
        </w:rPr>
        <w:t xml:space="preserve"> </w:t>
      </w:r>
      <w:r w:rsidR="00FE1694">
        <w:rPr>
          <w:rFonts w:ascii="Times New Roman" w:hAnsi="Times New Roman" w:cs="Times New Roman"/>
          <w:sz w:val="24"/>
          <w:szCs w:val="24"/>
        </w:rPr>
        <w:t xml:space="preserve">filled </w:t>
      </w:r>
      <w:r w:rsidR="008641A8">
        <w:rPr>
          <w:rFonts w:ascii="Times New Roman" w:hAnsi="Times New Roman" w:cs="Times New Roman"/>
          <w:sz w:val="24"/>
          <w:szCs w:val="24"/>
        </w:rPr>
        <w:t>by a younger hiree. Wilson</w:t>
      </w:r>
      <w:r w:rsidR="00FE1694">
        <w:rPr>
          <w:rFonts w:ascii="Times New Roman" w:hAnsi="Times New Roman" w:cs="Times New Roman"/>
          <w:sz w:val="24"/>
          <w:szCs w:val="24"/>
        </w:rPr>
        <w:t>,</w:t>
      </w:r>
      <w:r w:rsidR="008641A8">
        <w:rPr>
          <w:rFonts w:ascii="Times New Roman" w:hAnsi="Times New Roman" w:cs="Times New Roman"/>
          <w:sz w:val="24"/>
          <w:szCs w:val="24"/>
        </w:rPr>
        <w:t xml:space="preserve"> for over the past year, has spent his time fruitlessly looking for work – </w:t>
      </w:r>
      <w:r w:rsidR="00B36B15">
        <w:rPr>
          <w:rFonts w:ascii="Times New Roman" w:hAnsi="Times New Roman" w:cs="Times New Roman"/>
          <w:sz w:val="24"/>
          <w:szCs w:val="24"/>
        </w:rPr>
        <w:t xml:space="preserve">no doubt </w:t>
      </w:r>
      <w:r w:rsidR="008641A8">
        <w:rPr>
          <w:rFonts w:ascii="Times New Roman" w:hAnsi="Times New Roman" w:cs="Times New Roman"/>
          <w:sz w:val="24"/>
          <w:szCs w:val="24"/>
        </w:rPr>
        <w:t>a continual victim of the same discriminatory attitude</w:t>
      </w:r>
      <w:r w:rsidR="008641A8">
        <w:rPr>
          <w:rStyle w:val="FootnoteReference"/>
          <w:rFonts w:ascii="Times New Roman" w:hAnsi="Times New Roman" w:cs="Times New Roman"/>
          <w:sz w:val="24"/>
          <w:szCs w:val="24"/>
        </w:rPr>
        <w:footnoteReference w:id="9"/>
      </w:r>
      <w:r w:rsidR="008641A8">
        <w:rPr>
          <w:rFonts w:ascii="Times New Roman" w:hAnsi="Times New Roman" w:cs="Times New Roman"/>
          <w:sz w:val="24"/>
          <w:szCs w:val="24"/>
        </w:rPr>
        <w:t xml:space="preserve"> which led to his untimely, unfair, and illegal dismissal.</w:t>
      </w:r>
    </w:p>
    <w:p w:rsidR="00EE0034" w:rsidRPr="00965A13" w:rsidRDefault="00047DBE" w:rsidP="00965A13">
      <w:pPr>
        <w:pStyle w:val="ListParagraph"/>
        <w:numPr>
          <w:ilvl w:val="0"/>
          <w:numId w:val="1"/>
        </w:numPr>
        <w:spacing w:line="480" w:lineRule="auto"/>
        <w:rPr>
          <w:rFonts w:ascii="Times New Roman" w:hAnsi="Times New Roman" w:cs="Times New Roman"/>
          <w:sz w:val="24"/>
          <w:szCs w:val="24"/>
        </w:rPr>
      </w:pPr>
      <w:r w:rsidRPr="00965A13">
        <w:rPr>
          <w:rFonts w:ascii="Times New Roman" w:hAnsi="Times New Roman" w:cs="Times New Roman"/>
          <w:sz w:val="24"/>
          <w:szCs w:val="24"/>
        </w:rPr>
        <w:t>Statement of Law and Policy:</w:t>
      </w:r>
    </w:p>
    <w:p w:rsidR="00B10628" w:rsidRDefault="00124530" w:rsidP="00B0360B">
      <w:pPr>
        <w:spacing w:line="480" w:lineRule="auto"/>
        <w:rPr>
          <w:rFonts w:ascii="Times New Roman" w:hAnsi="Times New Roman" w:cs="Times New Roman"/>
          <w:sz w:val="24"/>
          <w:szCs w:val="24"/>
        </w:rPr>
      </w:pPr>
      <w:r>
        <w:rPr>
          <w:rFonts w:ascii="Times New Roman" w:hAnsi="Times New Roman" w:cs="Times New Roman"/>
          <w:sz w:val="24"/>
          <w:szCs w:val="24"/>
        </w:rPr>
        <w:tab/>
      </w:r>
      <w:r w:rsidR="00101861">
        <w:rPr>
          <w:rFonts w:ascii="Times New Roman" w:hAnsi="Times New Roman" w:cs="Times New Roman"/>
          <w:sz w:val="24"/>
          <w:szCs w:val="24"/>
        </w:rPr>
        <w:t xml:space="preserve">Notwithstanding legally-mandated exceptions, New York </w:t>
      </w:r>
      <w:r w:rsidR="00E80E00">
        <w:rPr>
          <w:rFonts w:ascii="Times New Roman" w:hAnsi="Times New Roman" w:cs="Times New Roman"/>
          <w:sz w:val="24"/>
          <w:szCs w:val="24"/>
        </w:rPr>
        <w:t>State permits</w:t>
      </w:r>
      <w:r w:rsidR="00101861">
        <w:rPr>
          <w:rFonts w:ascii="Times New Roman" w:hAnsi="Times New Roman" w:cs="Times New Roman"/>
          <w:sz w:val="24"/>
          <w:szCs w:val="24"/>
        </w:rPr>
        <w:t xml:space="preserve"> employer</w:t>
      </w:r>
      <w:r w:rsidR="00E80E00">
        <w:rPr>
          <w:rFonts w:ascii="Times New Roman" w:hAnsi="Times New Roman" w:cs="Times New Roman"/>
          <w:sz w:val="24"/>
          <w:szCs w:val="24"/>
        </w:rPr>
        <w:t>s</w:t>
      </w:r>
      <w:r w:rsidR="00101861">
        <w:rPr>
          <w:rFonts w:ascii="Times New Roman" w:hAnsi="Times New Roman" w:cs="Times New Roman"/>
          <w:sz w:val="24"/>
          <w:szCs w:val="24"/>
        </w:rPr>
        <w:t xml:space="preserve"> to dissolve relationship</w:t>
      </w:r>
      <w:r w:rsidR="00E80E00">
        <w:rPr>
          <w:rFonts w:ascii="Times New Roman" w:hAnsi="Times New Roman" w:cs="Times New Roman"/>
          <w:sz w:val="24"/>
          <w:szCs w:val="24"/>
        </w:rPr>
        <w:t>s</w:t>
      </w:r>
      <w:r w:rsidR="00101861">
        <w:rPr>
          <w:rFonts w:ascii="Times New Roman" w:hAnsi="Times New Roman" w:cs="Times New Roman"/>
          <w:sz w:val="24"/>
          <w:szCs w:val="24"/>
        </w:rPr>
        <w:t xml:space="preserve"> with </w:t>
      </w:r>
      <w:r w:rsidR="004227E7">
        <w:rPr>
          <w:rFonts w:ascii="Times New Roman" w:hAnsi="Times New Roman" w:cs="Times New Roman"/>
          <w:sz w:val="24"/>
          <w:szCs w:val="24"/>
        </w:rPr>
        <w:t>employee</w:t>
      </w:r>
      <w:r w:rsidR="00571D5F">
        <w:rPr>
          <w:rFonts w:ascii="Times New Roman" w:hAnsi="Times New Roman" w:cs="Times New Roman"/>
          <w:sz w:val="24"/>
          <w:szCs w:val="24"/>
        </w:rPr>
        <w:t>s</w:t>
      </w:r>
      <w:r w:rsidR="004227E7">
        <w:rPr>
          <w:rFonts w:ascii="Times New Roman" w:hAnsi="Times New Roman" w:cs="Times New Roman"/>
          <w:sz w:val="24"/>
          <w:szCs w:val="24"/>
        </w:rPr>
        <w:t xml:space="preserve"> at any time. The principle legitimizing this prerogative is </w:t>
      </w:r>
      <w:r w:rsidR="00E80E00">
        <w:rPr>
          <w:rFonts w:ascii="Times New Roman" w:hAnsi="Times New Roman" w:cs="Times New Roman"/>
          <w:sz w:val="24"/>
          <w:szCs w:val="24"/>
        </w:rPr>
        <w:t xml:space="preserve">exactly </w:t>
      </w:r>
      <w:r w:rsidR="004227E7">
        <w:rPr>
          <w:rFonts w:ascii="Times New Roman" w:hAnsi="Times New Roman" w:cs="Times New Roman"/>
          <w:sz w:val="24"/>
          <w:szCs w:val="24"/>
        </w:rPr>
        <w:t>the convers</w:t>
      </w:r>
      <w:r w:rsidR="00C30D7E">
        <w:rPr>
          <w:rFonts w:ascii="Times New Roman" w:hAnsi="Times New Roman" w:cs="Times New Roman"/>
          <w:sz w:val="24"/>
          <w:szCs w:val="24"/>
        </w:rPr>
        <w:t>e</w:t>
      </w:r>
      <w:r w:rsidR="004227E7">
        <w:rPr>
          <w:rFonts w:ascii="Times New Roman" w:hAnsi="Times New Roman" w:cs="Times New Roman"/>
          <w:sz w:val="24"/>
          <w:szCs w:val="24"/>
        </w:rPr>
        <w:t xml:space="preserve">: </w:t>
      </w:r>
      <w:r w:rsidR="00101861">
        <w:rPr>
          <w:rFonts w:ascii="Times New Roman" w:hAnsi="Times New Roman" w:cs="Times New Roman"/>
          <w:sz w:val="24"/>
          <w:szCs w:val="24"/>
        </w:rPr>
        <w:t xml:space="preserve">just as </w:t>
      </w:r>
      <w:r w:rsidR="004227E7">
        <w:rPr>
          <w:rFonts w:ascii="Times New Roman" w:hAnsi="Times New Roman" w:cs="Times New Roman"/>
          <w:sz w:val="24"/>
          <w:szCs w:val="24"/>
        </w:rPr>
        <w:t>an empl</w:t>
      </w:r>
      <w:r w:rsidR="00101861">
        <w:rPr>
          <w:rFonts w:ascii="Times New Roman" w:hAnsi="Times New Roman" w:cs="Times New Roman"/>
          <w:sz w:val="24"/>
          <w:szCs w:val="24"/>
        </w:rPr>
        <w:t xml:space="preserve">oyee may relinquish </w:t>
      </w:r>
      <w:r w:rsidR="00C30D7E">
        <w:rPr>
          <w:rFonts w:ascii="Times New Roman" w:hAnsi="Times New Roman" w:cs="Times New Roman"/>
          <w:sz w:val="24"/>
          <w:szCs w:val="24"/>
        </w:rPr>
        <w:t>work</w:t>
      </w:r>
      <w:r w:rsidR="004227E7">
        <w:rPr>
          <w:rFonts w:ascii="Times New Roman" w:hAnsi="Times New Roman" w:cs="Times New Roman"/>
          <w:sz w:val="24"/>
          <w:szCs w:val="24"/>
        </w:rPr>
        <w:t xml:space="preserve"> at any time</w:t>
      </w:r>
      <w:r w:rsidR="00101861">
        <w:rPr>
          <w:rFonts w:ascii="Times New Roman" w:hAnsi="Times New Roman" w:cs="Times New Roman"/>
          <w:sz w:val="24"/>
          <w:szCs w:val="24"/>
        </w:rPr>
        <w:t xml:space="preserve"> so, too, an employer is entitled to lay off whomever they desire</w:t>
      </w:r>
      <w:r w:rsidR="004227E7">
        <w:rPr>
          <w:rFonts w:ascii="Times New Roman" w:hAnsi="Times New Roman" w:cs="Times New Roman"/>
          <w:sz w:val="24"/>
          <w:szCs w:val="24"/>
        </w:rPr>
        <w:t xml:space="preserve">. However, New York State’s at-will </w:t>
      </w:r>
      <w:r w:rsidR="00E768CF">
        <w:rPr>
          <w:rFonts w:ascii="Times New Roman" w:hAnsi="Times New Roman" w:cs="Times New Roman"/>
          <w:sz w:val="24"/>
          <w:szCs w:val="24"/>
        </w:rPr>
        <w:t xml:space="preserve">employment </w:t>
      </w:r>
      <w:r w:rsidR="004227E7">
        <w:rPr>
          <w:rFonts w:ascii="Times New Roman" w:hAnsi="Times New Roman" w:cs="Times New Roman"/>
          <w:sz w:val="24"/>
          <w:szCs w:val="24"/>
        </w:rPr>
        <w:t xml:space="preserve">doctrine does not serve as a license for </w:t>
      </w:r>
      <w:r w:rsidR="00E768CF">
        <w:rPr>
          <w:rFonts w:ascii="Times New Roman" w:hAnsi="Times New Roman" w:cs="Times New Roman"/>
          <w:sz w:val="24"/>
          <w:szCs w:val="24"/>
        </w:rPr>
        <w:t xml:space="preserve">routine </w:t>
      </w:r>
      <w:r w:rsidR="004227E7">
        <w:rPr>
          <w:rFonts w:ascii="Times New Roman" w:hAnsi="Times New Roman" w:cs="Times New Roman"/>
          <w:sz w:val="24"/>
          <w:szCs w:val="24"/>
        </w:rPr>
        <w:t>haphazard dismissal of the (forme</w:t>
      </w:r>
      <w:r w:rsidR="00101861">
        <w:rPr>
          <w:rFonts w:ascii="Times New Roman" w:hAnsi="Times New Roman" w:cs="Times New Roman"/>
          <w:sz w:val="24"/>
          <w:szCs w:val="24"/>
        </w:rPr>
        <w:t xml:space="preserve">rly) employed: there are </w:t>
      </w:r>
      <w:r w:rsidR="00E768CF">
        <w:rPr>
          <w:rFonts w:ascii="Times New Roman" w:hAnsi="Times New Roman" w:cs="Times New Roman"/>
          <w:sz w:val="24"/>
          <w:szCs w:val="24"/>
        </w:rPr>
        <w:t>legally enumerated</w:t>
      </w:r>
      <w:r w:rsidR="004227E7">
        <w:rPr>
          <w:rFonts w:ascii="Times New Roman" w:hAnsi="Times New Roman" w:cs="Times New Roman"/>
          <w:sz w:val="24"/>
          <w:szCs w:val="24"/>
        </w:rPr>
        <w:t xml:space="preserve"> exceptions to this </w:t>
      </w:r>
      <w:r w:rsidR="00E768CF">
        <w:rPr>
          <w:rFonts w:ascii="Times New Roman" w:hAnsi="Times New Roman" w:cs="Times New Roman"/>
          <w:sz w:val="24"/>
          <w:szCs w:val="24"/>
        </w:rPr>
        <w:t>prerogative</w:t>
      </w:r>
      <w:r w:rsidR="004227E7">
        <w:rPr>
          <w:rFonts w:ascii="Times New Roman" w:hAnsi="Times New Roman" w:cs="Times New Roman"/>
          <w:sz w:val="24"/>
          <w:szCs w:val="24"/>
        </w:rPr>
        <w:t>. One of these exceptions is age-related discrimination</w:t>
      </w:r>
      <w:r w:rsidR="004227E7">
        <w:rPr>
          <w:rStyle w:val="FootnoteReference"/>
          <w:rFonts w:ascii="Times New Roman" w:hAnsi="Times New Roman" w:cs="Times New Roman"/>
          <w:sz w:val="24"/>
          <w:szCs w:val="24"/>
        </w:rPr>
        <w:footnoteReference w:id="10"/>
      </w:r>
      <w:r w:rsidR="00101861">
        <w:rPr>
          <w:rFonts w:ascii="Times New Roman" w:hAnsi="Times New Roman" w:cs="Times New Roman"/>
          <w:sz w:val="24"/>
          <w:szCs w:val="24"/>
        </w:rPr>
        <w:t>. Age-related discrimination, while not initially under the penumbra of the 14</w:t>
      </w:r>
      <w:r w:rsidR="00101861" w:rsidRPr="00101861">
        <w:rPr>
          <w:rFonts w:ascii="Times New Roman" w:hAnsi="Times New Roman" w:cs="Times New Roman"/>
          <w:sz w:val="24"/>
          <w:szCs w:val="24"/>
          <w:vertAlign w:val="superscript"/>
        </w:rPr>
        <w:t>th</w:t>
      </w:r>
      <w:r w:rsidR="00101861">
        <w:rPr>
          <w:rFonts w:ascii="Times New Roman" w:hAnsi="Times New Roman" w:cs="Times New Roman"/>
          <w:sz w:val="24"/>
          <w:szCs w:val="24"/>
        </w:rPr>
        <w:t xml:space="preserve"> Amendment </w:t>
      </w:r>
      <w:r w:rsidR="00E80E00">
        <w:rPr>
          <w:rFonts w:ascii="Times New Roman" w:hAnsi="Times New Roman" w:cs="Times New Roman"/>
          <w:sz w:val="24"/>
          <w:szCs w:val="24"/>
        </w:rPr>
        <w:t>vis-à-vis</w:t>
      </w:r>
      <w:r w:rsidR="00101861">
        <w:rPr>
          <w:rFonts w:ascii="Times New Roman" w:hAnsi="Times New Roman" w:cs="Times New Roman"/>
          <w:sz w:val="24"/>
          <w:szCs w:val="24"/>
        </w:rPr>
        <w:t xml:space="preserve"> the Civil Rights Act of 1964 came to be </w:t>
      </w:r>
      <w:r w:rsidR="00E768CF">
        <w:rPr>
          <w:rFonts w:ascii="Times New Roman" w:hAnsi="Times New Roman" w:cs="Times New Roman"/>
          <w:sz w:val="24"/>
          <w:szCs w:val="24"/>
        </w:rPr>
        <w:t>within its compass through</w:t>
      </w:r>
      <w:r w:rsidR="00101861">
        <w:rPr>
          <w:rFonts w:ascii="Times New Roman" w:hAnsi="Times New Roman" w:cs="Times New Roman"/>
          <w:sz w:val="24"/>
          <w:szCs w:val="24"/>
        </w:rPr>
        <w:t xml:space="preserve"> The Age Discrimination in Employment Act (ADEA)</w:t>
      </w:r>
      <w:r w:rsidR="00571D5F">
        <w:rPr>
          <w:rFonts w:ascii="Times New Roman" w:hAnsi="Times New Roman" w:cs="Times New Roman"/>
          <w:sz w:val="24"/>
          <w:szCs w:val="24"/>
        </w:rPr>
        <w:t xml:space="preserve"> of</w:t>
      </w:r>
      <w:r w:rsidR="00E80E00">
        <w:rPr>
          <w:rFonts w:ascii="Times New Roman" w:hAnsi="Times New Roman" w:cs="Times New Roman"/>
          <w:sz w:val="24"/>
          <w:szCs w:val="24"/>
        </w:rPr>
        <w:t xml:space="preserve"> 1967.</w:t>
      </w:r>
      <w:r w:rsidR="00101861">
        <w:rPr>
          <w:rFonts w:ascii="Times New Roman" w:hAnsi="Times New Roman" w:cs="Times New Roman"/>
          <w:sz w:val="24"/>
          <w:szCs w:val="24"/>
        </w:rPr>
        <w:t xml:space="preserve"> The ADEA</w:t>
      </w:r>
      <w:r w:rsidR="00B10628">
        <w:rPr>
          <w:rFonts w:ascii="Times New Roman" w:hAnsi="Times New Roman" w:cs="Times New Roman"/>
          <w:sz w:val="24"/>
          <w:szCs w:val="24"/>
        </w:rPr>
        <w:t xml:space="preserve"> prohibits age-related discrimination in the process of hiring, the disbursement of promotions, and the impositions of layoffs. The ADEA, a federal statute, has its analogue in </w:t>
      </w:r>
      <w:r w:rsidR="00B10628" w:rsidRPr="00B10628">
        <w:rPr>
          <w:rFonts w:ascii="Times New Roman" w:hAnsi="Times New Roman" w:cs="Times New Roman"/>
          <w:sz w:val="24"/>
          <w:szCs w:val="24"/>
        </w:rPr>
        <w:t>NY CLS Exec § 291</w:t>
      </w:r>
      <w:r w:rsidR="00B10628">
        <w:rPr>
          <w:rFonts w:ascii="Times New Roman" w:hAnsi="Times New Roman" w:cs="Times New Roman"/>
          <w:sz w:val="24"/>
          <w:szCs w:val="24"/>
        </w:rPr>
        <w:t xml:space="preserve">. </w:t>
      </w:r>
      <w:r w:rsidR="00B10628">
        <w:rPr>
          <w:rFonts w:ascii="Times New Roman" w:hAnsi="Times New Roman" w:cs="Times New Roman"/>
          <w:sz w:val="24"/>
          <w:szCs w:val="24"/>
        </w:rPr>
        <w:lastRenderedPageBreak/>
        <w:t xml:space="preserve">NY CLS Exec </w:t>
      </w:r>
      <w:r w:rsidR="00B10628" w:rsidRPr="00B10628">
        <w:rPr>
          <w:rFonts w:ascii="Times New Roman" w:hAnsi="Times New Roman" w:cs="Times New Roman"/>
          <w:sz w:val="24"/>
          <w:szCs w:val="24"/>
        </w:rPr>
        <w:t>§ 291</w:t>
      </w:r>
      <w:r w:rsidR="00B10628">
        <w:rPr>
          <w:rFonts w:ascii="Times New Roman" w:hAnsi="Times New Roman" w:cs="Times New Roman"/>
          <w:sz w:val="24"/>
          <w:szCs w:val="24"/>
        </w:rPr>
        <w:t xml:space="preserve"> </w:t>
      </w:r>
      <w:r w:rsidR="00B410CD">
        <w:rPr>
          <w:rFonts w:ascii="Times New Roman" w:hAnsi="Times New Roman" w:cs="Times New Roman"/>
          <w:sz w:val="24"/>
          <w:szCs w:val="24"/>
        </w:rPr>
        <w:t xml:space="preserve">asseverates </w:t>
      </w:r>
      <w:r w:rsidR="00B10628">
        <w:rPr>
          <w:rFonts w:ascii="Times New Roman" w:hAnsi="Times New Roman" w:cs="Times New Roman"/>
          <w:sz w:val="24"/>
          <w:szCs w:val="24"/>
        </w:rPr>
        <w:t>that the “opportunity to obtain employment without discrimination because of age…is hereby recognized as and declared a civil right.”</w:t>
      </w:r>
    </w:p>
    <w:p w:rsidR="00712EA5" w:rsidRDefault="00FE1694" w:rsidP="00B106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have direct and concrete evidence of an unbroken </w:t>
      </w:r>
      <w:r w:rsidR="00571D5F">
        <w:rPr>
          <w:rFonts w:ascii="Times New Roman" w:hAnsi="Times New Roman" w:cs="Times New Roman"/>
          <w:sz w:val="24"/>
          <w:szCs w:val="24"/>
        </w:rPr>
        <w:t>causal</w:t>
      </w:r>
      <w:r>
        <w:rPr>
          <w:rFonts w:ascii="Times New Roman" w:hAnsi="Times New Roman" w:cs="Times New Roman"/>
          <w:sz w:val="24"/>
          <w:szCs w:val="24"/>
        </w:rPr>
        <w:t xml:space="preserve"> chain which led to the illegal dismissal of our client. </w:t>
      </w:r>
      <w:r w:rsidR="00124530">
        <w:rPr>
          <w:rFonts w:ascii="Times New Roman" w:hAnsi="Times New Roman" w:cs="Times New Roman"/>
          <w:sz w:val="24"/>
          <w:szCs w:val="24"/>
        </w:rPr>
        <w:t xml:space="preserve">The </w:t>
      </w:r>
      <w:r>
        <w:rPr>
          <w:rFonts w:ascii="Times New Roman" w:hAnsi="Times New Roman" w:cs="Times New Roman"/>
          <w:sz w:val="24"/>
          <w:szCs w:val="24"/>
        </w:rPr>
        <w:t xml:space="preserve">point which cannot be belabored enough is Jacobs’ explicit remark that our client </w:t>
      </w:r>
      <w:r w:rsidR="00124530">
        <w:rPr>
          <w:rFonts w:ascii="Times New Roman" w:hAnsi="Times New Roman" w:cs="Times New Roman"/>
          <w:sz w:val="24"/>
          <w:szCs w:val="24"/>
        </w:rPr>
        <w:t>would be replaced with someone you</w:t>
      </w:r>
      <w:r>
        <w:rPr>
          <w:rFonts w:ascii="Times New Roman" w:hAnsi="Times New Roman" w:cs="Times New Roman"/>
          <w:sz w:val="24"/>
          <w:szCs w:val="24"/>
        </w:rPr>
        <w:t xml:space="preserve">nger; Jacobs made no </w:t>
      </w:r>
      <w:r w:rsidR="00712EA5">
        <w:rPr>
          <w:rFonts w:ascii="Times New Roman" w:hAnsi="Times New Roman" w:cs="Times New Roman"/>
          <w:sz w:val="24"/>
          <w:szCs w:val="24"/>
        </w:rPr>
        <w:t>attempt t</w:t>
      </w:r>
      <w:r w:rsidR="00166F2C">
        <w:rPr>
          <w:rFonts w:ascii="Times New Roman" w:hAnsi="Times New Roman" w:cs="Times New Roman"/>
          <w:sz w:val="24"/>
          <w:szCs w:val="24"/>
        </w:rPr>
        <w:t>o present a pretext or utilize</w:t>
      </w:r>
      <w:r w:rsidR="00712EA5">
        <w:rPr>
          <w:rFonts w:ascii="Times New Roman" w:hAnsi="Times New Roman" w:cs="Times New Roman"/>
          <w:sz w:val="24"/>
          <w:szCs w:val="24"/>
        </w:rPr>
        <w:t xml:space="preserve"> subterfuge of any kind in the illegal dismissal of our client. This saves us the trouble of our having to employ the latter approach</w:t>
      </w:r>
      <w:r w:rsidR="00166F2C">
        <w:rPr>
          <w:rFonts w:ascii="Times New Roman" w:hAnsi="Times New Roman" w:cs="Times New Roman"/>
          <w:sz w:val="24"/>
          <w:szCs w:val="24"/>
        </w:rPr>
        <w:t xml:space="preserve"> as per</w:t>
      </w:r>
      <w:r w:rsidR="00166F2C">
        <w:t xml:space="preserve"> </w:t>
      </w:r>
      <w:r w:rsidR="00166F2C" w:rsidRPr="00166F2C">
        <w:rPr>
          <w:rFonts w:ascii="Times New Roman" w:hAnsi="Times New Roman" w:cs="Times New Roman"/>
          <w:sz w:val="24"/>
          <w:szCs w:val="24"/>
          <w:u w:val="single"/>
        </w:rPr>
        <w:t>McDonnell Douglas Corp. v. Green, 411 U.S. 792 (1973)</w:t>
      </w:r>
      <w:r w:rsidR="00166F2C">
        <w:rPr>
          <w:rFonts w:ascii="Times New Roman" w:hAnsi="Times New Roman" w:cs="Times New Roman"/>
          <w:sz w:val="24"/>
          <w:szCs w:val="24"/>
        </w:rPr>
        <w:t xml:space="preserve"> in</w:t>
      </w:r>
      <w:r>
        <w:rPr>
          <w:rFonts w:ascii="Times New Roman" w:hAnsi="Times New Roman" w:cs="Times New Roman"/>
          <w:sz w:val="24"/>
          <w:szCs w:val="24"/>
        </w:rPr>
        <w:t xml:space="preserve"> adducing discrimination. </w:t>
      </w:r>
      <w:r w:rsidR="00B0360B">
        <w:rPr>
          <w:rFonts w:ascii="Times New Roman" w:hAnsi="Times New Roman" w:cs="Times New Roman"/>
          <w:sz w:val="24"/>
          <w:szCs w:val="24"/>
        </w:rPr>
        <w:t>Jacobs was blunt. Jacobs</w:t>
      </w:r>
      <w:r>
        <w:rPr>
          <w:rFonts w:ascii="Times New Roman" w:hAnsi="Times New Roman" w:cs="Times New Roman"/>
          <w:sz w:val="24"/>
          <w:szCs w:val="24"/>
        </w:rPr>
        <w:t xml:space="preserve"> was direct. </w:t>
      </w:r>
      <w:r w:rsidR="00B0360B">
        <w:rPr>
          <w:rFonts w:ascii="Times New Roman" w:hAnsi="Times New Roman" w:cs="Times New Roman"/>
          <w:sz w:val="24"/>
          <w:szCs w:val="24"/>
        </w:rPr>
        <w:t>Jacobs was unambiguous. Jacob</w:t>
      </w:r>
      <w:r>
        <w:rPr>
          <w:rFonts w:ascii="Times New Roman" w:hAnsi="Times New Roman" w:cs="Times New Roman"/>
          <w:sz w:val="24"/>
          <w:szCs w:val="24"/>
        </w:rPr>
        <w:t>s</w:t>
      </w:r>
      <w:r w:rsidR="00B0360B">
        <w:rPr>
          <w:rFonts w:ascii="Times New Roman" w:hAnsi="Times New Roman" w:cs="Times New Roman"/>
          <w:sz w:val="24"/>
          <w:szCs w:val="24"/>
        </w:rPr>
        <w:t>’</w:t>
      </w:r>
      <w:r>
        <w:rPr>
          <w:rFonts w:ascii="Times New Roman" w:hAnsi="Times New Roman" w:cs="Times New Roman"/>
          <w:sz w:val="24"/>
          <w:szCs w:val="24"/>
        </w:rPr>
        <w:t xml:space="preserve"> actions were </w:t>
      </w:r>
      <w:r w:rsidR="00B410CD">
        <w:rPr>
          <w:rFonts w:ascii="Times New Roman" w:hAnsi="Times New Roman" w:cs="Times New Roman"/>
          <w:sz w:val="24"/>
          <w:szCs w:val="24"/>
        </w:rPr>
        <w:t>contrary to</w:t>
      </w:r>
      <w:r>
        <w:rPr>
          <w:rFonts w:ascii="Times New Roman" w:hAnsi="Times New Roman" w:cs="Times New Roman"/>
          <w:sz w:val="24"/>
          <w:szCs w:val="24"/>
        </w:rPr>
        <w:t xml:space="preserve"> the law.</w:t>
      </w:r>
      <w:r w:rsidR="00B0360B">
        <w:rPr>
          <w:rFonts w:ascii="Times New Roman" w:hAnsi="Times New Roman" w:cs="Times New Roman"/>
          <w:sz w:val="24"/>
          <w:szCs w:val="24"/>
        </w:rPr>
        <w:t xml:space="preserve"> </w:t>
      </w:r>
      <w:r w:rsidR="00B26893">
        <w:rPr>
          <w:rFonts w:ascii="Times New Roman" w:hAnsi="Times New Roman" w:cs="Times New Roman"/>
          <w:sz w:val="24"/>
          <w:szCs w:val="24"/>
        </w:rPr>
        <w:t>Jacobs’ actions pass the litmus test</w:t>
      </w:r>
      <w:r w:rsidR="00166F2C">
        <w:rPr>
          <w:rFonts w:ascii="Times New Roman" w:hAnsi="Times New Roman" w:cs="Times New Roman"/>
          <w:sz w:val="24"/>
          <w:szCs w:val="24"/>
        </w:rPr>
        <w:t xml:space="preserve"> of discrimination </w:t>
      </w:r>
      <w:r w:rsidR="00B26893" w:rsidRPr="00B26893">
        <w:rPr>
          <w:rFonts w:ascii="Times New Roman" w:hAnsi="Times New Roman" w:cs="Times New Roman"/>
          <w:sz w:val="24"/>
          <w:szCs w:val="24"/>
        </w:rPr>
        <w:t>as</w:t>
      </w:r>
      <w:r w:rsidR="00B410CD">
        <w:rPr>
          <w:rFonts w:ascii="Times New Roman" w:hAnsi="Times New Roman" w:cs="Times New Roman"/>
          <w:sz w:val="24"/>
          <w:szCs w:val="24"/>
        </w:rPr>
        <w:t xml:space="preserve"> alluded to earlier in the memo. T</w:t>
      </w:r>
      <w:r w:rsidR="00B26893" w:rsidRPr="00B26893">
        <w:rPr>
          <w:rFonts w:ascii="Times New Roman" w:hAnsi="Times New Roman" w:cs="Times New Roman"/>
          <w:sz w:val="24"/>
          <w:szCs w:val="24"/>
        </w:rPr>
        <w:t xml:space="preserve">he employer </w:t>
      </w:r>
      <w:r w:rsidR="00B26893">
        <w:rPr>
          <w:rFonts w:ascii="Times New Roman" w:hAnsi="Times New Roman" w:cs="Times New Roman"/>
          <w:sz w:val="24"/>
          <w:szCs w:val="24"/>
        </w:rPr>
        <w:t xml:space="preserve">(Dice &amp; Jacobs Law) </w:t>
      </w:r>
      <w:r w:rsidR="00B26893" w:rsidRPr="00B26893">
        <w:rPr>
          <w:rFonts w:ascii="Times New Roman" w:hAnsi="Times New Roman" w:cs="Times New Roman"/>
          <w:sz w:val="24"/>
          <w:szCs w:val="24"/>
        </w:rPr>
        <w:t xml:space="preserve">did not articulate any legitimate, nondiscriminatory reason for the employee's </w:t>
      </w:r>
      <w:r w:rsidR="00B26893">
        <w:rPr>
          <w:rFonts w:ascii="Times New Roman" w:hAnsi="Times New Roman" w:cs="Times New Roman"/>
          <w:sz w:val="24"/>
          <w:szCs w:val="24"/>
        </w:rPr>
        <w:t xml:space="preserve">(Clyde Wilson’s) loss of gainful employment. </w:t>
      </w:r>
      <w:r w:rsidR="00B410CD">
        <w:rPr>
          <w:rFonts w:ascii="Times New Roman" w:hAnsi="Times New Roman" w:cs="Times New Roman"/>
          <w:sz w:val="24"/>
          <w:szCs w:val="24"/>
        </w:rPr>
        <w:t xml:space="preserve">As any perfectly objective court of law will conclude, our </w:t>
      </w:r>
      <w:r w:rsidR="00B26893">
        <w:rPr>
          <w:rFonts w:ascii="Times New Roman" w:hAnsi="Times New Roman" w:cs="Times New Roman"/>
          <w:sz w:val="24"/>
          <w:szCs w:val="24"/>
        </w:rPr>
        <w:t>client</w:t>
      </w:r>
      <w:r w:rsidR="00B0360B">
        <w:rPr>
          <w:rFonts w:ascii="Times New Roman" w:hAnsi="Times New Roman" w:cs="Times New Roman"/>
          <w:sz w:val="24"/>
          <w:szCs w:val="24"/>
        </w:rPr>
        <w:t xml:space="preserve"> was subject to immediate</w:t>
      </w:r>
      <w:r w:rsidR="00712EA5">
        <w:rPr>
          <w:rFonts w:ascii="Times New Roman" w:hAnsi="Times New Roman" w:cs="Times New Roman"/>
          <w:sz w:val="24"/>
          <w:szCs w:val="24"/>
        </w:rPr>
        <w:t xml:space="preserve"> illegal</w:t>
      </w:r>
      <w:r w:rsidR="00B0360B">
        <w:rPr>
          <w:rFonts w:ascii="Times New Roman" w:hAnsi="Times New Roman" w:cs="Times New Roman"/>
          <w:sz w:val="24"/>
          <w:szCs w:val="24"/>
        </w:rPr>
        <w:t xml:space="preserve"> dismissal – full stop.</w:t>
      </w:r>
    </w:p>
    <w:p w:rsidR="00965A13" w:rsidRDefault="00712EA5" w:rsidP="00B0360B">
      <w:pPr>
        <w:spacing w:line="480" w:lineRule="auto"/>
        <w:rPr>
          <w:rFonts w:ascii="Times New Roman" w:hAnsi="Times New Roman" w:cs="Times New Roman"/>
          <w:i/>
          <w:sz w:val="24"/>
          <w:szCs w:val="24"/>
        </w:rPr>
      </w:pPr>
      <w:r>
        <w:rPr>
          <w:rFonts w:ascii="Times New Roman" w:hAnsi="Times New Roman" w:cs="Times New Roman"/>
          <w:sz w:val="24"/>
          <w:szCs w:val="24"/>
        </w:rPr>
        <w:t>By that same token, our client, Cl</w:t>
      </w:r>
      <w:r w:rsidR="00965A13">
        <w:rPr>
          <w:rFonts w:ascii="Times New Roman" w:hAnsi="Times New Roman" w:cs="Times New Roman"/>
          <w:sz w:val="24"/>
          <w:szCs w:val="24"/>
        </w:rPr>
        <w:t xml:space="preserve">yde Wilson, has, at his disposal, a </w:t>
      </w:r>
      <w:r w:rsidR="00166F2C">
        <w:rPr>
          <w:rFonts w:ascii="Times New Roman" w:hAnsi="Times New Roman" w:cs="Times New Roman"/>
          <w:sz w:val="24"/>
          <w:szCs w:val="24"/>
        </w:rPr>
        <w:t xml:space="preserve">mechanism with which he can </w:t>
      </w:r>
      <w:r w:rsidR="00965A13">
        <w:rPr>
          <w:rFonts w:ascii="Times New Roman" w:hAnsi="Times New Roman" w:cs="Times New Roman"/>
          <w:sz w:val="24"/>
          <w:szCs w:val="24"/>
        </w:rPr>
        <w:t xml:space="preserve">utilize </w:t>
      </w:r>
      <w:r>
        <w:rPr>
          <w:rFonts w:ascii="Times New Roman" w:hAnsi="Times New Roman" w:cs="Times New Roman"/>
          <w:sz w:val="24"/>
          <w:szCs w:val="24"/>
        </w:rPr>
        <w:t xml:space="preserve">regain his </w:t>
      </w:r>
      <w:r w:rsidR="00B410CD">
        <w:rPr>
          <w:rFonts w:ascii="Times New Roman" w:hAnsi="Times New Roman" w:cs="Times New Roman"/>
          <w:sz w:val="24"/>
          <w:szCs w:val="24"/>
        </w:rPr>
        <w:t xml:space="preserve">erstwhile </w:t>
      </w:r>
      <w:r>
        <w:rPr>
          <w:rFonts w:ascii="Times New Roman" w:hAnsi="Times New Roman" w:cs="Times New Roman"/>
          <w:sz w:val="24"/>
          <w:szCs w:val="24"/>
        </w:rPr>
        <w:t>employme</w:t>
      </w:r>
      <w:r w:rsidR="00166F2C">
        <w:rPr>
          <w:rFonts w:ascii="Times New Roman" w:hAnsi="Times New Roman" w:cs="Times New Roman"/>
          <w:sz w:val="24"/>
          <w:szCs w:val="24"/>
        </w:rPr>
        <w:t>n</w:t>
      </w:r>
      <w:r>
        <w:rPr>
          <w:rFonts w:ascii="Times New Roman" w:hAnsi="Times New Roman" w:cs="Times New Roman"/>
          <w:sz w:val="24"/>
          <w:szCs w:val="24"/>
        </w:rPr>
        <w:t>t.</w:t>
      </w:r>
      <w:r w:rsidR="00B10628">
        <w:rPr>
          <w:rFonts w:ascii="Times New Roman" w:hAnsi="Times New Roman" w:cs="Times New Roman"/>
          <w:sz w:val="24"/>
          <w:szCs w:val="24"/>
        </w:rPr>
        <w:t xml:space="preserve"> </w:t>
      </w:r>
      <w:r w:rsidR="00B410CD">
        <w:rPr>
          <w:rFonts w:ascii="Times New Roman" w:hAnsi="Times New Roman" w:cs="Times New Roman"/>
          <w:sz w:val="24"/>
          <w:szCs w:val="24"/>
        </w:rPr>
        <w:t xml:space="preserve">In the broadest (i.e. philosophical) sense, </w:t>
      </w:r>
      <w:r w:rsidR="00166F2C" w:rsidRPr="00166F2C">
        <w:rPr>
          <w:rFonts w:ascii="Times New Roman" w:hAnsi="Times New Roman" w:cs="Times New Roman"/>
          <w:sz w:val="24"/>
          <w:szCs w:val="24"/>
        </w:rPr>
        <w:t>NY CLS Exec § 291</w:t>
      </w:r>
      <w:r w:rsidR="00166F2C">
        <w:rPr>
          <w:rFonts w:ascii="Times New Roman" w:hAnsi="Times New Roman" w:cs="Times New Roman"/>
          <w:sz w:val="24"/>
          <w:szCs w:val="24"/>
        </w:rPr>
        <w:t xml:space="preserve"> recognizes the right to a job as indefeasible</w:t>
      </w:r>
      <w:r w:rsidR="00965A13">
        <w:rPr>
          <w:rFonts w:ascii="Times New Roman" w:hAnsi="Times New Roman" w:cs="Times New Roman"/>
          <w:sz w:val="24"/>
          <w:szCs w:val="24"/>
        </w:rPr>
        <w:t xml:space="preserve"> to </w:t>
      </w:r>
      <w:r w:rsidR="00B410CD">
        <w:rPr>
          <w:rFonts w:ascii="Times New Roman" w:hAnsi="Times New Roman" w:cs="Times New Roman"/>
          <w:sz w:val="24"/>
          <w:szCs w:val="24"/>
        </w:rPr>
        <w:t>all able-bodied</w:t>
      </w:r>
      <w:r w:rsidR="00965A13">
        <w:rPr>
          <w:rFonts w:ascii="Times New Roman" w:hAnsi="Times New Roman" w:cs="Times New Roman"/>
          <w:sz w:val="24"/>
          <w:szCs w:val="24"/>
        </w:rPr>
        <w:t xml:space="preserve"> members of our </w:t>
      </w:r>
      <w:r w:rsidR="00166F2C">
        <w:rPr>
          <w:rFonts w:ascii="Times New Roman" w:hAnsi="Times New Roman" w:cs="Times New Roman"/>
          <w:sz w:val="24"/>
          <w:szCs w:val="24"/>
        </w:rPr>
        <w:t>society</w:t>
      </w:r>
      <w:r w:rsidR="00B410CD">
        <w:rPr>
          <w:rStyle w:val="FootnoteReference"/>
          <w:rFonts w:ascii="Times New Roman" w:hAnsi="Times New Roman" w:cs="Times New Roman"/>
          <w:sz w:val="24"/>
          <w:szCs w:val="24"/>
        </w:rPr>
        <w:footnoteReference w:id="11"/>
      </w:r>
      <w:r w:rsidR="00166F2C">
        <w:rPr>
          <w:rFonts w:ascii="Times New Roman" w:hAnsi="Times New Roman" w:cs="Times New Roman"/>
          <w:sz w:val="24"/>
          <w:szCs w:val="24"/>
        </w:rPr>
        <w:t xml:space="preserve">. </w:t>
      </w:r>
      <w:r w:rsidR="00B410CD">
        <w:rPr>
          <w:rFonts w:ascii="Times New Roman" w:hAnsi="Times New Roman" w:cs="Times New Roman"/>
          <w:sz w:val="24"/>
          <w:szCs w:val="24"/>
        </w:rPr>
        <w:t>More concretely</w:t>
      </w:r>
      <w:r w:rsidR="00166F2C">
        <w:rPr>
          <w:rFonts w:ascii="Times New Roman" w:hAnsi="Times New Roman" w:cs="Times New Roman"/>
          <w:sz w:val="24"/>
          <w:szCs w:val="24"/>
        </w:rPr>
        <w:t xml:space="preserve">, this right is a </w:t>
      </w:r>
      <w:r w:rsidR="00B410CD" w:rsidRPr="00B410CD">
        <w:rPr>
          <w:rFonts w:ascii="Times New Roman" w:hAnsi="Times New Roman" w:cs="Times New Roman"/>
          <w:i/>
          <w:sz w:val="24"/>
          <w:szCs w:val="24"/>
        </w:rPr>
        <w:t>positive</w:t>
      </w:r>
      <w:r w:rsidR="00B410CD">
        <w:rPr>
          <w:rFonts w:ascii="Times New Roman" w:hAnsi="Times New Roman" w:cs="Times New Roman"/>
          <w:sz w:val="24"/>
          <w:szCs w:val="24"/>
        </w:rPr>
        <w:t xml:space="preserve"> right</w:t>
      </w:r>
      <w:r w:rsidR="00E768CF">
        <w:rPr>
          <w:rStyle w:val="FootnoteReference"/>
          <w:rFonts w:ascii="Times New Roman" w:hAnsi="Times New Roman" w:cs="Times New Roman"/>
          <w:sz w:val="24"/>
          <w:szCs w:val="24"/>
        </w:rPr>
        <w:footnoteReference w:id="12"/>
      </w:r>
      <w:r w:rsidR="00B410CD">
        <w:rPr>
          <w:rFonts w:ascii="Times New Roman" w:hAnsi="Times New Roman" w:cs="Times New Roman"/>
          <w:sz w:val="24"/>
          <w:szCs w:val="24"/>
        </w:rPr>
        <w:t xml:space="preserve">. This entitlement can be (and usually is) adjudicated through voluntary and non-coercive negotiations between an employer and his employee. If, as in this case, the confounding variable of discrimination </w:t>
      </w:r>
      <w:r w:rsidR="00B4408A">
        <w:rPr>
          <w:rFonts w:ascii="Times New Roman" w:hAnsi="Times New Roman" w:cs="Times New Roman"/>
          <w:sz w:val="24"/>
          <w:szCs w:val="24"/>
        </w:rPr>
        <w:t>enters this necessarily asymmetrical power-relation</w:t>
      </w:r>
      <w:r w:rsidR="00B410CD">
        <w:rPr>
          <w:rFonts w:ascii="Times New Roman" w:hAnsi="Times New Roman" w:cs="Times New Roman"/>
          <w:sz w:val="24"/>
          <w:szCs w:val="24"/>
        </w:rPr>
        <w:t xml:space="preserve">, </w:t>
      </w:r>
      <w:r w:rsidR="00B4408A">
        <w:rPr>
          <w:rFonts w:ascii="Times New Roman" w:hAnsi="Times New Roman" w:cs="Times New Roman"/>
          <w:sz w:val="24"/>
          <w:szCs w:val="24"/>
        </w:rPr>
        <w:t xml:space="preserve">the prerogative is made absolute with the attendance </w:t>
      </w:r>
      <w:r w:rsidR="00B410CD">
        <w:rPr>
          <w:rFonts w:ascii="Times New Roman" w:hAnsi="Times New Roman" w:cs="Times New Roman"/>
          <w:sz w:val="24"/>
          <w:szCs w:val="24"/>
        </w:rPr>
        <w:t>of the</w:t>
      </w:r>
      <w:r w:rsidR="00166F2C">
        <w:rPr>
          <w:rFonts w:ascii="Times New Roman" w:hAnsi="Times New Roman" w:cs="Times New Roman"/>
          <w:sz w:val="24"/>
          <w:szCs w:val="24"/>
        </w:rPr>
        <w:t xml:space="preserve"> state</w:t>
      </w:r>
      <w:r w:rsidR="00B410CD">
        <w:rPr>
          <w:rFonts w:ascii="Times New Roman" w:hAnsi="Times New Roman" w:cs="Times New Roman"/>
          <w:sz w:val="24"/>
          <w:szCs w:val="24"/>
        </w:rPr>
        <w:t xml:space="preserve"> </w:t>
      </w:r>
      <w:r w:rsidR="00B410CD">
        <w:rPr>
          <w:rFonts w:ascii="Times New Roman" w:hAnsi="Times New Roman" w:cs="Times New Roman"/>
          <w:sz w:val="24"/>
          <w:szCs w:val="24"/>
        </w:rPr>
        <w:lastRenderedPageBreak/>
        <w:t>(</w:t>
      </w:r>
      <w:r w:rsidR="00B4408A">
        <w:rPr>
          <w:rFonts w:ascii="Times New Roman" w:hAnsi="Times New Roman" w:cs="Times New Roman"/>
          <w:sz w:val="24"/>
          <w:szCs w:val="24"/>
        </w:rPr>
        <w:t>along with</w:t>
      </w:r>
      <w:r w:rsidR="00B410CD">
        <w:rPr>
          <w:rFonts w:ascii="Times New Roman" w:hAnsi="Times New Roman" w:cs="Times New Roman"/>
          <w:sz w:val="24"/>
          <w:szCs w:val="24"/>
        </w:rPr>
        <w:t xml:space="preserve"> its concomitant police powers) in the regulation, mediation, and </w:t>
      </w:r>
      <w:r w:rsidR="00B4408A">
        <w:rPr>
          <w:rFonts w:ascii="Times New Roman" w:hAnsi="Times New Roman" w:cs="Times New Roman"/>
          <w:sz w:val="24"/>
          <w:szCs w:val="24"/>
        </w:rPr>
        <w:t xml:space="preserve">successful </w:t>
      </w:r>
      <w:r w:rsidR="00B410CD">
        <w:rPr>
          <w:rFonts w:ascii="Times New Roman" w:hAnsi="Times New Roman" w:cs="Times New Roman"/>
          <w:sz w:val="24"/>
          <w:szCs w:val="24"/>
        </w:rPr>
        <w:t>adjudication of any corrupted negotiations</w:t>
      </w:r>
      <w:r w:rsidR="00166F2C">
        <w:rPr>
          <w:rFonts w:ascii="Times New Roman" w:hAnsi="Times New Roman" w:cs="Times New Roman"/>
          <w:sz w:val="24"/>
          <w:szCs w:val="24"/>
        </w:rPr>
        <w:t xml:space="preserve">. </w:t>
      </w:r>
      <w:r w:rsidR="00637B6C" w:rsidRPr="00637B6C">
        <w:rPr>
          <w:rFonts w:ascii="Times New Roman" w:hAnsi="Times New Roman" w:cs="Times New Roman"/>
          <w:sz w:val="24"/>
          <w:szCs w:val="24"/>
        </w:rPr>
        <w:t xml:space="preserve">NY CLS Exec § 291 </w:t>
      </w:r>
      <w:r w:rsidR="00637B6C">
        <w:rPr>
          <w:rFonts w:ascii="Times New Roman" w:hAnsi="Times New Roman" w:cs="Times New Roman"/>
          <w:sz w:val="24"/>
          <w:szCs w:val="24"/>
        </w:rPr>
        <w:t>has its contemporary</w:t>
      </w:r>
      <w:r w:rsidR="00166F2C">
        <w:rPr>
          <w:rFonts w:ascii="Times New Roman" w:hAnsi="Times New Roman" w:cs="Times New Roman"/>
          <w:sz w:val="24"/>
          <w:szCs w:val="24"/>
        </w:rPr>
        <w:t xml:space="preserve"> corollary in </w:t>
      </w:r>
      <w:r w:rsidR="00166F2C" w:rsidRPr="00166F2C">
        <w:rPr>
          <w:rFonts w:ascii="Times New Roman" w:hAnsi="Times New Roman" w:cs="Times New Roman"/>
          <w:sz w:val="24"/>
          <w:szCs w:val="24"/>
        </w:rPr>
        <w:t>2001 N.Y. A.N. 1971</w:t>
      </w:r>
      <w:r w:rsidR="00637B6C">
        <w:rPr>
          <w:rFonts w:ascii="Times New Roman" w:hAnsi="Times New Roman" w:cs="Times New Roman"/>
          <w:sz w:val="24"/>
          <w:szCs w:val="24"/>
        </w:rPr>
        <w:t>. The latter</w:t>
      </w:r>
      <w:r w:rsidR="00166F2C">
        <w:rPr>
          <w:rFonts w:ascii="Times New Roman" w:hAnsi="Times New Roman" w:cs="Times New Roman"/>
          <w:sz w:val="24"/>
          <w:szCs w:val="24"/>
        </w:rPr>
        <w:t xml:space="preserve"> is a reaffirm</w:t>
      </w:r>
      <w:r w:rsidR="00965A13">
        <w:rPr>
          <w:rFonts w:ascii="Times New Roman" w:hAnsi="Times New Roman" w:cs="Times New Roman"/>
          <w:sz w:val="24"/>
          <w:szCs w:val="24"/>
        </w:rPr>
        <w:t xml:space="preserve">ation of </w:t>
      </w:r>
      <w:r w:rsidR="00637B6C">
        <w:rPr>
          <w:rFonts w:ascii="Times New Roman" w:hAnsi="Times New Roman" w:cs="Times New Roman"/>
          <w:sz w:val="24"/>
          <w:szCs w:val="24"/>
        </w:rPr>
        <w:t>the</w:t>
      </w:r>
      <w:r w:rsidR="00965A13">
        <w:rPr>
          <w:rFonts w:ascii="Times New Roman" w:hAnsi="Times New Roman" w:cs="Times New Roman"/>
          <w:sz w:val="24"/>
          <w:szCs w:val="24"/>
        </w:rPr>
        <w:t xml:space="preserve"> guiding principle</w:t>
      </w:r>
      <w:r w:rsidR="00637B6C">
        <w:rPr>
          <w:rFonts w:ascii="Times New Roman" w:hAnsi="Times New Roman" w:cs="Times New Roman"/>
          <w:sz w:val="24"/>
          <w:szCs w:val="24"/>
        </w:rPr>
        <w:t xml:space="preserve"> animating the former. </w:t>
      </w:r>
      <w:r w:rsidR="00637B6C" w:rsidRPr="00637B6C">
        <w:rPr>
          <w:rFonts w:ascii="Times New Roman" w:hAnsi="Times New Roman" w:cs="Times New Roman"/>
          <w:sz w:val="24"/>
          <w:szCs w:val="24"/>
        </w:rPr>
        <w:t>2001 N.Y. A.N. 1971</w:t>
      </w:r>
      <w:r w:rsidR="00637B6C">
        <w:rPr>
          <w:rFonts w:ascii="Times New Roman" w:hAnsi="Times New Roman" w:cs="Times New Roman"/>
          <w:sz w:val="24"/>
          <w:szCs w:val="24"/>
        </w:rPr>
        <w:t xml:space="preserve"> states that the New York State government has a</w:t>
      </w:r>
      <w:r w:rsidR="00166F2C">
        <w:rPr>
          <w:rFonts w:ascii="Times New Roman" w:hAnsi="Times New Roman" w:cs="Times New Roman"/>
          <w:sz w:val="24"/>
          <w:szCs w:val="24"/>
        </w:rPr>
        <w:t xml:space="preserve"> “</w:t>
      </w:r>
      <w:r w:rsidR="00166F2C" w:rsidRPr="00166F2C">
        <w:rPr>
          <w:rFonts w:ascii="Times New Roman" w:hAnsi="Times New Roman" w:cs="Times New Roman"/>
          <w:sz w:val="24"/>
          <w:szCs w:val="24"/>
        </w:rPr>
        <w:t>responsibility to act to assure that every individual within this state is afforded an equal opportunity to enjoy a full and productive life</w:t>
      </w:r>
      <w:proofErr w:type="gramStart"/>
      <w:r w:rsidR="00637B6C">
        <w:rPr>
          <w:rFonts w:ascii="Times New Roman" w:hAnsi="Times New Roman" w:cs="Times New Roman"/>
          <w:sz w:val="24"/>
          <w:szCs w:val="24"/>
        </w:rPr>
        <w:t>…[</w:t>
      </w:r>
      <w:proofErr w:type="gramEnd"/>
      <w:r w:rsidR="00637B6C">
        <w:rPr>
          <w:rFonts w:ascii="Times New Roman" w:hAnsi="Times New Roman" w:cs="Times New Roman"/>
          <w:sz w:val="24"/>
          <w:szCs w:val="24"/>
        </w:rPr>
        <w:t>The successful execution of this</w:t>
      </w:r>
      <w:r w:rsidR="00166F2C">
        <w:rPr>
          <w:rFonts w:ascii="Times New Roman" w:hAnsi="Times New Roman" w:cs="Times New Roman"/>
          <w:sz w:val="24"/>
          <w:szCs w:val="24"/>
        </w:rPr>
        <w:t xml:space="preserve"> </w:t>
      </w:r>
      <w:r w:rsidR="00637B6C">
        <w:rPr>
          <w:rFonts w:ascii="Times New Roman" w:hAnsi="Times New Roman" w:cs="Times New Roman"/>
          <w:sz w:val="24"/>
          <w:szCs w:val="24"/>
        </w:rPr>
        <w:t xml:space="preserve">legally-mandated responsibility </w:t>
      </w:r>
      <w:r w:rsidR="00166F2C">
        <w:rPr>
          <w:rFonts w:ascii="Times New Roman" w:hAnsi="Times New Roman" w:cs="Times New Roman"/>
          <w:sz w:val="24"/>
          <w:szCs w:val="24"/>
        </w:rPr>
        <w:t>includes</w:t>
      </w:r>
      <w:r w:rsidR="00637B6C">
        <w:rPr>
          <w:rFonts w:ascii="Times New Roman" w:hAnsi="Times New Roman" w:cs="Times New Roman"/>
          <w:sz w:val="24"/>
          <w:szCs w:val="24"/>
        </w:rPr>
        <w:t>, within its locus of influence,</w:t>
      </w:r>
      <w:r w:rsidR="00B4408A">
        <w:rPr>
          <w:rFonts w:ascii="Times New Roman" w:hAnsi="Times New Roman" w:cs="Times New Roman"/>
          <w:sz w:val="24"/>
          <w:szCs w:val="24"/>
        </w:rPr>
        <w:t xml:space="preserve"> </w:t>
      </w:r>
      <w:r w:rsidR="00166F2C">
        <w:rPr>
          <w:rFonts w:ascii="Times New Roman" w:hAnsi="Times New Roman" w:cs="Times New Roman"/>
          <w:sz w:val="24"/>
          <w:szCs w:val="24"/>
        </w:rPr>
        <w:t>t]</w:t>
      </w:r>
      <w:r w:rsidR="00166F2C" w:rsidRPr="00166F2C">
        <w:rPr>
          <w:rFonts w:ascii="Times New Roman" w:hAnsi="Times New Roman" w:cs="Times New Roman"/>
          <w:sz w:val="24"/>
          <w:szCs w:val="24"/>
        </w:rPr>
        <w:t xml:space="preserve">he opportunity </w:t>
      </w:r>
      <w:r w:rsidR="00637B6C">
        <w:rPr>
          <w:rFonts w:ascii="Times New Roman" w:hAnsi="Times New Roman" w:cs="Times New Roman"/>
          <w:sz w:val="24"/>
          <w:szCs w:val="24"/>
        </w:rPr>
        <w:t xml:space="preserve">[for one] </w:t>
      </w:r>
      <w:r w:rsidR="00166F2C" w:rsidRPr="00166F2C">
        <w:rPr>
          <w:rFonts w:ascii="Times New Roman" w:hAnsi="Times New Roman" w:cs="Times New Roman"/>
          <w:sz w:val="24"/>
          <w:szCs w:val="24"/>
        </w:rPr>
        <w:t>to obtain employment without discrimination because of age</w:t>
      </w:r>
      <w:r w:rsidR="00166F2C">
        <w:rPr>
          <w:rFonts w:ascii="Times New Roman" w:hAnsi="Times New Roman" w:cs="Times New Roman"/>
          <w:sz w:val="24"/>
          <w:szCs w:val="24"/>
        </w:rPr>
        <w:t xml:space="preserve">.” </w:t>
      </w:r>
      <w:r w:rsidR="00637B6C">
        <w:rPr>
          <w:rFonts w:ascii="Times New Roman" w:hAnsi="Times New Roman" w:cs="Times New Roman"/>
          <w:sz w:val="24"/>
          <w:szCs w:val="24"/>
        </w:rPr>
        <w:t xml:space="preserve">Dice and Jacobs Law </w:t>
      </w:r>
      <w:r w:rsidR="00B4408A">
        <w:rPr>
          <w:rFonts w:ascii="Times New Roman" w:hAnsi="Times New Roman" w:cs="Times New Roman"/>
          <w:sz w:val="24"/>
          <w:szCs w:val="24"/>
        </w:rPr>
        <w:t>countermanded</w:t>
      </w:r>
      <w:r w:rsidR="00637B6C">
        <w:rPr>
          <w:rFonts w:ascii="Times New Roman" w:hAnsi="Times New Roman" w:cs="Times New Roman"/>
          <w:sz w:val="24"/>
          <w:szCs w:val="24"/>
        </w:rPr>
        <w:t xml:space="preserve"> this </w:t>
      </w:r>
      <w:r w:rsidR="00B4408A">
        <w:rPr>
          <w:rFonts w:ascii="Times New Roman" w:hAnsi="Times New Roman" w:cs="Times New Roman"/>
          <w:sz w:val="24"/>
          <w:szCs w:val="24"/>
        </w:rPr>
        <w:t xml:space="preserve">public </w:t>
      </w:r>
      <w:r w:rsidR="00637B6C">
        <w:rPr>
          <w:rFonts w:ascii="Times New Roman" w:hAnsi="Times New Roman" w:cs="Times New Roman"/>
          <w:sz w:val="24"/>
          <w:szCs w:val="24"/>
        </w:rPr>
        <w:t>responsibility</w:t>
      </w:r>
      <w:r w:rsidR="00166F2C">
        <w:rPr>
          <w:rFonts w:ascii="Times New Roman" w:hAnsi="Times New Roman" w:cs="Times New Roman"/>
          <w:sz w:val="24"/>
          <w:szCs w:val="24"/>
        </w:rPr>
        <w:t xml:space="preserve">. </w:t>
      </w:r>
      <w:r w:rsidR="00B4408A">
        <w:rPr>
          <w:rFonts w:ascii="Times New Roman" w:hAnsi="Times New Roman" w:cs="Times New Roman"/>
          <w:sz w:val="24"/>
          <w:szCs w:val="24"/>
        </w:rPr>
        <w:t xml:space="preserve">Dice and Jacobs Law contravened the law. </w:t>
      </w:r>
      <w:r w:rsidR="00166F2C">
        <w:rPr>
          <w:rFonts w:ascii="Times New Roman" w:hAnsi="Times New Roman" w:cs="Times New Roman"/>
          <w:sz w:val="24"/>
          <w:szCs w:val="24"/>
        </w:rPr>
        <w:t>The state</w:t>
      </w:r>
      <w:r w:rsidR="00637B6C">
        <w:rPr>
          <w:rFonts w:ascii="Times New Roman" w:hAnsi="Times New Roman" w:cs="Times New Roman"/>
          <w:sz w:val="24"/>
          <w:szCs w:val="24"/>
        </w:rPr>
        <w:t xml:space="preserve">, in its various permutations from </w:t>
      </w:r>
      <w:r w:rsidR="00B4408A">
        <w:rPr>
          <w:rFonts w:ascii="Times New Roman" w:hAnsi="Times New Roman" w:cs="Times New Roman"/>
          <w:sz w:val="24"/>
          <w:szCs w:val="24"/>
        </w:rPr>
        <w:t>local</w:t>
      </w:r>
      <w:r w:rsidR="00637B6C">
        <w:rPr>
          <w:rFonts w:ascii="Times New Roman" w:hAnsi="Times New Roman" w:cs="Times New Roman"/>
          <w:sz w:val="24"/>
          <w:szCs w:val="24"/>
        </w:rPr>
        <w:t>-to-federal,</w:t>
      </w:r>
      <w:r w:rsidR="00166F2C">
        <w:rPr>
          <w:rFonts w:ascii="Times New Roman" w:hAnsi="Times New Roman" w:cs="Times New Roman"/>
          <w:sz w:val="24"/>
          <w:szCs w:val="24"/>
        </w:rPr>
        <w:t xml:space="preserve"> recognizes our client’s right to his job; a right which, when gainsaid</w:t>
      </w:r>
      <w:r w:rsidR="00637B6C">
        <w:rPr>
          <w:rFonts w:ascii="Times New Roman" w:hAnsi="Times New Roman" w:cs="Times New Roman"/>
          <w:sz w:val="24"/>
          <w:szCs w:val="24"/>
        </w:rPr>
        <w:t>,</w:t>
      </w:r>
      <w:r w:rsidR="00166F2C">
        <w:rPr>
          <w:rFonts w:ascii="Times New Roman" w:hAnsi="Times New Roman" w:cs="Times New Roman"/>
          <w:sz w:val="24"/>
          <w:szCs w:val="24"/>
        </w:rPr>
        <w:t xml:space="preserve"> “</w:t>
      </w:r>
      <w:r w:rsidR="00166F2C" w:rsidRPr="00166F2C">
        <w:rPr>
          <w:rFonts w:ascii="Times New Roman" w:hAnsi="Times New Roman" w:cs="Times New Roman"/>
          <w:sz w:val="24"/>
          <w:szCs w:val="24"/>
        </w:rPr>
        <w:t>menaces the institutions and foundation of a free democratic state and threatens the peace, order, health, safety and general welfare of the state and its inhabitants.</w:t>
      </w:r>
      <w:r w:rsidR="00166F2C">
        <w:rPr>
          <w:rFonts w:ascii="Times New Roman" w:hAnsi="Times New Roman" w:cs="Times New Roman"/>
          <w:sz w:val="24"/>
          <w:szCs w:val="24"/>
        </w:rPr>
        <w:t xml:space="preserve">” </w:t>
      </w:r>
      <w:r w:rsidR="00637B6C">
        <w:rPr>
          <w:rFonts w:ascii="Times New Roman" w:hAnsi="Times New Roman" w:cs="Times New Roman"/>
          <w:sz w:val="24"/>
          <w:szCs w:val="24"/>
        </w:rPr>
        <w:t xml:space="preserve">Taking this premise to its ineluctable conclusion leaves </w:t>
      </w:r>
      <w:r w:rsidR="00B4408A">
        <w:rPr>
          <w:rFonts w:ascii="Times New Roman" w:hAnsi="Times New Roman" w:cs="Times New Roman"/>
          <w:sz w:val="24"/>
          <w:szCs w:val="24"/>
        </w:rPr>
        <w:t xml:space="preserve">only </w:t>
      </w:r>
      <w:r w:rsidR="00637B6C">
        <w:rPr>
          <w:rFonts w:ascii="Times New Roman" w:hAnsi="Times New Roman" w:cs="Times New Roman"/>
          <w:sz w:val="24"/>
          <w:szCs w:val="24"/>
        </w:rPr>
        <w:t>this factum to the object</w:t>
      </w:r>
      <w:r w:rsidR="00B4408A">
        <w:rPr>
          <w:rFonts w:ascii="Times New Roman" w:hAnsi="Times New Roman" w:cs="Times New Roman"/>
          <w:sz w:val="24"/>
          <w:szCs w:val="24"/>
        </w:rPr>
        <w:t>ive and dispassionate observer</w:t>
      </w:r>
      <w:r w:rsidR="00B4408A">
        <w:rPr>
          <w:rStyle w:val="FootnoteReference"/>
          <w:rFonts w:ascii="Times New Roman" w:hAnsi="Times New Roman" w:cs="Times New Roman"/>
          <w:sz w:val="24"/>
          <w:szCs w:val="24"/>
        </w:rPr>
        <w:footnoteReference w:id="13"/>
      </w:r>
      <w:r w:rsidR="00637B6C">
        <w:rPr>
          <w:rFonts w:ascii="Times New Roman" w:hAnsi="Times New Roman" w:cs="Times New Roman"/>
          <w:sz w:val="24"/>
          <w:szCs w:val="24"/>
        </w:rPr>
        <w:t xml:space="preserve">: </w:t>
      </w:r>
      <w:r w:rsidR="00166F2C">
        <w:rPr>
          <w:rFonts w:ascii="Times New Roman" w:hAnsi="Times New Roman" w:cs="Times New Roman"/>
          <w:sz w:val="24"/>
          <w:szCs w:val="24"/>
        </w:rPr>
        <w:t xml:space="preserve">the discrimination that our client </w:t>
      </w:r>
      <w:r w:rsidR="00637B6C">
        <w:rPr>
          <w:rFonts w:ascii="Times New Roman" w:hAnsi="Times New Roman" w:cs="Times New Roman"/>
          <w:sz w:val="24"/>
          <w:szCs w:val="24"/>
        </w:rPr>
        <w:t>had been made</w:t>
      </w:r>
      <w:r w:rsidR="00166F2C">
        <w:rPr>
          <w:rFonts w:ascii="Times New Roman" w:hAnsi="Times New Roman" w:cs="Times New Roman"/>
          <w:sz w:val="24"/>
          <w:szCs w:val="24"/>
        </w:rPr>
        <w:t xml:space="preserve"> subjec</w:t>
      </w:r>
      <w:r w:rsidR="00637B6C">
        <w:rPr>
          <w:rFonts w:ascii="Times New Roman" w:hAnsi="Times New Roman" w:cs="Times New Roman"/>
          <w:sz w:val="24"/>
          <w:szCs w:val="24"/>
        </w:rPr>
        <w:t>t</w:t>
      </w:r>
      <w:r w:rsidR="00965A13">
        <w:rPr>
          <w:rFonts w:ascii="Times New Roman" w:hAnsi="Times New Roman" w:cs="Times New Roman"/>
          <w:sz w:val="24"/>
          <w:szCs w:val="24"/>
        </w:rPr>
        <w:t xml:space="preserve"> to</w:t>
      </w:r>
      <w:r w:rsidR="00166F2C">
        <w:rPr>
          <w:rFonts w:ascii="Times New Roman" w:hAnsi="Times New Roman" w:cs="Times New Roman"/>
          <w:sz w:val="24"/>
          <w:szCs w:val="24"/>
        </w:rPr>
        <w:t xml:space="preserve"> </w:t>
      </w:r>
      <w:proofErr w:type="gramStart"/>
      <w:r w:rsidR="00637B6C">
        <w:rPr>
          <w:rFonts w:ascii="Times New Roman" w:hAnsi="Times New Roman" w:cs="Times New Roman"/>
          <w:sz w:val="24"/>
          <w:szCs w:val="24"/>
        </w:rPr>
        <w:t>is</w:t>
      </w:r>
      <w:proofErr w:type="gramEnd"/>
      <w:r w:rsidR="00637B6C">
        <w:rPr>
          <w:rFonts w:ascii="Times New Roman" w:hAnsi="Times New Roman" w:cs="Times New Roman"/>
          <w:sz w:val="24"/>
          <w:szCs w:val="24"/>
        </w:rPr>
        <w:t xml:space="preserve"> legally proscribed</w:t>
      </w:r>
      <w:r w:rsidR="00B86CC4">
        <w:rPr>
          <w:rFonts w:ascii="Times New Roman" w:hAnsi="Times New Roman" w:cs="Times New Roman"/>
          <w:sz w:val="24"/>
          <w:szCs w:val="24"/>
        </w:rPr>
        <w:t xml:space="preserve"> not only for his own personal well-being; but, ultimately, for </w:t>
      </w:r>
      <w:r w:rsidR="00637B6C">
        <w:rPr>
          <w:rFonts w:ascii="Times New Roman" w:hAnsi="Times New Roman" w:cs="Times New Roman"/>
          <w:sz w:val="24"/>
          <w:szCs w:val="24"/>
        </w:rPr>
        <w:t xml:space="preserve">the imminent threat </w:t>
      </w:r>
      <w:r w:rsidR="00B86CC4">
        <w:rPr>
          <w:rFonts w:ascii="Times New Roman" w:hAnsi="Times New Roman" w:cs="Times New Roman"/>
          <w:sz w:val="24"/>
          <w:szCs w:val="24"/>
        </w:rPr>
        <w:t xml:space="preserve">such actions pose </w:t>
      </w:r>
      <w:r w:rsidR="00637B6C">
        <w:rPr>
          <w:rFonts w:ascii="Times New Roman" w:hAnsi="Times New Roman" w:cs="Times New Roman"/>
          <w:sz w:val="24"/>
          <w:szCs w:val="24"/>
        </w:rPr>
        <w:t xml:space="preserve">to </w:t>
      </w:r>
      <w:r w:rsidR="00B86CC4">
        <w:rPr>
          <w:rFonts w:ascii="Times New Roman" w:hAnsi="Times New Roman" w:cs="Times New Roman"/>
          <w:sz w:val="24"/>
          <w:szCs w:val="24"/>
        </w:rPr>
        <w:t>the public interest</w:t>
      </w:r>
      <w:r w:rsidR="00166F2C">
        <w:rPr>
          <w:rFonts w:ascii="Times New Roman" w:hAnsi="Times New Roman" w:cs="Times New Roman"/>
          <w:sz w:val="24"/>
          <w:szCs w:val="24"/>
        </w:rPr>
        <w:t xml:space="preserve">. Both the courts </w:t>
      </w:r>
      <w:r w:rsidR="00637B6C">
        <w:rPr>
          <w:rFonts w:ascii="Times New Roman" w:hAnsi="Times New Roman" w:cs="Times New Roman"/>
          <w:sz w:val="24"/>
          <w:szCs w:val="24"/>
        </w:rPr>
        <w:t xml:space="preserve">which interpret the law </w:t>
      </w:r>
      <w:r w:rsidR="00166F2C">
        <w:rPr>
          <w:rFonts w:ascii="Times New Roman" w:hAnsi="Times New Roman" w:cs="Times New Roman"/>
          <w:sz w:val="24"/>
          <w:szCs w:val="24"/>
        </w:rPr>
        <w:t xml:space="preserve">and </w:t>
      </w:r>
      <w:r w:rsidR="00965A13">
        <w:rPr>
          <w:rFonts w:ascii="Times New Roman" w:hAnsi="Times New Roman" w:cs="Times New Roman"/>
          <w:sz w:val="24"/>
          <w:szCs w:val="24"/>
        </w:rPr>
        <w:t>legislatures</w:t>
      </w:r>
      <w:r w:rsidR="00166F2C">
        <w:rPr>
          <w:rFonts w:ascii="Times New Roman" w:hAnsi="Times New Roman" w:cs="Times New Roman"/>
          <w:sz w:val="24"/>
          <w:szCs w:val="24"/>
        </w:rPr>
        <w:t xml:space="preserve"> </w:t>
      </w:r>
      <w:r w:rsidR="00637B6C">
        <w:rPr>
          <w:rFonts w:ascii="Times New Roman" w:hAnsi="Times New Roman" w:cs="Times New Roman"/>
          <w:sz w:val="24"/>
          <w:szCs w:val="24"/>
        </w:rPr>
        <w:t xml:space="preserve">which design the law </w:t>
      </w:r>
      <w:r w:rsidR="00275930">
        <w:rPr>
          <w:rFonts w:ascii="Times New Roman" w:hAnsi="Times New Roman" w:cs="Times New Roman"/>
          <w:sz w:val="24"/>
          <w:szCs w:val="24"/>
        </w:rPr>
        <w:t>operate</w:t>
      </w:r>
      <w:r w:rsidR="00637B6C">
        <w:rPr>
          <w:rFonts w:ascii="Times New Roman" w:hAnsi="Times New Roman" w:cs="Times New Roman"/>
          <w:sz w:val="24"/>
          <w:szCs w:val="24"/>
        </w:rPr>
        <w:t xml:space="preserve"> with </w:t>
      </w:r>
      <w:r w:rsidR="00275930">
        <w:rPr>
          <w:rFonts w:ascii="Times New Roman" w:hAnsi="Times New Roman" w:cs="Times New Roman"/>
          <w:sz w:val="24"/>
          <w:szCs w:val="24"/>
        </w:rPr>
        <w:t xml:space="preserve">society’s benefit </w:t>
      </w:r>
      <w:r w:rsidR="00637B6C">
        <w:rPr>
          <w:rFonts w:ascii="Times New Roman" w:hAnsi="Times New Roman" w:cs="Times New Roman"/>
          <w:sz w:val="24"/>
          <w:szCs w:val="24"/>
        </w:rPr>
        <w:t xml:space="preserve">as the </w:t>
      </w:r>
      <w:r w:rsidR="00637B6C" w:rsidRPr="00637B6C">
        <w:rPr>
          <w:rFonts w:ascii="Times New Roman" w:hAnsi="Times New Roman" w:cs="Times New Roman"/>
          <w:i/>
          <w:sz w:val="24"/>
          <w:szCs w:val="24"/>
        </w:rPr>
        <w:t>summum bonum</w:t>
      </w:r>
      <w:r w:rsidR="00275930">
        <w:rPr>
          <w:rFonts w:ascii="Times New Roman" w:hAnsi="Times New Roman" w:cs="Times New Roman"/>
          <w:i/>
          <w:sz w:val="24"/>
          <w:szCs w:val="24"/>
        </w:rPr>
        <w:t>.</w:t>
      </w:r>
    </w:p>
    <w:p w:rsidR="00275930" w:rsidRPr="00275930" w:rsidRDefault="00275930" w:rsidP="00B036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mechanism </w:t>
      </w:r>
      <w:r w:rsidR="00B86CC4">
        <w:rPr>
          <w:rFonts w:ascii="Times New Roman" w:hAnsi="Times New Roman" w:cs="Times New Roman"/>
          <w:sz w:val="24"/>
          <w:szCs w:val="24"/>
        </w:rPr>
        <w:t xml:space="preserve">of re-employment </w:t>
      </w:r>
      <w:r>
        <w:rPr>
          <w:rFonts w:ascii="Times New Roman" w:hAnsi="Times New Roman" w:cs="Times New Roman"/>
          <w:sz w:val="24"/>
          <w:szCs w:val="24"/>
        </w:rPr>
        <w:t xml:space="preserve">has its consummation in </w:t>
      </w:r>
      <w:r w:rsidR="00B86CC4">
        <w:rPr>
          <w:rFonts w:ascii="Times New Roman" w:hAnsi="Times New Roman" w:cs="Times New Roman"/>
          <w:sz w:val="24"/>
          <w:szCs w:val="24"/>
        </w:rPr>
        <w:t>the exhibition of the documentation provided by our</w:t>
      </w:r>
      <w:r>
        <w:rPr>
          <w:rFonts w:ascii="Times New Roman" w:hAnsi="Times New Roman" w:cs="Times New Roman"/>
          <w:sz w:val="24"/>
          <w:szCs w:val="24"/>
        </w:rPr>
        <w:t xml:space="preserve"> client’s PCP (Primary Care Physician). Dr. Harold Jacobs (no relation) has been our client’s primary care physician for over twenty nine years. Prior to Dr. Harold Jacob’s designation as PCP, Jacob’s father, Dr. Kyle Jacobs</w:t>
      </w:r>
      <w:r w:rsidR="00B86CC4">
        <w:rPr>
          <w:rFonts w:ascii="Times New Roman" w:hAnsi="Times New Roman" w:cs="Times New Roman"/>
          <w:sz w:val="24"/>
          <w:szCs w:val="24"/>
        </w:rPr>
        <w:t>,</w:t>
      </w:r>
      <w:r>
        <w:rPr>
          <w:rFonts w:ascii="Times New Roman" w:hAnsi="Times New Roman" w:cs="Times New Roman"/>
          <w:sz w:val="24"/>
          <w:szCs w:val="24"/>
        </w:rPr>
        <w:t xml:space="preserve"> (no relation) was our client’s primary care physician. While the law is unequivocal in its prohibition of age-related </w:t>
      </w:r>
      <w:r>
        <w:rPr>
          <w:rFonts w:ascii="Times New Roman" w:hAnsi="Times New Roman" w:cs="Times New Roman"/>
          <w:sz w:val="24"/>
          <w:szCs w:val="24"/>
        </w:rPr>
        <w:lastRenderedPageBreak/>
        <w:t>discrimination</w:t>
      </w:r>
      <w:r w:rsidR="00B86CC4">
        <w:rPr>
          <w:rFonts w:ascii="Times New Roman" w:hAnsi="Times New Roman" w:cs="Times New Roman"/>
          <w:sz w:val="24"/>
          <w:szCs w:val="24"/>
        </w:rPr>
        <w:t xml:space="preserve"> and is salient in its own right</w:t>
      </w:r>
      <w:r>
        <w:rPr>
          <w:rFonts w:ascii="Times New Roman" w:hAnsi="Times New Roman" w:cs="Times New Roman"/>
          <w:sz w:val="24"/>
          <w:szCs w:val="24"/>
        </w:rPr>
        <w:t xml:space="preserve">, Dr. Harold Jacob has provided an additional “clean-bill-of-health” to any </w:t>
      </w:r>
      <w:r w:rsidR="00B86CC4">
        <w:rPr>
          <w:rFonts w:ascii="Times New Roman" w:hAnsi="Times New Roman" w:cs="Times New Roman"/>
          <w:sz w:val="24"/>
          <w:szCs w:val="24"/>
        </w:rPr>
        <w:t xml:space="preserve">subjective </w:t>
      </w:r>
      <w:r>
        <w:rPr>
          <w:rFonts w:ascii="Times New Roman" w:hAnsi="Times New Roman" w:cs="Times New Roman"/>
          <w:sz w:val="24"/>
          <w:szCs w:val="24"/>
        </w:rPr>
        <w:t>h</w:t>
      </w:r>
      <w:r w:rsidR="00B86CC4">
        <w:rPr>
          <w:rFonts w:ascii="Times New Roman" w:hAnsi="Times New Roman" w:cs="Times New Roman"/>
          <w:sz w:val="24"/>
          <w:szCs w:val="24"/>
        </w:rPr>
        <w:t>uman element threatening to influence objective</w:t>
      </w:r>
      <w:r>
        <w:rPr>
          <w:rFonts w:ascii="Times New Roman" w:hAnsi="Times New Roman" w:cs="Times New Roman"/>
          <w:sz w:val="24"/>
          <w:szCs w:val="24"/>
        </w:rPr>
        <w:t xml:space="preserve"> legal relations</w:t>
      </w:r>
      <w:r w:rsidR="00B86CC4">
        <w:rPr>
          <w:rFonts w:ascii="Times New Roman" w:hAnsi="Times New Roman" w:cs="Times New Roman"/>
          <w:sz w:val="24"/>
          <w:szCs w:val="24"/>
        </w:rPr>
        <w:t xml:space="preserve"> as will be determined in this suit</w:t>
      </w:r>
      <w:r>
        <w:rPr>
          <w:rFonts w:ascii="Times New Roman" w:hAnsi="Times New Roman" w:cs="Times New Roman"/>
          <w:sz w:val="24"/>
          <w:szCs w:val="24"/>
        </w:rPr>
        <w:t xml:space="preserve">. </w:t>
      </w:r>
      <w:r w:rsidR="00B86CC4">
        <w:rPr>
          <w:rFonts w:ascii="Times New Roman" w:hAnsi="Times New Roman" w:cs="Times New Roman"/>
          <w:sz w:val="24"/>
          <w:szCs w:val="24"/>
        </w:rPr>
        <w:t>Dr. Harold Jacob repeatedly accentuates the excellent health of our client. According to him, a</w:t>
      </w:r>
      <w:r>
        <w:rPr>
          <w:rFonts w:ascii="Times New Roman" w:hAnsi="Times New Roman" w:cs="Times New Roman"/>
          <w:sz w:val="24"/>
          <w:szCs w:val="24"/>
        </w:rPr>
        <w:t xml:space="preserve">ge, in this suit, </w:t>
      </w:r>
      <w:r w:rsidRPr="00275930">
        <w:rPr>
          <w:rFonts w:ascii="Times New Roman" w:hAnsi="Times New Roman" w:cs="Times New Roman"/>
          <w:i/>
          <w:sz w:val="24"/>
          <w:szCs w:val="24"/>
        </w:rPr>
        <w:t>cannot</w:t>
      </w:r>
      <w:r>
        <w:rPr>
          <w:rFonts w:ascii="Times New Roman" w:hAnsi="Times New Roman" w:cs="Times New Roman"/>
          <w:sz w:val="24"/>
          <w:szCs w:val="24"/>
        </w:rPr>
        <w:t xml:space="preserve"> play any factor in a</w:t>
      </w:r>
      <w:r w:rsidR="00B86CC4">
        <w:rPr>
          <w:rFonts w:ascii="Times New Roman" w:hAnsi="Times New Roman" w:cs="Times New Roman"/>
          <w:sz w:val="24"/>
          <w:szCs w:val="24"/>
        </w:rPr>
        <w:t xml:space="preserve">ny defense positing a legal dismissal of our client. </w:t>
      </w:r>
      <w:r>
        <w:rPr>
          <w:rFonts w:ascii="Times New Roman" w:hAnsi="Times New Roman" w:cs="Times New Roman"/>
          <w:sz w:val="24"/>
          <w:szCs w:val="24"/>
        </w:rPr>
        <w:t>Such a defense (as may be undertaken by the defense)</w:t>
      </w:r>
      <w:r w:rsidR="00B86CC4">
        <w:rPr>
          <w:rFonts w:ascii="Times New Roman" w:hAnsi="Times New Roman" w:cs="Times New Roman"/>
          <w:sz w:val="24"/>
          <w:szCs w:val="24"/>
        </w:rPr>
        <w:t>, according to Dr. Jacob,</w:t>
      </w:r>
      <w:r>
        <w:rPr>
          <w:rFonts w:ascii="Times New Roman" w:hAnsi="Times New Roman" w:cs="Times New Roman"/>
          <w:sz w:val="24"/>
          <w:szCs w:val="24"/>
        </w:rPr>
        <w:t xml:space="preserve"> is medically meretricious; </w:t>
      </w:r>
      <w:r w:rsidR="005765E0">
        <w:rPr>
          <w:rFonts w:ascii="Times New Roman" w:hAnsi="Times New Roman" w:cs="Times New Roman"/>
          <w:sz w:val="24"/>
          <w:szCs w:val="24"/>
        </w:rPr>
        <w:t xml:space="preserve">only under the most extreme and unrealistic circumstances – such as a future hypothetical work-schedule of over a hundred-hours a week without break </w:t>
      </w:r>
      <w:r w:rsidR="00272258">
        <w:rPr>
          <w:rFonts w:ascii="Times New Roman" w:hAnsi="Times New Roman" w:cs="Times New Roman"/>
          <w:sz w:val="24"/>
          <w:szCs w:val="24"/>
        </w:rPr>
        <w:t xml:space="preserve">for convalescence imposed on Mr. Wilson </w:t>
      </w:r>
      <w:r w:rsidR="005765E0">
        <w:rPr>
          <w:rFonts w:ascii="Times New Roman" w:hAnsi="Times New Roman" w:cs="Times New Roman"/>
          <w:sz w:val="24"/>
          <w:szCs w:val="24"/>
        </w:rPr>
        <w:t xml:space="preserve">over a period of </w:t>
      </w:r>
      <w:r w:rsidR="005765E0" w:rsidRPr="005765E0">
        <w:rPr>
          <w:rFonts w:ascii="Times New Roman" w:hAnsi="Times New Roman" w:cs="Times New Roman"/>
          <w:i/>
          <w:sz w:val="24"/>
          <w:szCs w:val="24"/>
        </w:rPr>
        <w:t>years</w:t>
      </w:r>
      <w:r w:rsidR="005765E0">
        <w:rPr>
          <w:rFonts w:ascii="Times New Roman" w:hAnsi="Times New Roman" w:cs="Times New Roman"/>
          <w:sz w:val="24"/>
          <w:szCs w:val="24"/>
        </w:rPr>
        <w:t xml:space="preserve"> or a</w:t>
      </w:r>
      <w:r w:rsidR="00272258">
        <w:rPr>
          <w:rFonts w:ascii="Times New Roman" w:hAnsi="Times New Roman" w:cs="Times New Roman"/>
          <w:sz w:val="24"/>
          <w:szCs w:val="24"/>
        </w:rPr>
        <w:t xml:space="preserve"> sharply delineated reversal of </w:t>
      </w:r>
      <w:r w:rsidR="005765E0">
        <w:rPr>
          <w:rFonts w:ascii="Times New Roman" w:hAnsi="Times New Roman" w:cs="Times New Roman"/>
          <w:sz w:val="24"/>
          <w:szCs w:val="24"/>
        </w:rPr>
        <w:t xml:space="preserve">Mr. Wilson’s strictly observed salubrious habits (his exercise and eating regimens) or the sudden appearance of a hypothetical drug habit </w:t>
      </w:r>
      <w:r w:rsidR="005765E0" w:rsidRPr="005765E0">
        <w:rPr>
          <w:rFonts w:ascii="Times New Roman" w:hAnsi="Times New Roman" w:cs="Times New Roman"/>
          <w:sz w:val="24"/>
          <w:szCs w:val="24"/>
        </w:rPr>
        <w:t>(of which our client has no medical history</w:t>
      </w:r>
      <w:r w:rsidR="00272258">
        <w:rPr>
          <w:rFonts w:ascii="Times New Roman" w:hAnsi="Times New Roman" w:cs="Times New Roman"/>
          <w:sz w:val="24"/>
          <w:szCs w:val="24"/>
        </w:rPr>
        <w:t>; no medically-established proof of proclivity toward</w:t>
      </w:r>
      <w:r w:rsidR="005765E0" w:rsidRPr="005765E0">
        <w:rPr>
          <w:rFonts w:ascii="Times New Roman" w:hAnsi="Times New Roman" w:cs="Times New Roman"/>
          <w:sz w:val="24"/>
          <w:szCs w:val="24"/>
        </w:rPr>
        <w:t xml:space="preserve">) </w:t>
      </w:r>
      <w:r w:rsidR="005765E0">
        <w:rPr>
          <w:rFonts w:ascii="Times New Roman" w:hAnsi="Times New Roman" w:cs="Times New Roman"/>
          <w:sz w:val="24"/>
          <w:szCs w:val="24"/>
        </w:rPr>
        <w:t xml:space="preserve">waxing into long-term full-blown hypothetical drug abuse would impact </w:t>
      </w:r>
      <w:r w:rsidR="000B41FE">
        <w:rPr>
          <w:rFonts w:ascii="Times New Roman" w:hAnsi="Times New Roman" w:cs="Times New Roman"/>
          <w:sz w:val="24"/>
          <w:szCs w:val="24"/>
        </w:rPr>
        <w:t>our client’s</w:t>
      </w:r>
      <w:r w:rsidR="005765E0">
        <w:rPr>
          <w:rFonts w:ascii="Times New Roman" w:hAnsi="Times New Roman" w:cs="Times New Roman"/>
          <w:sz w:val="24"/>
          <w:szCs w:val="24"/>
        </w:rPr>
        <w:t xml:space="preserve"> health to such an extent that age wo</w:t>
      </w:r>
      <w:r w:rsidR="000B41FE">
        <w:rPr>
          <w:rFonts w:ascii="Times New Roman" w:hAnsi="Times New Roman" w:cs="Times New Roman"/>
          <w:sz w:val="24"/>
          <w:szCs w:val="24"/>
        </w:rPr>
        <w:t xml:space="preserve">uld become a non-trivial factor. Only under these purely hypothetical and factually </w:t>
      </w:r>
      <w:r w:rsidR="00272258">
        <w:rPr>
          <w:rFonts w:ascii="Times New Roman" w:hAnsi="Times New Roman" w:cs="Times New Roman"/>
          <w:sz w:val="24"/>
          <w:szCs w:val="24"/>
        </w:rPr>
        <w:t>uncorroborated</w:t>
      </w:r>
      <w:r w:rsidR="000B41FE">
        <w:rPr>
          <w:rFonts w:ascii="Times New Roman" w:hAnsi="Times New Roman" w:cs="Times New Roman"/>
          <w:sz w:val="24"/>
          <w:szCs w:val="24"/>
        </w:rPr>
        <w:t xml:space="preserve"> circumstances would a dismissal under the auspices of that particular </w:t>
      </w:r>
      <w:r w:rsidR="005765E0">
        <w:rPr>
          <w:rFonts w:ascii="Times New Roman" w:hAnsi="Times New Roman" w:cs="Times New Roman"/>
          <w:sz w:val="24"/>
          <w:szCs w:val="24"/>
        </w:rPr>
        <w:t xml:space="preserve">variable </w:t>
      </w:r>
      <w:r w:rsidR="00272258">
        <w:rPr>
          <w:rFonts w:ascii="Times New Roman" w:hAnsi="Times New Roman" w:cs="Times New Roman"/>
          <w:sz w:val="24"/>
          <w:szCs w:val="24"/>
        </w:rPr>
        <w:t xml:space="preserve">be </w:t>
      </w:r>
      <w:r w:rsidR="005765E0">
        <w:rPr>
          <w:rFonts w:ascii="Times New Roman" w:hAnsi="Times New Roman" w:cs="Times New Roman"/>
          <w:sz w:val="24"/>
          <w:szCs w:val="24"/>
        </w:rPr>
        <w:t xml:space="preserve">defensible </w:t>
      </w:r>
      <w:r w:rsidR="000B41FE">
        <w:rPr>
          <w:rFonts w:ascii="Times New Roman" w:hAnsi="Times New Roman" w:cs="Times New Roman"/>
          <w:sz w:val="24"/>
          <w:szCs w:val="24"/>
        </w:rPr>
        <w:t>(but not necessarily indefeasible!) i</w:t>
      </w:r>
      <w:r w:rsidR="005765E0">
        <w:rPr>
          <w:rFonts w:ascii="Times New Roman" w:hAnsi="Times New Roman" w:cs="Times New Roman"/>
          <w:sz w:val="24"/>
          <w:szCs w:val="24"/>
        </w:rPr>
        <w:t>n the court of law.</w:t>
      </w:r>
    </w:p>
    <w:p w:rsidR="00047DBE" w:rsidRPr="00965A13" w:rsidRDefault="00047DBE" w:rsidP="00965A13">
      <w:pPr>
        <w:pStyle w:val="ListParagraph"/>
        <w:numPr>
          <w:ilvl w:val="0"/>
          <w:numId w:val="1"/>
        </w:numPr>
        <w:spacing w:line="480" w:lineRule="auto"/>
        <w:rPr>
          <w:rFonts w:ascii="Times New Roman" w:hAnsi="Times New Roman" w:cs="Times New Roman"/>
          <w:sz w:val="24"/>
          <w:szCs w:val="24"/>
        </w:rPr>
      </w:pPr>
      <w:r w:rsidRPr="00965A13">
        <w:rPr>
          <w:rFonts w:ascii="Times New Roman" w:hAnsi="Times New Roman" w:cs="Times New Roman"/>
          <w:sz w:val="24"/>
          <w:szCs w:val="24"/>
        </w:rPr>
        <w:t>Conclusion:</w:t>
      </w:r>
    </w:p>
    <w:p w:rsidR="00277FD4" w:rsidRPr="00D1410D" w:rsidRDefault="00275930" w:rsidP="00B26893">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A87148">
        <w:rPr>
          <w:rFonts w:ascii="Times New Roman" w:hAnsi="Times New Roman" w:cs="Times New Roman"/>
          <w:sz w:val="24"/>
          <w:szCs w:val="24"/>
        </w:rPr>
        <w:t xml:space="preserve"> client, Clyde Wi</w:t>
      </w:r>
      <w:r w:rsidR="00B0360B">
        <w:rPr>
          <w:rFonts w:ascii="Times New Roman" w:hAnsi="Times New Roman" w:cs="Times New Roman"/>
          <w:sz w:val="24"/>
          <w:szCs w:val="24"/>
        </w:rPr>
        <w:t>lson, has as solid a case as one could hope</w:t>
      </w:r>
      <w:r w:rsidR="00A87148">
        <w:rPr>
          <w:rFonts w:ascii="Times New Roman" w:hAnsi="Times New Roman" w:cs="Times New Roman"/>
          <w:sz w:val="24"/>
          <w:szCs w:val="24"/>
        </w:rPr>
        <w:t>. All law prohibiting discri</w:t>
      </w:r>
      <w:r w:rsidR="00B26893">
        <w:rPr>
          <w:rFonts w:ascii="Times New Roman" w:hAnsi="Times New Roman" w:cs="Times New Roman"/>
          <w:sz w:val="24"/>
          <w:szCs w:val="24"/>
        </w:rPr>
        <w:t xml:space="preserve">mination, from </w:t>
      </w:r>
      <w:r w:rsidR="00965A13">
        <w:rPr>
          <w:rFonts w:ascii="Times New Roman" w:hAnsi="Times New Roman" w:cs="Times New Roman"/>
          <w:sz w:val="24"/>
          <w:szCs w:val="24"/>
        </w:rPr>
        <w:t>law</w:t>
      </w:r>
      <w:r w:rsidR="00B26893">
        <w:rPr>
          <w:rFonts w:ascii="Times New Roman" w:hAnsi="Times New Roman" w:cs="Times New Roman"/>
          <w:sz w:val="24"/>
          <w:szCs w:val="24"/>
        </w:rPr>
        <w:t xml:space="preserve"> </w:t>
      </w:r>
      <w:r w:rsidR="00272258">
        <w:rPr>
          <w:rFonts w:ascii="Times New Roman" w:hAnsi="Times New Roman" w:cs="Times New Roman"/>
          <w:sz w:val="24"/>
          <w:szCs w:val="24"/>
        </w:rPr>
        <w:t xml:space="preserve">currently </w:t>
      </w:r>
      <w:r w:rsidR="00B26893">
        <w:rPr>
          <w:rFonts w:ascii="Times New Roman" w:hAnsi="Times New Roman" w:cs="Times New Roman"/>
          <w:sz w:val="24"/>
          <w:szCs w:val="24"/>
        </w:rPr>
        <w:t>in operation at</w:t>
      </w:r>
      <w:r w:rsidR="00965A13">
        <w:rPr>
          <w:rFonts w:ascii="Times New Roman" w:hAnsi="Times New Roman" w:cs="Times New Roman"/>
          <w:sz w:val="24"/>
          <w:szCs w:val="24"/>
        </w:rPr>
        <w:t xml:space="preserve"> the</w:t>
      </w:r>
      <w:r w:rsidR="00A87148">
        <w:rPr>
          <w:rFonts w:ascii="Times New Roman" w:hAnsi="Times New Roman" w:cs="Times New Roman"/>
          <w:sz w:val="24"/>
          <w:szCs w:val="24"/>
        </w:rPr>
        <w:t xml:space="preserve"> </w:t>
      </w:r>
      <w:r w:rsidR="000B41FE">
        <w:rPr>
          <w:rFonts w:ascii="Times New Roman" w:hAnsi="Times New Roman" w:cs="Times New Roman"/>
          <w:sz w:val="24"/>
          <w:szCs w:val="24"/>
        </w:rPr>
        <w:t xml:space="preserve">city and </w:t>
      </w:r>
      <w:r w:rsidR="00A87148">
        <w:rPr>
          <w:rFonts w:ascii="Times New Roman" w:hAnsi="Times New Roman" w:cs="Times New Roman"/>
          <w:sz w:val="24"/>
          <w:szCs w:val="24"/>
        </w:rPr>
        <w:t>state-level to the 14</w:t>
      </w:r>
      <w:r w:rsidR="00A87148" w:rsidRPr="00A87148">
        <w:rPr>
          <w:rFonts w:ascii="Times New Roman" w:hAnsi="Times New Roman" w:cs="Times New Roman"/>
          <w:sz w:val="24"/>
          <w:szCs w:val="24"/>
          <w:vertAlign w:val="superscript"/>
        </w:rPr>
        <w:t>th</w:t>
      </w:r>
      <w:r w:rsidR="00E80E00">
        <w:rPr>
          <w:rFonts w:ascii="Times New Roman" w:hAnsi="Times New Roman" w:cs="Times New Roman"/>
          <w:sz w:val="24"/>
          <w:szCs w:val="24"/>
        </w:rPr>
        <w:t xml:space="preserve"> Amendment of</w:t>
      </w:r>
      <w:r w:rsidR="00A87148">
        <w:rPr>
          <w:rFonts w:ascii="Times New Roman" w:hAnsi="Times New Roman" w:cs="Times New Roman"/>
          <w:sz w:val="24"/>
          <w:szCs w:val="24"/>
        </w:rPr>
        <w:t xml:space="preserve"> the Constitution prohibit the kind of treatment our client endured at his former place of work. </w:t>
      </w:r>
      <w:r w:rsidR="00B0360B">
        <w:rPr>
          <w:rFonts w:ascii="Times New Roman" w:hAnsi="Times New Roman" w:cs="Times New Roman"/>
          <w:sz w:val="24"/>
          <w:szCs w:val="24"/>
        </w:rPr>
        <w:t xml:space="preserve">As it relates to us, </w:t>
      </w:r>
      <w:r w:rsidR="00B26893">
        <w:rPr>
          <w:rFonts w:ascii="Times New Roman" w:hAnsi="Times New Roman" w:cs="Times New Roman"/>
          <w:sz w:val="24"/>
          <w:szCs w:val="24"/>
        </w:rPr>
        <w:t xml:space="preserve">a </w:t>
      </w:r>
      <w:r w:rsidR="00B26893" w:rsidRPr="000B41FE">
        <w:rPr>
          <w:rFonts w:ascii="Times New Roman" w:hAnsi="Times New Roman" w:cs="Times New Roman"/>
          <w:i/>
          <w:sz w:val="24"/>
          <w:szCs w:val="24"/>
        </w:rPr>
        <w:t>prima fa</w:t>
      </w:r>
      <w:r w:rsidR="00A76AFF" w:rsidRPr="000B41FE">
        <w:rPr>
          <w:rFonts w:ascii="Times New Roman" w:hAnsi="Times New Roman" w:cs="Times New Roman"/>
          <w:i/>
          <w:sz w:val="24"/>
          <w:szCs w:val="24"/>
        </w:rPr>
        <w:t>c</w:t>
      </w:r>
      <w:r w:rsidR="00B26893" w:rsidRPr="000B41FE">
        <w:rPr>
          <w:rFonts w:ascii="Times New Roman" w:hAnsi="Times New Roman" w:cs="Times New Roman"/>
          <w:i/>
          <w:sz w:val="24"/>
          <w:szCs w:val="24"/>
        </w:rPr>
        <w:t>i</w:t>
      </w:r>
      <w:r w:rsidR="00A76AFF" w:rsidRPr="000B41FE">
        <w:rPr>
          <w:rFonts w:ascii="Times New Roman" w:hAnsi="Times New Roman" w:cs="Times New Roman"/>
          <w:i/>
          <w:sz w:val="24"/>
          <w:szCs w:val="24"/>
        </w:rPr>
        <w:t>e</w:t>
      </w:r>
      <w:r w:rsidR="00A76AFF">
        <w:rPr>
          <w:rFonts w:ascii="Times New Roman" w:hAnsi="Times New Roman" w:cs="Times New Roman"/>
          <w:sz w:val="24"/>
          <w:szCs w:val="24"/>
        </w:rPr>
        <w:t xml:space="preserve"> case of discrimination is established through the </w:t>
      </w:r>
      <w:r w:rsidR="00B26893" w:rsidRPr="00B26893">
        <w:rPr>
          <w:rFonts w:ascii="Times New Roman" w:hAnsi="Times New Roman" w:cs="Times New Roman"/>
          <w:sz w:val="24"/>
          <w:szCs w:val="24"/>
          <w:u w:val="single"/>
        </w:rPr>
        <w:t>Green</w:t>
      </w:r>
      <w:r w:rsidR="00A76AFF">
        <w:rPr>
          <w:rFonts w:ascii="Times New Roman" w:hAnsi="Times New Roman" w:cs="Times New Roman"/>
          <w:sz w:val="24"/>
          <w:szCs w:val="24"/>
        </w:rPr>
        <w:t xml:space="preserve"> precedent.</w:t>
      </w:r>
      <w:r w:rsidR="00965A13">
        <w:rPr>
          <w:rFonts w:ascii="Times New Roman" w:hAnsi="Times New Roman" w:cs="Times New Roman"/>
          <w:sz w:val="24"/>
          <w:szCs w:val="24"/>
        </w:rPr>
        <w:t xml:space="preserve"> 2001 N.Y. A.N. 1971 is the means by which our client can regain his former job.</w:t>
      </w:r>
      <w:r w:rsidR="00B0360B">
        <w:rPr>
          <w:rFonts w:ascii="Times New Roman" w:hAnsi="Times New Roman" w:cs="Times New Roman"/>
          <w:sz w:val="24"/>
          <w:szCs w:val="24"/>
        </w:rPr>
        <w:t xml:space="preserve"> </w:t>
      </w:r>
      <w:r w:rsidR="00A87148">
        <w:rPr>
          <w:rFonts w:ascii="Times New Roman" w:hAnsi="Times New Roman" w:cs="Times New Roman"/>
          <w:sz w:val="24"/>
          <w:szCs w:val="24"/>
        </w:rPr>
        <w:t xml:space="preserve">All law, in this respect, is salient; it is up to us to </w:t>
      </w:r>
      <w:r w:rsidR="00B26893">
        <w:rPr>
          <w:rFonts w:ascii="Times New Roman" w:hAnsi="Times New Roman" w:cs="Times New Roman"/>
          <w:sz w:val="24"/>
          <w:szCs w:val="24"/>
        </w:rPr>
        <w:t>structure our advocacy accordingly.</w:t>
      </w:r>
      <w:bookmarkStart w:id="0" w:name="_GoBack"/>
      <w:bookmarkEnd w:id="0"/>
    </w:p>
    <w:sectPr w:rsidR="00277FD4" w:rsidRPr="00D1410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1FB" w:rsidRDefault="00B241FB" w:rsidP="00BF393E">
      <w:pPr>
        <w:spacing w:after="0" w:line="240" w:lineRule="auto"/>
      </w:pPr>
      <w:r>
        <w:separator/>
      </w:r>
    </w:p>
  </w:endnote>
  <w:endnote w:type="continuationSeparator" w:id="0">
    <w:p w:rsidR="00B241FB" w:rsidRDefault="00B241FB" w:rsidP="00BF3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1FB" w:rsidRDefault="00B241FB" w:rsidP="00BF393E">
      <w:pPr>
        <w:spacing w:after="0" w:line="240" w:lineRule="auto"/>
      </w:pPr>
      <w:r>
        <w:separator/>
      </w:r>
    </w:p>
  </w:footnote>
  <w:footnote w:type="continuationSeparator" w:id="0">
    <w:p w:rsidR="00B241FB" w:rsidRDefault="00B241FB" w:rsidP="00BF393E">
      <w:pPr>
        <w:spacing w:after="0" w:line="240" w:lineRule="auto"/>
      </w:pPr>
      <w:r>
        <w:continuationSeparator/>
      </w:r>
    </w:p>
  </w:footnote>
  <w:footnote w:id="1">
    <w:p w:rsidR="00B86CC4" w:rsidRPr="00A87148" w:rsidRDefault="00B86CC4">
      <w:pPr>
        <w:pStyle w:val="FootnoteText"/>
        <w:rPr>
          <w:rFonts w:cstheme="minorHAnsi"/>
        </w:rPr>
      </w:pPr>
      <w:r w:rsidRPr="00A87148">
        <w:rPr>
          <w:rStyle w:val="FootnoteReference"/>
          <w:rFonts w:cstheme="minorHAnsi"/>
        </w:rPr>
        <w:footnoteRef/>
      </w:r>
      <w:r w:rsidRPr="00A87148">
        <w:rPr>
          <w:rFonts w:cstheme="minorHAnsi"/>
        </w:rPr>
        <w:t xml:space="preserve"> </w:t>
      </w:r>
      <w:r>
        <w:rPr>
          <w:rFonts w:cstheme="minorHAnsi"/>
        </w:rPr>
        <w:t>‘Age-related discrimination’ is colloquially termed ‘ageism’. Ageism</w:t>
      </w:r>
      <w:r w:rsidRPr="00A87148">
        <w:rPr>
          <w:rFonts w:cstheme="minorHAnsi"/>
        </w:rPr>
        <w:t xml:space="preserve"> is prohibited by law a</w:t>
      </w:r>
      <w:r>
        <w:rPr>
          <w:rFonts w:cstheme="minorHAnsi"/>
        </w:rPr>
        <w:t>nd subject to legal redress.</w:t>
      </w:r>
    </w:p>
  </w:footnote>
  <w:footnote w:id="2">
    <w:p w:rsidR="00B86CC4" w:rsidRDefault="00B86CC4">
      <w:pPr>
        <w:pStyle w:val="FootnoteText"/>
      </w:pPr>
      <w:r>
        <w:rPr>
          <w:rStyle w:val="FootnoteReference"/>
        </w:rPr>
        <w:footnoteRef/>
      </w:r>
      <w:r>
        <w:t xml:space="preserve"> The </w:t>
      </w:r>
      <w:r w:rsidRPr="00615BBF">
        <w:t>Age Discrimination in Employment Act of 1967</w:t>
      </w:r>
      <w:r>
        <w:t xml:space="preserve"> (81 Stat. 602), amending President Johnson’s Civil Rights Act of 1964, includes age-related discrimination within its regulatory compass.</w:t>
      </w:r>
    </w:p>
  </w:footnote>
  <w:footnote w:id="3">
    <w:p w:rsidR="00B86CC4" w:rsidRDefault="00B86CC4">
      <w:pPr>
        <w:pStyle w:val="FootnoteText"/>
      </w:pPr>
      <w:r>
        <w:rPr>
          <w:rStyle w:val="FootnoteReference"/>
        </w:rPr>
        <w:footnoteRef/>
      </w:r>
      <w:r>
        <w:t xml:space="preserve"> While a memo of c</w:t>
      </w:r>
      <w:r w:rsidRPr="00682923">
        <w:t>onstitution</w:t>
      </w:r>
      <w:r>
        <w:t>al law may be both too long and too cursory for our purposes, it’s worth noting that anytime during the litigation process, we may case may directly appeal to the Constitution.</w:t>
      </w:r>
    </w:p>
  </w:footnote>
  <w:footnote w:id="4">
    <w:p w:rsidR="00B86CC4" w:rsidRPr="00A87148" w:rsidRDefault="00B86CC4">
      <w:pPr>
        <w:pStyle w:val="FootnoteText"/>
        <w:rPr>
          <w:rFonts w:cstheme="minorHAnsi"/>
        </w:rPr>
      </w:pPr>
      <w:r w:rsidRPr="00A87148">
        <w:rPr>
          <w:rStyle w:val="FootnoteReference"/>
          <w:rFonts w:cstheme="minorHAnsi"/>
        </w:rPr>
        <w:footnoteRef/>
      </w:r>
      <w:r w:rsidRPr="00A87148">
        <w:rPr>
          <w:rFonts w:cstheme="minorHAnsi"/>
        </w:rPr>
        <w:t xml:space="preserve"> Quoting footnote 31 from </w:t>
      </w:r>
      <w:r w:rsidRPr="00A87148">
        <w:rPr>
          <w:rFonts w:cstheme="minorHAnsi"/>
          <w:u w:val="single"/>
        </w:rPr>
        <w:t>In re Conservatorship Groves, 109 S.W.3d 317</w:t>
      </w:r>
      <w:r w:rsidRPr="00A87148">
        <w:rPr>
          <w:rFonts w:cstheme="minorHAnsi"/>
        </w:rPr>
        <w:t xml:space="preserve"> </w:t>
      </w:r>
    </w:p>
  </w:footnote>
  <w:footnote w:id="5">
    <w:p w:rsidR="00B86CC4" w:rsidRDefault="00B86CC4">
      <w:pPr>
        <w:pStyle w:val="FootnoteText"/>
      </w:pPr>
      <w:r>
        <w:rPr>
          <w:rStyle w:val="FootnoteReference"/>
        </w:rPr>
        <w:footnoteRef/>
      </w:r>
      <w:r>
        <w:t xml:space="preserve"> Prejudice has its heuristic-of-selection in the </w:t>
      </w:r>
      <w:r w:rsidRPr="00065D2A">
        <w:rPr>
          <w:i/>
        </w:rPr>
        <w:t>stereotype</w:t>
      </w:r>
      <w:r>
        <w:t>.</w:t>
      </w:r>
    </w:p>
  </w:footnote>
  <w:footnote w:id="6">
    <w:p w:rsidR="00B86CC4" w:rsidRPr="00B0360B" w:rsidRDefault="00B86CC4">
      <w:pPr>
        <w:pStyle w:val="FootnoteText"/>
        <w:rPr>
          <w:rFonts w:cstheme="minorHAnsi"/>
          <w:u w:val="single"/>
        </w:rPr>
      </w:pPr>
      <w:r w:rsidRPr="00A87148">
        <w:rPr>
          <w:rStyle w:val="FootnoteReference"/>
          <w:rFonts w:cstheme="minorHAnsi"/>
        </w:rPr>
        <w:footnoteRef/>
      </w:r>
      <w:r w:rsidRPr="00A87148">
        <w:rPr>
          <w:rFonts w:cstheme="minorHAnsi"/>
        </w:rPr>
        <w:t xml:space="preserve"> Summarizing p. 1165 from  </w:t>
      </w:r>
      <w:r w:rsidRPr="00B0360B">
        <w:rPr>
          <w:rFonts w:cstheme="minorHAnsi"/>
          <w:u w:val="single"/>
        </w:rPr>
        <w:t>Stevenson v. Superior Court, 941 P.2d 1157</w:t>
      </w:r>
    </w:p>
  </w:footnote>
  <w:footnote w:id="7">
    <w:p w:rsidR="00B86CC4" w:rsidRPr="00A87148" w:rsidRDefault="00B86CC4">
      <w:pPr>
        <w:pStyle w:val="FootnoteText"/>
        <w:rPr>
          <w:rFonts w:cstheme="minorHAnsi"/>
        </w:rPr>
      </w:pPr>
      <w:r w:rsidRPr="00A87148">
        <w:rPr>
          <w:rStyle w:val="FootnoteReference"/>
          <w:rFonts w:cstheme="minorHAnsi"/>
        </w:rPr>
        <w:footnoteRef/>
      </w:r>
      <w:r w:rsidRPr="00A87148">
        <w:rPr>
          <w:rFonts w:cstheme="minorHAnsi"/>
        </w:rPr>
        <w:t xml:space="preserve"> ‘Direct evidence’ refers to evidence with immediate and unambiguous age-related discriminatory connotations. For instance, the most “the most blatant remarks, whose intent could be nothing other than to discriminate on the basis of age" </w:t>
      </w:r>
      <w:proofErr w:type="spellStart"/>
      <w:r w:rsidRPr="00A87148">
        <w:rPr>
          <w:rFonts w:cstheme="minorHAnsi"/>
          <w:u w:val="single"/>
        </w:rPr>
        <w:t>Earley</w:t>
      </w:r>
      <w:proofErr w:type="spellEnd"/>
      <w:r w:rsidRPr="00A87148">
        <w:rPr>
          <w:rFonts w:cstheme="minorHAnsi"/>
          <w:u w:val="single"/>
        </w:rPr>
        <w:t xml:space="preserve"> v. Champion Int'l Corp., 907 F.2d 1077, 1081-82 (11th Cir.1990)</w:t>
      </w:r>
      <w:r w:rsidRPr="00A87148">
        <w:rPr>
          <w:rFonts w:cstheme="minorHAnsi"/>
        </w:rPr>
        <w:t xml:space="preserve"> comport with the legal definition of ‘direct evidence’. </w:t>
      </w:r>
      <w:r>
        <w:rPr>
          <w:rFonts w:cstheme="minorHAnsi"/>
        </w:rPr>
        <w:t>Such</w:t>
      </w:r>
      <w:r w:rsidRPr="00A87148">
        <w:rPr>
          <w:rFonts w:cstheme="minorHAnsi"/>
        </w:rPr>
        <w:t xml:space="preserve"> evidence need not merely be verbal; written evidence, too, </w:t>
      </w:r>
      <w:r>
        <w:rPr>
          <w:rFonts w:cstheme="minorHAnsi"/>
        </w:rPr>
        <w:t>may</w:t>
      </w:r>
      <w:r w:rsidRPr="00A87148">
        <w:rPr>
          <w:rFonts w:cstheme="minorHAnsi"/>
        </w:rPr>
        <w:t xml:space="preserve"> meet the requirement age-related discrimination provided </w:t>
      </w:r>
      <w:r>
        <w:rPr>
          <w:rFonts w:cstheme="minorHAnsi"/>
        </w:rPr>
        <w:t>that such written evidence is</w:t>
      </w:r>
      <w:r w:rsidRPr="00A87148">
        <w:rPr>
          <w:rFonts w:cstheme="minorHAnsi"/>
        </w:rPr>
        <w:t xml:space="preserve"> as bald-faced as a management memorandum stating, ‘Fire </w:t>
      </w:r>
      <w:proofErr w:type="spellStart"/>
      <w:r w:rsidRPr="00A87148">
        <w:rPr>
          <w:rFonts w:cstheme="minorHAnsi"/>
        </w:rPr>
        <w:t>Earley</w:t>
      </w:r>
      <w:proofErr w:type="spellEnd"/>
      <w:r w:rsidRPr="00A87148">
        <w:rPr>
          <w:rFonts w:cstheme="minorHAnsi"/>
        </w:rPr>
        <w:t xml:space="preserve"> – he is too old.’ </w:t>
      </w:r>
      <w:r w:rsidRPr="00A87148">
        <w:rPr>
          <w:rFonts w:cstheme="minorHAnsi"/>
          <w:u w:val="single"/>
        </w:rPr>
        <w:t>id.</w:t>
      </w:r>
      <w:r w:rsidRPr="00A87148">
        <w:rPr>
          <w:rFonts w:cstheme="minorHAnsi"/>
        </w:rPr>
        <w:t xml:space="preserve"> </w:t>
      </w:r>
      <w:proofErr w:type="gramStart"/>
      <w:r w:rsidRPr="00A87148">
        <w:rPr>
          <w:rFonts w:cstheme="minorHAnsi"/>
        </w:rPr>
        <w:t>at</w:t>
      </w:r>
      <w:proofErr w:type="gramEnd"/>
      <w:r w:rsidRPr="00A87148">
        <w:rPr>
          <w:rFonts w:cstheme="minorHAnsi"/>
        </w:rPr>
        <w:t xml:space="preserve"> 1081. </w:t>
      </w:r>
    </w:p>
  </w:footnote>
  <w:footnote w:id="8">
    <w:p w:rsidR="00B86CC4" w:rsidRDefault="00B86CC4">
      <w:pPr>
        <w:pStyle w:val="FootnoteText"/>
      </w:pPr>
      <w:r w:rsidRPr="00A87148">
        <w:rPr>
          <w:rStyle w:val="FootnoteReference"/>
          <w:rFonts w:cstheme="minorHAnsi"/>
        </w:rPr>
        <w:footnoteRef/>
      </w:r>
      <w:r w:rsidRPr="00A87148">
        <w:rPr>
          <w:rFonts w:cstheme="minorHAnsi"/>
        </w:rPr>
        <w:t xml:space="preserve"> While the case deals directly with race-related rather than age-related discrimination, the case established the overarching framework through which today, in modified form, </w:t>
      </w:r>
      <w:r w:rsidRPr="00A87148">
        <w:rPr>
          <w:rFonts w:cstheme="minorHAnsi"/>
          <w:b/>
          <w:i/>
        </w:rPr>
        <w:t>all</w:t>
      </w:r>
      <w:r w:rsidRPr="00A87148">
        <w:rPr>
          <w:rFonts w:cstheme="minorHAnsi"/>
        </w:rPr>
        <w:t xml:space="preserve"> discriminatory claims can be vetted. The three arches to the frame are as follows: First, the plaintiff establishes a </w:t>
      </w:r>
      <w:r w:rsidRPr="00A87148">
        <w:rPr>
          <w:rFonts w:cstheme="minorHAnsi"/>
          <w:i/>
        </w:rPr>
        <w:t>prima facie</w:t>
      </w:r>
      <w:r w:rsidRPr="00A87148">
        <w:rPr>
          <w:rFonts w:cstheme="minorHAnsi"/>
        </w:rPr>
        <w:t xml:space="preserve"> case by </w:t>
      </w:r>
      <w:r>
        <w:rPr>
          <w:rFonts w:cstheme="minorHAnsi"/>
        </w:rPr>
        <w:t>providing a</w:t>
      </w:r>
      <w:r w:rsidRPr="00A87148">
        <w:rPr>
          <w:rFonts w:cstheme="minorHAnsi"/>
        </w:rPr>
        <w:t xml:space="preserve"> preponderance of evidence for alleged discrimination; at which point, the burden of production shifts to the employers to rebut the </w:t>
      </w:r>
      <w:r w:rsidRPr="00A87148">
        <w:rPr>
          <w:rFonts w:cstheme="minorHAnsi"/>
          <w:i/>
        </w:rPr>
        <w:t>prima facie</w:t>
      </w:r>
      <w:r w:rsidRPr="00A87148">
        <w:rPr>
          <w:rFonts w:cstheme="minorHAnsi"/>
        </w:rPr>
        <w:t xml:space="preserve"> case by “</w:t>
      </w:r>
      <w:proofErr w:type="spellStart"/>
      <w:r w:rsidRPr="00A87148">
        <w:rPr>
          <w:rFonts w:cstheme="minorHAnsi"/>
        </w:rPr>
        <w:t>articulat</w:t>
      </w:r>
      <w:proofErr w:type="spellEnd"/>
      <w:r w:rsidRPr="00A87148">
        <w:rPr>
          <w:rFonts w:cstheme="minorHAnsi"/>
        </w:rPr>
        <w:t>[</w:t>
      </w:r>
      <w:proofErr w:type="spellStart"/>
      <w:r w:rsidRPr="00A87148">
        <w:rPr>
          <w:rFonts w:cstheme="minorHAnsi"/>
        </w:rPr>
        <w:t>ing</w:t>
      </w:r>
      <w:proofErr w:type="spellEnd"/>
      <w:r w:rsidRPr="00A87148">
        <w:rPr>
          <w:rFonts w:cstheme="minorHAnsi"/>
        </w:rPr>
        <w:t xml:space="preserve">] some legitimate, nondiscriminatory reason for the employee’s rejection”(p.802). The employee may only prevail if his rejoinder shows that the employer’s response was really behavior motivated by discrimination and the </w:t>
      </w:r>
      <w:r>
        <w:rPr>
          <w:rFonts w:cstheme="minorHAnsi"/>
        </w:rPr>
        <w:t>ostensible</w:t>
      </w:r>
      <w:r w:rsidRPr="00A87148">
        <w:rPr>
          <w:rFonts w:cstheme="minorHAnsi"/>
        </w:rPr>
        <w:t xml:space="preserve"> reason </w:t>
      </w:r>
      <w:r>
        <w:rPr>
          <w:rFonts w:cstheme="minorHAnsi"/>
        </w:rPr>
        <w:t>provided by</w:t>
      </w:r>
      <w:r w:rsidRPr="00A87148">
        <w:rPr>
          <w:rFonts w:cstheme="minorHAnsi"/>
        </w:rPr>
        <w:t xml:space="preserve"> the employe</w:t>
      </w:r>
      <w:r>
        <w:rPr>
          <w:rFonts w:cstheme="minorHAnsi"/>
        </w:rPr>
        <w:t xml:space="preserve">r </w:t>
      </w:r>
      <w:r w:rsidRPr="00A87148">
        <w:rPr>
          <w:rFonts w:cstheme="minorHAnsi"/>
        </w:rPr>
        <w:t xml:space="preserve">in step two a </w:t>
      </w:r>
      <w:r>
        <w:rPr>
          <w:rFonts w:cstheme="minorHAnsi"/>
        </w:rPr>
        <w:t>spurious</w:t>
      </w:r>
      <w:r w:rsidRPr="00A87148">
        <w:rPr>
          <w:rFonts w:cstheme="minorHAnsi"/>
        </w:rPr>
        <w:t xml:space="preserve"> pretext.</w:t>
      </w:r>
    </w:p>
  </w:footnote>
  <w:footnote w:id="9">
    <w:p w:rsidR="00B86CC4" w:rsidRDefault="00B86CC4">
      <w:pPr>
        <w:pStyle w:val="FootnoteText"/>
      </w:pPr>
      <w:r>
        <w:rPr>
          <w:rStyle w:val="FootnoteReference"/>
        </w:rPr>
        <w:footnoteRef/>
      </w:r>
      <w:r>
        <w:t xml:space="preserve"> It would be difficult (if not impossible) for our firm to seek redress for our client from the numerous employers whom have denied our client the opportunity to work. We are obliged to undertake what we know for a fact to be concrete; we will litigate on behalf of the violation of our client’s civil rights against Dice &amp; Jacobs Law. During our client’s year-long vain effort to find work, there may have been some instances where he was </w:t>
      </w:r>
      <w:r w:rsidRPr="00A87148">
        <w:rPr>
          <w:b/>
          <w:i/>
        </w:rPr>
        <w:t>not</w:t>
      </w:r>
      <w:r>
        <w:t xml:space="preserve"> qualified or otherwise a poor fit for the position advertised based on some extenuating circumstance. Dice &amp; Jacobs Law, however, is not one of those instances.</w:t>
      </w:r>
    </w:p>
  </w:footnote>
  <w:footnote w:id="10">
    <w:p w:rsidR="00B86CC4" w:rsidRDefault="00B86CC4">
      <w:pPr>
        <w:pStyle w:val="FootnoteText"/>
      </w:pPr>
      <w:r>
        <w:rPr>
          <w:rStyle w:val="FootnoteReference"/>
        </w:rPr>
        <w:footnoteRef/>
      </w:r>
      <w:r>
        <w:t xml:space="preserve"> The species of age-related discrimination which falls under the genus of discrimination.</w:t>
      </w:r>
    </w:p>
  </w:footnote>
  <w:footnote w:id="11">
    <w:p w:rsidR="00B86CC4" w:rsidRPr="00B4408A" w:rsidRDefault="00B86CC4" w:rsidP="00B4408A">
      <w:pPr>
        <w:rPr>
          <w:sz w:val="20"/>
          <w:szCs w:val="20"/>
        </w:rPr>
      </w:pPr>
      <w:r>
        <w:rPr>
          <w:rStyle w:val="FootnoteReference"/>
        </w:rPr>
        <w:footnoteRef/>
      </w:r>
      <w:r>
        <w:t xml:space="preserve"> </w:t>
      </w:r>
      <w:r>
        <w:rPr>
          <w:sz w:val="20"/>
          <w:szCs w:val="20"/>
        </w:rPr>
        <w:t>“</w:t>
      </w:r>
      <w:r w:rsidRPr="00B410CD">
        <w:rPr>
          <w:sz w:val="20"/>
          <w:szCs w:val="20"/>
        </w:rPr>
        <w:t>The opportunity to obtain employment without discrimination because of age, race, creed, color, national origin, sexual orientation, military status, sex, marital status, or disability, is hereby recognized as and declared to be a civil right.</w:t>
      </w:r>
      <w:r>
        <w:rPr>
          <w:sz w:val="20"/>
          <w:szCs w:val="20"/>
        </w:rPr>
        <w:t>”</w:t>
      </w:r>
    </w:p>
  </w:footnote>
  <w:footnote w:id="12">
    <w:p w:rsidR="00B86CC4" w:rsidRDefault="00B86CC4">
      <w:pPr>
        <w:pStyle w:val="FootnoteText"/>
      </w:pPr>
      <w:r>
        <w:rPr>
          <w:rStyle w:val="FootnoteReference"/>
        </w:rPr>
        <w:footnoteRef/>
      </w:r>
      <w:r>
        <w:t xml:space="preserve"> Positive rights enumerate entitlements </w:t>
      </w:r>
      <w:r w:rsidRPr="00E768CF">
        <w:rPr>
          <w:i/>
        </w:rPr>
        <w:t>to</w:t>
      </w:r>
      <w:r>
        <w:t xml:space="preserve"> (like gainful employment via </w:t>
      </w:r>
      <w:r w:rsidRPr="00E768CF">
        <w:t>NY CLS Exec § 291</w:t>
      </w:r>
      <w:r>
        <w:t xml:space="preserve">). Negative rights enumerate ones entitlements </w:t>
      </w:r>
      <w:r w:rsidRPr="00E768CF">
        <w:rPr>
          <w:i/>
        </w:rPr>
        <w:t>from</w:t>
      </w:r>
      <w:r>
        <w:t xml:space="preserve"> (like excessive bail via the 8</w:t>
      </w:r>
      <w:r w:rsidRPr="00E768CF">
        <w:rPr>
          <w:vertAlign w:val="superscript"/>
        </w:rPr>
        <w:t>th</w:t>
      </w:r>
      <w:r>
        <w:t xml:space="preserve"> Amendment in the Bill of Rights).</w:t>
      </w:r>
    </w:p>
  </w:footnote>
  <w:footnote w:id="13">
    <w:p w:rsidR="00B86CC4" w:rsidRDefault="00B86CC4">
      <w:pPr>
        <w:pStyle w:val="FootnoteText"/>
      </w:pPr>
      <w:r>
        <w:rPr>
          <w:rStyle w:val="FootnoteReference"/>
        </w:rPr>
        <w:footnoteRef/>
      </w:r>
      <w:r>
        <w:t xml:space="preserve"> The New York State Supreme Court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2078268854"/>
      <w:docPartObj>
        <w:docPartGallery w:val="Page Numbers (Top of Page)"/>
        <w:docPartUnique/>
      </w:docPartObj>
    </w:sdtPr>
    <w:sdtEndPr>
      <w:rPr>
        <w:b/>
        <w:bCs/>
        <w:noProof/>
        <w:color w:val="auto"/>
        <w:spacing w:val="0"/>
      </w:rPr>
    </w:sdtEndPr>
    <w:sdtContent>
      <w:p w:rsidR="00B86CC4" w:rsidRDefault="00B86CC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72258" w:rsidRPr="00272258">
          <w:rPr>
            <w:b/>
            <w:bCs/>
            <w:noProof/>
          </w:rPr>
          <w:t>7</w:t>
        </w:r>
        <w:r>
          <w:rPr>
            <w:b/>
            <w:bCs/>
            <w:noProof/>
          </w:rPr>
          <w:fldChar w:fldCharType="end"/>
        </w:r>
      </w:p>
    </w:sdtContent>
  </w:sdt>
  <w:p w:rsidR="00B86CC4" w:rsidRDefault="00B86C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97313"/>
    <w:multiLevelType w:val="hybridMultilevel"/>
    <w:tmpl w:val="0C16E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EF05E2"/>
    <w:multiLevelType w:val="hybridMultilevel"/>
    <w:tmpl w:val="DBFCD858"/>
    <w:lvl w:ilvl="0" w:tplc="18D85FDC">
      <w:start w:val="5"/>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77A08B0"/>
    <w:multiLevelType w:val="hybridMultilevel"/>
    <w:tmpl w:val="D2C4362A"/>
    <w:lvl w:ilvl="0" w:tplc="81DC38C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79E"/>
    <w:rsid w:val="00047DBE"/>
    <w:rsid w:val="00065D2A"/>
    <w:rsid w:val="000A5D30"/>
    <w:rsid w:val="000B41FE"/>
    <w:rsid w:val="000C2521"/>
    <w:rsid w:val="00101861"/>
    <w:rsid w:val="00124530"/>
    <w:rsid w:val="00166F2C"/>
    <w:rsid w:val="00190C9E"/>
    <w:rsid w:val="001F7345"/>
    <w:rsid w:val="00223108"/>
    <w:rsid w:val="00235B41"/>
    <w:rsid w:val="0026356F"/>
    <w:rsid w:val="00265A64"/>
    <w:rsid w:val="00272258"/>
    <w:rsid w:val="0027586F"/>
    <w:rsid w:val="00275930"/>
    <w:rsid w:val="00277FD4"/>
    <w:rsid w:val="002A76F0"/>
    <w:rsid w:val="002C3944"/>
    <w:rsid w:val="0033256C"/>
    <w:rsid w:val="00341060"/>
    <w:rsid w:val="003C26AD"/>
    <w:rsid w:val="003D379E"/>
    <w:rsid w:val="003D399D"/>
    <w:rsid w:val="00404921"/>
    <w:rsid w:val="004227E7"/>
    <w:rsid w:val="004554C7"/>
    <w:rsid w:val="00461668"/>
    <w:rsid w:val="00470A9E"/>
    <w:rsid w:val="004738BC"/>
    <w:rsid w:val="0047471C"/>
    <w:rsid w:val="0048291A"/>
    <w:rsid w:val="005122E6"/>
    <w:rsid w:val="00571D5F"/>
    <w:rsid w:val="005765E0"/>
    <w:rsid w:val="005922C9"/>
    <w:rsid w:val="005A63E1"/>
    <w:rsid w:val="006117DD"/>
    <w:rsid w:val="00615BBF"/>
    <w:rsid w:val="00637B6C"/>
    <w:rsid w:val="00682923"/>
    <w:rsid w:val="006D196C"/>
    <w:rsid w:val="006D66D4"/>
    <w:rsid w:val="006F0358"/>
    <w:rsid w:val="00712EA5"/>
    <w:rsid w:val="007626DE"/>
    <w:rsid w:val="007814E9"/>
    <w:rsid w:val="0078482E"/>
    <w:rsid w:val="00787257"/>
    <w:rsid w:val="007B6F53"/>
    <w:rsid w:val="007D1EA0"/>
    <w:rsid w:val="007E7E17"/>
    <w:rsid w:val="007F451B"/>
    <w:rsid w:val="00820C9C"/>
    <w:rsid w:val="008641A8"/>
    <w:rsid w:val="00877758"/>
    <w:rsid w:val="008D3D67"/>
    <w:rsid w:val="00965A13"/>
    <w:rsid w:val="0098091C"/>
    <w:rsid w:val="009F2515"/>
    <w:rsid w:val="00A41E4A"/>
    <w:rsid w:val="00A4405A"/>
    <w:rsid w:val="00A61C3B"/>
    <w:rsid w:val="00A76AFF"/>
    <w:rsid w:val="00A87148"/>
    <w:rsid w:val="00AD54AD"/>
    <w:rsid w:val="00AF1430"/>
    <w:rsid w:val="00B0360B"/>
    <w:rsid w:val="00B10628"/>
    <w:rsid w:val="00B241FB"/>
    <w:rsid w:val="00B26893"/>
    <w:rsid w:val="00B36B15"/>
    <w:rsid w:val="00B410CD"/>
    <w:rsid w:val="00B4408A"/>
    <w:rsid w:val="00B86CC4"/>
    <w:rsid w:val="00BB15E4"/>
    <w:rsid w:val="00BB73F1"/>
    <w:rsid w:val="00BB7BB3"/>
    <w:rsid w:val="00BD2BD9"/>
    <w:rsid w:val="00BF393E"/>
    <w:rsid w:val="00C15819"/>
    <w:rsid w:val="00C30D7E"/>
    <w:rsid w:val="00C5391C"/>
    <w:rsid w:val="00CD52ED"/>
    <w:rsid w:val="00D1410D"/>
    <w:rsid w:val="00D43049"/>
    <w:rsid w:val="00D67EA0"/>
    <w:rsid w:val="00DA22B7"/>
    <w:rsid w:val="00DA776B"/>
    <w:rsid w:val="00E14B93"/>
    <w:rsid w:val="00E55834"/>
    <w:rsid w:val="00E768CF"/>
    <w:rsid w:val="00E80E00"/>
    <w:rsid w:val="00E852E0"/>
    <w:rsid w:val="00EB671F"/>
    <w:rsid w:val="00EE0034"/>
    <w:rsid w:val="00F20BCE"/>
    <w:rsid w:val="00F4770F"/>
    <w:rsid w:val="00F70513"/>
    <w:rsid w:val="00F82D07"/>
    <w:rsid w:val="00FE1694"/>
    <w:rsid w:val="00FE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93E"/>
    <w:pPr>
      <w:ind w:left="720"/>
      <w:contextualSpacing/>
    </w:pPr>
  </w:style>
  <w:style w:type="paragraph" w:styleId="FootnoteText">
    <w:name w:val="footnote text"/>
    <w:basedOn w:val="Normal"/>
    <w:link w:val="FootnoteTextChar"/>
    <w:uiPriority w:val="99"/>
    <w:semiHidden/>
    <w:unhideWhenUsed/>
    <w:rsid w:val="00BF39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393E"/>
    <w:rPr>
      <w:sz w:val="20"/>
      <w:szCs w:val="20"/>
    </w:rPr>
  </w:style>
  <w:style w:type="character" w:styleId="FootnoteReference">
    <w:name w:val="footnote reference"/>
    <w:basedOn w:val="DefaultParagraphFont"/>
    <w:uiPriority w:val="99"/>
    <w:semiHidden/>
    <w:unhideWhenUsed/>
    <w:rsid w:val="00BF393E"/>
    <w:rPr>
      <w:vertAlign w:val="superscript"/>
    </w:rPr>
  </w:style>
  <w:style w:type="paragraph" w:styleId="Header">
    <w:name w:val="header"/>
    <w:basedOn w:val="Normal"/>
    <w:link w:val="HeaderChar"/>
    <w:uiPriority w:val="99"/>
    <w:unhideWhenUsed/>
    <w:rsid w:val="007E7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E17"/>
  </w:style>
  <w:style w:type="paragraph" w:styleId="Footer">
    <w:name w:val="footer"/>
    <w:basedOn w:val="Normal"/>
    <w:link w:val="FooterChar"/>
    <w:uiPriority w:val="99"/>
    <w:unhideWhenUsed/>
    <w:rsid w:val="007E7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E17"/>
  </w:style>
  <w:style w:type="paragraph" w:styleId="BalloonText">
    <w:name w:val="Balloon Text"/>
    <w:basedOn w:val="Normal"/>
    <w:link w:val="BalloonTextChar"/>
    <w:uiPriority w:val="99"/>
    <w:semiHidden/>
    <w:unhideWhenUsed/>
    <w:rsid w:val="003410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06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93E"/>
    <w:pPr>
      <w:ind w:left="720"/>
      <w:contextualSpacing/>
    </w:pPr>
  </w:style>
  <w:style w:type="paragraph" w:styleId="FootnoteText">
    <w:name w:val="footnote text"/>
    <w:basedOn w:val="Normal"/>
    <w:link w:val="FootnoteTextChar"/>
    <w:uiPriority w:val="99"/>
    <w:semiHidden/>
    <w:unhideWhenUsed/>
    <w:rsid w:val="00BF39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393E"/>
    <w:rPr>
      <w:sz w:val="20"/>
      <w:szCs w:val="20"/>
    </w:rPr>
  </w:style>
  <w:style w:type="character" w:styleId="FootnoteReference">
    <w:name w:val="footnote reference"/>
    <w:basedOn w:val="DefaultParagraphFont"/>
    <w:uiPriority w:val="99"/>
    <w:semiHidden/>
    <w:unhideWhenUsed/>
    <w:rsid w:val="00BF393E"/>
    <w:rPr>
      <w:vertAlign w:val="superscript"/>
    </w:rPr>
  </w:style>
  <w:style w:type="paragraph" w:styleId="Header">
    <w:name w:val="header"/>
    <w:basedOn w:val="Normal"/>
    <w:link w:val="HeaderChar"/>
    <w:uiPriority w:val="99"/>
    <w:unhideWhenUsed/>
    <w:rsid w:val="007E7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E17"/>
  </w:style>
  <w:style w:type="paragraph" w:styleId="Footer">
    <w:name w:val="footer"/>
    <w:basedOn w:val="Normal"/>
    <w:link w:val="FooterChar"/>
    <w:uiPriority w:val="99"/>
    <w:unhideWhenUsed/>
    <w:rsid w:val="007E7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E17"/>
  </w:style>
  <w:style w:type="paragraph" w:styleId="BalloonText">
    <w:name w:val="Balloon Text"/>
    <w:basedOn w:val="Normal"/>
    <w:link w:val="BalloonTextChar"/>
    <w:uiPriority w:val="99"/>
    <w:semiHidden/>
    <w:unhideWhenUsed/>
    <w:rsid w:val="003410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0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AD14C-E2F3-4CB0-8534-D76000E41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1820</TotalTime>
  <Pages>7</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dc:creator>
  <cp:keywords/>
  <dc:description/>
  <cp:lastModifiedBy>Owner</cp:lastModifiedBy>
  <cp:revision>31</cp:revision>
  <cp:lastPrinted>2019-12-12T23:19:00Z</cp:lastPrinted>
  <dcterms:created xsi:type="dcterms:W3CDTF">2019-07-25T16:03:00Z</dcterms:created>
  <dcterms:modified xsi:type="dcterms:W3CDTF">2019-12-12T23:22:00Z</dcterms:modified>
</cp:coreProperties>
</file>