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2KF8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GGGTTAGGGTTAGGGTTAGGGT</w:t>
            </w:r>
          </w:p>
        </w:tc>
        <w:tc>
          <w:p>
            <w:pPr>
              <w:pStyle w:val="Compact"/>
              <w:jc w:val="left"/>
            </w:pPr>
            <w:r>
              <w:t xml:space="preserve">223500</w:t>
            </w:r>
          </w:p>
        </w:tc>
        <w:tc>
          <w:p>
            <w:pPr>
              <w:pStyle w:val="Compact"/>
              <w:jc w:val="left"/>
            </w:pPr>
            <w:r>
              <w:t xml:space="preserve">10.1021/ja807503g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62402" cy="18319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2KF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402" cy="1831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87169"/>
            <wp:effectExtent b="0" l="0" r="0" t="0"/>
            <wp:docPr descr="Structure diagram of 2KF8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8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2KF8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2KF8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2KF8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2KF8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2KF8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2KF8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2KF8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KF8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2KF8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2KF8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2KF8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2KF8</dc:title>
  <dc:creator/>
  <cp:keywords/>
  <dcterms:created xsi:type="dcterms:W3CDTF">2020-08-21T21:52:33Z</dcterms:created>
  <dcterms:modified xsi:type="dcterms:W3CDTF">2020-08-21T21:52:33Z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