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6GZN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GGGTAGGGAGCGGGAGAGGG</w:t>
            </w:r>
          </w:p>
        </w:tc>
        <w:tc>
          <w:p>
            <w:pPr>
              <w:pStyle w:val="Compact"/>
              <w:jc w:val="left"/>
            </w:pPr>
            <w:r>
              <w:t xml:space="preserve">211700</w:t>
            </w:r>
          </w:p>
        </w:tc>
        <w:tc>
          <w:p>
            <w:pPr>
              <w:pStyle w:val="Compact"/>
              <w:jc w:val="left"/>
            </w:pPr>
            <w:r>
              <w:t xml:space="preserve">10.1002/anie.201809328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71960" cy="128398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6GZ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60" cy="1283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87169"/>
            <wp:effectExtent b="0" l="0" r="0" t="0"/>
            <wp:docPr descr="Structure diagram of 6GZN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6GZN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6GZN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6GZN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6GZN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6GZN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6GZN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6GZN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6GZN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6GZN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6GZN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6GZN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6GZN</dc:title>
  <dc:creator/>
  <cp:keywords/>
  <dcterms:created xsi:type="dcterms:W3CDTF">2020-08-21T21:39:18Z</dcterms:created>
  <dcterms:modified xsi:type="dcterms:W3CDTF">2020-08-21T21:39:18Z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