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4E0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center"/>
        <w:textAlignment w:val="auto"/>
        <w:rPr>
          <w:rFonts w:ascii="Times New Roman" w:hAnsi="Times New Roman"/>
          <w:b/>
          <w:sz w:val="28"/>
          <w:szCs w:val="28"/>
          <w:highlight w:val="none"/>
        </w:rPr>
      </w:pPr>
      <w:r>
        <w:rPr>
          <w:rFonts w:hint="eastAsia" w:ascii="Times New Roman" w:hAnsi="Times New Roman"/>
          <w:b/>
          <w:sz w:val="28"/>
          <w:szCs w:val="28"/>
          <w:highlight w:val="none"/>
        </w:rPr>
        <w:t>第一</w:t>
      </w:r>
      <w:r>
        <w:rPr>
          <w:rFonts w:hint="eastAsia" w:ascii="Times New Roman" w:hAnsi="Times New Roman"/>
          <w:b/>
          <w:sz w:val="28"/>
          <w:szCs w:val="28"/>
          <w:highlight w:val="none"/>
          <w:lang w:val="en-US" w:eastAsia="zh-CN"/>
        </w:rPr>
        <w:t>章</w:t>
      </w:r>
      <w:r>
        <w:rPr>
          <w:rFonts w:hint="eastAsia" w:ascii="Times New Roman" w:hAnsi="Times New Roman"/>
          <w:b/>
          <w:sz w:val="28"/>
          <w:szCs w:val="28"/>
          <w:highlight w:val="none"/>
        </w:rPr>
        <w:t>：食品安全导论</w:t>
      </w:r>
    </w:p>
    <w:p w14:paraId="58D618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hint="eastAsia" w:ascii="Times New Roman" w:hAnsi="Times New Roman"/>
          <w:color w:val="auto"/>
          <w:sz w:val="24"/>
          <w:szCs w:val="24"/>
          <w:highlight w:val="none"/>
        </w:rPr>
        <w:t>（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1）食品安全概论</w:t>
      </w:r>
    </w:p>
    <w:p w14:paraId="67A8FD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了解国内外食品安全的现状；</w:t>
      </w:r>
    </w:p>
    <w:p w14:paraId="20FA4D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掌握食品安全与食品卫生的概念与区别，掌握食品生物危害、化学污染和物理污染的分类及内容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541379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了解食品安全的主要问题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主要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监测手段和国家食品安全保证能力建设；</w:t>
      </w:r>
    </w:p>
    <w:p w14:paraId="758D7D0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/>
          <w:color w:val="auto"/>
          <w:sz w:val="24"/>
          <w:szCs w:val="24"/>
          <w:highlight w:val="none"/>
        </w:rPr>
        <w:t>危害分析与关键控制点</w:t>
      </w:r>
    </w:p>
    <w:p w14:paraId="1A75E29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hint="eastAsia" w:ascii="Times New Roman" w:hAnsi="Times New Roman"/>
          <w:color w:val="auto"/>
          <w:sz w:val="24"/>
          <w:szCs w:val="24"/>
          <w:highlight w:val="none"/>
          <w:lang w:val="en-US" w:eastAsia="zh-CN"/>
        </w:rPr>
        <w:t>了解GMP、SSOP、HACCP的概念；</w:t>
      </w:r>
    </w:p>
    <w:p w14:paraId="3C30E6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掌握HACCP中危害分析、关键控制点确定、关键限值建立、关键控制点监控措施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的确定、校正措施的确定、验证程序的建立、有效记录保持程序的确定这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7个原理；</w:t>
      </w:r>
    </w:p>
    <w:p w14:paraId="0DDB23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列举HACCP验证计划的具体案例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3E2DF5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（3）食品安全追溯体系</w:t>
      </w:r>
    </w:p>
    <w:p w14:paraId="62ABD0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食品安全追溯体系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的具体表现、追溯技术、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现存问题和发展趋势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44097A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食品包装中二维码和条形码的信息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45691A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center"/>
        <w:textAlignment w:val="auto"/>
        <w:rPr>
          <w:rFonts w:hint="eastAsia" w:ascii="Times New Roman" w:hAnsi="Times New Roman"/>
          <w:b/>
          <w:color w:val="auto"/>
          <w:sz w:val="28"/>
          <w:szCs w:val="28"/>
          <w:highlight w:val="none"/>
        </w:rPr>
      </w:pPr>
      <w:r>
        <w:rPr>
          <w:rFonts w:hint="eastAsia" w:ascii="Times New Roman" w:hAnsi="Times New Roman"/>
          <w:b/>
          <w:color w:val="auto"/>
          <w:sz w:val="28"/>
          <w:szCs w:val="28"/>
          <w:highlight w:val="none"/>
          <w:lang w:val="en-US" w:eastAsia="zh-CN"/>
        </w:rPr>
        <w:t>第二章</w:t>
      </w:r>
      <w:r>
        <w:rPr>
          <w:rFonts w:hint="eastAsia" w:ascii="Times New Roman" w:hAnsi="Times New Roman"/>
          <w:b/>
          <w:color w:val="auto"/>
          <w:sz w:val="28"/>
          <w:szCs w:val="28"/>
          <w:highlight w:val="none"/>
        </w:rPr>
        <w:t>：农药、兽药与重金属残留</w:t>
      </w:r>
    </w:p>
    <w:p w14:paraId="715B0A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Times New Roman" w:hAnsi="Times New Roman" w:eastAsia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/>
          <w:color w:val="auto"/>
          <w:sz w:val="24"/>
          <w:szCs w:val="24"/>
          <w:highlight w:val="none"/>
        </w:rPr>
        <w:t>（</w:t>
      </w:r>
      <w:r>
        <w:rPr>
          <w:rFonts w:hint="eastAsia" w:ascii="Times New Roman" w:hAnsi="Times New Roman"/>
          <w:color w:val="auto"/>
          <w:sz w:val="24"/>
          <w:szCs w:val="24"/>
          <w:highlight w:val="none"/>
          <w:lang w:val="en-US" w:eastAsia="zh-CN"/>
        </w:rPr>
        <w:t>1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）</w:t>
      </w:r>
      <w:r>
        <w:rPr>
          <w:rFonts w:hint="eastAsia" w:ascii="Times New Roman" w:hAnsi="Times New Roman"/>
          <w:color w:val="auto"/>
          <w:sz w:val="24"/>
          <w:szCs w:val="24"/>
          <w:highlight w:val="none"/>
          <w:lang w:val="en-US" w:eastAsia="zh-CN"/>
        </w:rPr>
        <w:t>食品化学安全</w:t>
      </w:r>
    </w:p>
    <w:p w14:paraId="3616EF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食品化学安全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所包含的种类；</w:t>
      </w:r>
    </w:p>
    <w:p w14:paraId="12121A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hint="eastAsia" w:ascii="Times New Roman" w:hAnsi="Times New Roman"/>
          <w:color w:val="auto"/>
          <w:sz w:val="24"/>
          <w:szCs w:val="24"/>
          <w:highlight w:val="none"/>
        </w:rPr>
        <w:t>（</w:t>
      </w:r>
      <w:r>
        <w:rPr>
          <w:rFonts w:hint="eastAsia" w:ascii="Times New Roman" w:hAnsi="Times New Roman"/>
          <w:color w:val="auto"/>
          <w:sz w:val="24"/>
          <w:szCs w:val="24"/>
          <w:highlight w:val="none"/>
          <w:lang w:val="en-US" w:eastAsia="zh-CN"/>
        </w:rPr>
        <w:t>2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）农药残留</w:t>
      </w:r>
    </w:p>
    <w:p w14:paraId="67B6D7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了解农药和农药残留的概念；</w:t>
      </w:r>
    </w:p>
    <w:p w14:paraId="64208A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了解农药的种类和用途，重点掌握有机氯和有机磷类农药的种类、危害和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食品中的残留；</w:t>
      </w:r>
    </w:p>
    <w:p w14:paraId="36E31A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我国的重要农药安全事件（毒豇豆、毒韭菜、毒生姜、红酒农药超标、立顿铁观音事件等）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723174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理解生物富集效应；</w:t>
      </w:r>
    </w:p>
    <w:p w14:paraId="260EAA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了解食品加工和烹调对食品中农药残留的影响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081D73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农药急性膳食暴露量和食品农药残留量的计算方法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65C8D5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hint="eastAsia" w:ascii="Times New Roman" w:hAnsi="Times New Roman"/>
          <w:color w:val="auto"/>
          <w:sz w:val="24"/>
          <w:szCs w:val="24"/>
          <w:highlight w:val="none"/>
        </w:rPr>
        <w:t>（</w:t>
      </w:r>
      <w:r>
        <w:rPr>
          <w:rFonts w:hint="eastAsia" w:ascii="Times New Roman" w:hAnsi="Times New Roman"/>
          <w:color w:val="auto"/>
          <w:sz w:val="24"/>
          <w:szCs w:val="24"/>
          <w:highlight w:val="none"/>
          <w:lang w:val="en-US" w:eastAsia="zh-CN"/>
        </w:rPr>
        <w:t>3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）兽药残留</w:t>
      </w:r>
    </w:p>
    <w:p w14:paraId="6B9C94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hint="eastAsia" w:ascii="Times New Roman" w:hAnsi="Times New Roman"/>
          <w:color w:val="auto"/>
          <w:sz w:val="24"/>
          <w:szCs w:val="24"/>
          <w:highlight w:val="none"/>
          <w:lang w:val="en-US" w:eastAsia="zh-CN"/>
        </w:rPr>
        <w:t>了解重金属残留事件（多宝鱼、速生鸡和瘦肉精事件等）；</w:t>
      </w:r>
    </w:p>
    <w:p w14:paraId="3A5F9C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了解兽药的种类和用途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进入动物体的主要途径，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重点掌握动物性食品中抗微生物兽药残留的来源与原因；</w:t>
      </w:r>
    </w:p>
    <w:p w14:paraId="4CA307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了解兽药残留的主要危害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4FB79C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hint="eastAsia" w:ascii="Times New Roman" w:hAnsi="Times New Roman"/>
          <w:color w:val="auto"/>
          <w:sz w:val="24"/>
          <w:szCs w:val="24"/>
          <w:highlight w:val="none"/>
        </w:rPr>
        <w:t>（</w:t>
      </w:r>
      <w:r>
        <w:rPr>
          <w:rFonts w:hint="eastAsia" w:ascii="Times New Roman" w:hAnsi="Times New Roman"/>
          <w:color w:val="auto"/>
          <w:sz w:val="24"/>
          <w:szCs w:val="24"/>
          <w:highlight w:val="none"/>
          <w:lang w:val="en-US" w:eastAsia="zh-CN"/>
        </w:rPr>
        <w:t>4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）重金属污染</w:t>
      </w:r>
    </w:p>
    <w:p w14:paraId="3B9B61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了解重金属残留事件（镉大米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皮革酸奶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、日本水俣病和湖南石门河水砷超标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事件等）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68DB40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了解食品中有害金属的来源和毒作用特点；</w:t>
      </w:r>
    </w:p>
    <w:p w14:paraId="7616AA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掌握食品中铅污染的来源、铅对人体健康的影响、儿童铅中毒危害和防治措施；</w:t>
      </w:r>
    </w:p>
    <w:p w14:paraId="61DA14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ascii="Times New Roman" w:hAnsi="Times New Roman"/>
          <w:b/>
          <w:color w:val="auto"/>
          <w:sz w:val="24"/>
          <w:szCs w:val="24"/>
          <w:highlight w:val="none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了解铅、镉、汞和砷在蔬菜、水果、谷物、肉类、奶、水产品等食品中的风险评估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情况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240978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center"/>
        <w:textAlignment w:val="auto"/>
        <w:rPr>
          <w:rFonts w:ascii="Times New Roman" w:hAnsi="Times New Roman"/>
          <w:b/>
          <w:bCs w:val="0"/>
          <w:color w:val="auto"/>
          <w:sz w:val="28"/>
          <w:szCs w:val="28"/>
          <w:highlight w:val="none"/>
        </w:rPr>
      </w:pPr>
      <w:r>
        <w:rPr>
          <w:rFonts w:hint="eastAsia" w:ascii="Times New Roman" w:hAnsi="Times New Roman"/>
          <w:b/>
          <w:bCs w:val="0"/>
          <w:color w:val="auto"/>
          <w:sz w:val="28"/>
          <w:szCs w:val="28"/>
          <w:highlight w:val="none"/>
        </w:rPr>
        <w:t>第</w:t>
      </w:r>
      <w:r>
        <w:rPr>
          <w:rFonts w:hint="eastAsia" w:ascii="Times New Roman" w:hAnsi="Times New Roman"/>
          <w:b/>
          <w:bCs w:val="0"/>
          <w:color w:val="auto"/>
          <w:sz w:val="28"/>
          <w:szCs w:val="28"/>
          <w:highlight w:val="none"/>
          <w:lang w:val="en-US" w:eastAsia="zh-CN"/>
        </w:rPr>
        <w:t>三章</w:t>
      </w:r>
      <w:r>
        <w:rPr>
          <w:rFonts w:hint="eastAsia" w:ascii="Times New Roman" w:hAnsi="Times New Roman"/>
          <w:b/>
          <w:bCs w:val="0"/>
          <w:color w:val="auto"/>
          <w:sz w:val="28"/>
          <w:szCs w:val="28"/>
          <w:highlight w:val="none"/>
        </w:rPr>
        <w:t>：食品加工与环境暴露来源污染物</w:t>
      </w:r>
    </w:p>
    <w:p w14:paraId="7436E1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hint="eastAsia" w:ascii="Times New Roman" w:hAnsi="Times New Roman"/>
          <w:color w:val="auto"/>
          <w:sz w:val="24"/>
          <w:szCs w:val="24"/>
          <w:highlight w:val="none"/>
        </w:rPr>
        <w:t>（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1）食品加工</w:t>
      </w:r>
      <w:r>
        <w:rPr>
          <w:rFonts w:hint="eastAsia" w:ascii="Times New Roman" w:hAnsi="Times New Roman"/>
          <w:color w:val="auto"/>
          <w:sz w:val="24"/>
          <w:szCs w:val="24"/>
          <w:highlight w:val="none"/>
          <w:lang w:val="en-US" w:eastAsia="zh-CN"/>
        </w:rPr>
        <w:t>来源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污染物</w:t>
      </w:r>
    </w:p>
    <w:p w14:paraId="572BEE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热加工食品中丙烯酰胺的食物分布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、产生机理、性质和控制方案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046C40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含油食品中氯丙醇酯与缩水甘油酯的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食物来源和危害性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3F624A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杂环胺的种类、理化性质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、食物来源和防范措施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26F478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了解食品的Nova分类和超加工食品的安全风险；</w:t>
      </w:r>
    </w:p>
    <w:p w14:paraId="72E3A3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了解洋快餐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和中式快餐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的发展历程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和安全隐患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47EBEF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hint="eastAsia" w:ascii="Times New Roman" w:hAnsi="Times New Roman"/>
          <w:color w:val="auto"/>
          <w:sz w:val="24"/>
          <w:szCs w:val="24"/>
          <w:highlight w:val="none"/>
        </w:rPr>
        <w:t>（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2）环境暴露来源污染物</w:t>
      </w:r>
    </w:p>
    <w:p w14:paraId="57CAEF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掌握持久性有机污染物的定义、特性和国际POPs公约；</w:t>
      </w:r>
    </w:p>
    <w:p w14:paraId="3D2A10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了解二恶英、多环芳烃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全氟化合物的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污染来源、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生物累积效应与健康危害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2FEB08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了解硝酸盐和亚硝酸盐的种类、毒性、污染来源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以及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与致癌性的关系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3514B5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center"/>
        <w:textAlignment w:val="auto"/>
        <w:rPr>
          <w:rFonts w:hint="default" w:ascii="Times New Roman" w:hAnsi="Times New Roman" w:eastAsia="宋体"/>
          <w:b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/>
          <w:b/>
          <w:color w:val="auto"/>
          <w:sz w:val="28"/>
          <w:szCs w:val="28"/>
          <w:highlight w:val="none"/>
        </w:rPr>
        <w:t>第</w:t>
      </w:r>
      <w:r>
        <w:rPr>
          <w:rFonts w:hint="eastAsia" w:ascii="Times New Roman" w:hAnsi="Times New Roman"/>
          <w:b/>
          <w:color w:val="auto"/>
          <w:sz w:val="28"/>
          <w:szCs w:val="28"/>
          <w:highlight w:val="none"/>
          <w:lang w:val="en-US" w:eastAsia="zh-CN"/>
        </w:rPr>
        <w:t>四章</w:t>
      </w:r>
      <w:r>
        <w:rPr>
          <w:rFonts w:hint="eastAsia" w:ascii="Times New Roman" w:hAnsi="Times New Roman"/>
          <w:b/>
          <w:color w:val="auto"/>
          <w:sz w:val="28"/>
          <w:szCs w:val="28"/>
          <w:highlight w:val="none"/>
        </w:rPr>
        <w:t>：食品添加剂</w:t>
      </w:r>
      <w:r>
        <w:rPr>
          <w:rFonts w:hint="eastAsia" w:ascii="Times New Roman" w:hAnsi="Times New Roman"/>
          <w:b/>
          <w:color w:val="auto"/>
          <w:sz w:val="28"/>
          <w:szCs w:val="28"/>
          <w:highlight w:val="none"/>
          <w:lang w:val="en-US" w:eastAsia="zh-CN"/>
        </w:rPr>
        <w:t>与食品安全</w:t>
      </w:r>
    </w:p>
    <w:p w14:paraId="593E3A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（1）食品添加剂的使用原则</w:t>
      </w:r>
    </w:p>
    <w:p w14:paraId="7BECCD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掌握食品添加剂的定义以及食品用香料、胶基糖果中基础剂物质、食品工业用加工助剂和营养强化剂的概念；</w:t>
      </w:r>
    </w:p>
    <w:p w14:paraId="35B178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食品添加剂合理使用的重要性以及在食品工业中的重要作用；</w:t>
      </w:r>
    </w:p>
    <w:p w14:paraId="768026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了解食品添加剂生产、销售和使用的管理办法；</w:t>
      </w:r>
    </w:p>
    <w:p w14:paraId="708A39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（2）食品添加剂的分类</w:t>
      </w:r>
    </w:p>
    <w:p w14:paraId="19BDF0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掌握食品添加剂的分类方法，重点掌握与日常生活中各类食品常用的食品添加剂如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防腐剂、着色剂、乳化剂和抗氧化剂的种类、作用和安全使用剂量；</w:t>
      </w:r>
    </w:p>
    <w:p w14:paraId="65E661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掌握食品包装标签中添加剂的识别方法；</w:t>
      </w:r>
    </w:p>
    <w:p w14:paraId="00F296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（3）食品添加剂的安全性</w:t>
      </w:r>
    </w:p>
    <w:p w14:paraId="39DA77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了解食品添加剂的安全性评价；</w:t>
      </w:r>
    </w:p>
    <w:p w14:paraId="28F9FD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食品添加剂安全事件（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苏丹红、三聚氰胺、瘦肉精和彩色馒头等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）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添加剂重大安全事件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；</w:t>
      </w:r>
    </w:p>
    <w:p w14:paraId="1717E7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掌握食品添加剂的合理使用、滥用和非法添加剂的区别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66939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第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五</w:t>
      </w:r>
      <w:r>
        <w:rPr>
          <w:rFonts w:hint="eastAsia" w:ascii="Times New Roman" w:hAnsi="Times New Roman"/>
          <w:b/>
          <w:sz w:val="28"/>
          <w:szCs w:val="28"/>
        </w:rPr>
        <w:t>章：生物毒素的危害控制</w:t>
      </w:r>
    </w:p>
    <w:p w14:paraId="0F934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（1）生物毒素</w:t>
      </w:r>
    </w:p>
    <w:p w14:paraId="08F6CF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掌握生物毒素的概念及其分类；</w:t>
      </w:r>
    </w:p>
    <w:p w14:paraId="4C5FA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（2）真菌毒素</w:t>
      </w:r>
    </w:p>
    <w:p w14:paraId="32EA6A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掌握真菌毒素的概念，以及主要的真菌毒素</w:t>
      </w:r>
      <w:r>
        <w:rPr>
          <w:rFonts w:hint="eastAsia" w:ascii="Times New Roman" w:hAnsi="Times New Roman"/>
          <w:sz w:val="24"/>
          <w:szCs w:val="24"/>
        </w:rPr>
        <w:t>；</w:t>
      </w:r>
    </w:p>
    <w:p w14:paraId="4C0705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/>
          <w:sz w:val="24"/>
          <w:szCs w:val="24"/>
        </w:rPr>
        <w:t>了解我国粮食安全中的真菌毒素问题与应对措施；</w:t>
      </w:r>
    </w:p>
    <w:p w14:paraId="534652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掌握黄曲霉毒素、赭曲霉毒素、展青霉素等真菌毒素的来源分布、主要危害</w:t>
      </w:r>
      <w:r>
        <w:rPr>
          <w:rFonts w:hint="eastAsia" w:ascii="Times New Roman" w:hAnsi="Times New Roman"/>
          <w:sz w:val="24"/>
          <w:szCs w:val="24"/>
        </w:rPr>
        <w:t>；</w:t>
      </w:r>
    </w:p>
    <w:p w14:paraId="7B5923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了解黄曲霉毒素、赭曲霉毒素、展青霉素等理化特性，预防、控制方法</w:t>
      </w:r>
      <w:r>
        <w:rPr>
          <w:rFonts w:hint="eastAsia" w:ascii="Times New Roman" w:hAnsi="Times New Roman"/>
          <w:sz w:val="24"/>
          <w:szCs w:val="24"/>
        </w:rPr>
        <w:t>；</w:t>
      </w:r>
    </w:p>
    <w:p w14:paraId="455FA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（3）海洋毒素</w:t>
      </w:r>
    </w:p>
    <w:p w14:paraId="4A5E3E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sz w:val="24"/>
          <w:szCs w:val="24"/>
        </w:rPr>
      </w:pPr>
      <w:r>
        <w:rPr>
          <w:sz w:val="24"/>
          <w:szCs w:val="24"/>
        </w:rPr>
        <w:t>了解海洋毒素的种类、危害与实际食品安全案例</w:t>
      </w:r>
      <w:r>
        <w:rPr>
          <w:rFonts w:hint="eastAsia"/>
          <w:sz w:val="24"/>
          <w:szCs w:val="24"/>
        </w:rPr>
        <w:t>；</w:t>
      </w:r>
    </w:p>
    <w:p w14:paraId="50A78C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了解河豚毒素、贝类毒素、等海洋毒素或水产生物毒素的来源、中毒表现和防护措施；</w:t>
      </w:r>
    </w:p>
    <w:p w14:paraId="671AE9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了解生物胺的分布，有关的食品安全问题以及防护措施；</w:t>
      </w:r>
    </w:p>
    <w:p w14:paraId="7B614B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/>
          <w:sz w:val="24"/>
          <w:szCs w:val="24"/>
        </w:rPr>
        <w:t>了解生物毒素的开发利用。</w:t>
      </w:r>
    </w:p>
    <w:p w14:paraId="72087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第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六</w:t>
      </w:r>
      <w:r>
        <w:rPr>
          <w:rFonts w:hint="eastAsia" w:ascii="Times New Roman" w:hAnsi="Times New Roman"/>
          <w:b/>
          <w:sz w:val="28"/>
          <w:szCs w:val="28"/>
        </w:rPr>
        <w:t>章：食物中毒与食源性疾病</w:t>
      </w:r>
    </w:p>
    <w:p w14:paraId="3CE89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1）</w:t>
      </w:r>
      <w:r>
        <w:rPr>
          <w:rFonts w:hint="eastAsia" w:ascii="Times New Roman" w:hAnsi="Times New Roman"/>
          <w:sz w:val="24"/>
          <w:szCs w:val="24"/>
        </w:rPr>
        <w:t>食品的腐败变质与食源性疾病</w:t>
      </w:r>
    </w:p>
    <w:p w14:paraId="4082AA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食品的腐败变质定义、影响因素、危害、控制措施</w:t>
      </w:r>
      <w:r>
        <w:rPr>
          <w:rFonts w:ascii="Times New Roman" w:hAnsi="Times New Roman"/>
          <w:sz w:val="24"/>
          <w:szCs w:val="24"/>
        </w:rPr>
        <w:t>；</w:t>
      </w:r>
    </w:p>
    <w:p w14:paraId="5943AE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了解食源性疾病的定义，食物中毒的定义、特征和分类；</w:t>
      </w:r>
    </w:p>
    <w:p w14:paraId="64D824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了解细菌性食物中毒的定义、特点、分类；</w:t>
      </w:r>
    </w:p>
    <w:p w14:paraId="4FB698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掌握沙门氏菌食物中毒的病原体、发病机制、临床表现、预防和治疗措施</w:t>
      </w:r>
      <w:r>
        <w:rPr>
          <w:rFonts w:hint="eastAsia" w:ascii="Times New Roman" w:hAnsi="Times New Roman"/>
          <w:sz w:val="24"/>
          <w:szCs w:val="24"/>
        </w:rPr>
        <w:t>；</w:t>
      </w:r>
    </w:p>
    <w:p w14:paraId="361A9A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掌握霍乱的病原体、发病机制、临床表现、预防和治疗措施</w:t>
      </w:r>
      <w:r>
        <w:rPr>
          <w:rFonts w:hint="eastAsia" w:ascii="Times New Roman" w:hAnsi="Times New Roman"/>
          <w:sz w:val="24"/>
          <w:szCs w:val="24"/>
        </w:rPr>
        <w:t>；</w:t>
      </w:r>
    </w:p>
    <w:p w14:paraId="38FFF56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了解真菌毒素和霉变食物中毒的定义、特点、分类；</w:t>
      </w:r>
    </w:p>
    <w:p w14:paraId="599F71B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植物性和动物性食品导致的食源性疾病</w:t>
      </w:r>
    </w:p>
    <w:p w14:paraId="27D16F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掌握龙葵素与发芽马铃薯中毒原因、中毒表现和预防治疗措施</w:t>
      </w:r>
      <w:r>
        <w:rPr>
          <w:rFonts w:hint="eastAsia" w:ascii="Times New Roman" w:hAnsi="Times New Roman"/>
          <w:sz w:val="24"/>
          <w:szCs w:val="24"/>
        </w:rPr>
        <w:t>；</w:t>
      </w:r>
    </w:p>
    <w:p w14:paraId="503893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掌握人兽共患疾病（结核病和口蹄疫）的流行病学依据、传播预防与控制措施</w:t>
      </w:r>
      <w:r>
        <w:rPr>
          <w:rFonts w:hint="eastAsia" w:ascii="Times New Roman" w:hAnsi="Times New Roman"/>
          <w:sz w:val="24"/>
          <w:szCs w:val="24"/>
        </w:rPr>
        <w:t>。</w:t>
      </w:r>
    </w:p>
    <w:p w14:paraId="2EAEE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第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七</w:t>
      </w:r>
      <w:r>
        <w:rPr>
          <w:rFonts w:hint="eastAsia" w:ascii="Times New Roman" w:hAnsi="Times New Roman"/>
          <w:b/>
          <w:sz w:val="28"/>
          <w:szCs w:val="28"/>
        </w:rPr>
        <w:t>章：食物过敏</w:t>
      </w:r>
    </w:p>
    <w:p w14:paraId="7E591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（1</w:t>
      </w:r>
      <w:r>
        <w:rPr>
          <w:rFonts w:ascii="Times New Roman" w:hAnsi="Times New Roman"/>
          <w:sz w:val="24"/>
          <w:szCs w:val="24"/>
        </w:rPr>
        <w:t>）</w:t>
      </w:r>
      <w:r>
        <w:rPr>
          <w:rFonts w:hint="eastAsia" w:ascii="Times New Roman" w:hAnsi="Times New Roman"/>
          <w:sz w:val="24"/>
          <w:szCs w:val="24"/>
        </w:rPr>
        <w:t>食物不耐受</w:t>
      </w:r>
    </w:p>
    <w:p w14:paraId="71201B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了解食物不耐受的定义、临床表现和防治措施；</w:t>
      </w:r>
    </w:p>
    <w:p w14:paraId="2BD480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了解乳糖不耐受的定义、临床表现和防治措施；</w:t>
      </w:r>
    </w:p>
    <w:p w14:paraId="4BA07D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掌握食物过敏和食物不耐受的区别；</w:t>
      </w:r>
    </w:p>
    <w:p w14:paraId="7BC90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（2</w:t>
      </w:r>
      <w:r>
        <w:rPr>
          <w:rFonts w:ascii="Times New Roman" w:hAnsi="Times New Roman"/>
          <w:sz w:val="24"/>
          <w:szCs w:val="24"/>
        </w:rPr>
        <w:t>）</w:t>
      </w:r>
      <w:r>
        <w:rPr>
          <w:rFonts w:hint="eastAsia" w:ascii="Times New Roman" w:hAnsi="Times New Roman"/>
          <w:sz w:val="24"/>
          <w:szCs w:val="24"/>
        </w:rPr>
        <w:t>食物过敏</w:t>
      </w:r>
    </w:p>
    <w:p w14:paraId="7062BF0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了解食物致敏原的定义、特点和种类；</w:t>
      </w:r>
    </w:p>
    <w:p w14:paraId="55DAC5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掌握食物过敏的发病机制、诱发途径、影响因素和临床表现；</w:t>
      </w:r>
    </w:p>
    <w:p w14:paraId="7C36F5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了解花生和鸡蛋过敏的原因、临床表现和防治措施；</w:t>
      </w:r>
    </w:p>
    <w:p w14:paraId="5CE1D9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了解食物过敏的分类、诊断方法和预防治疗措施；</w:t>
      </w:r>
    </w:p>
    <w:p w14:paraId="0EFA80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了解食物过敏原的安全管理措施。</w:t>
      </w:r>
    </w:p>
    <w:p w14:paraId="5EE0B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第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八</w:t>
      </w:r>
      <w:bookmarkStart w:id="0" w:name="_GoBack"/>
      <w:bookmarkEnd w:id="0"/>
      <w:r>
        <w:rPr>
          <w:rFonts w:hint="eastAsia" w:ascii="Times New Roman" w:hAnsi="Times New Roman"/>
          <w:b/>
          <w:sz w:val="28"/>
          <w:szCs w:val="28"/>
        </w:rPr>
        <w:t>章：转基因食品安全性</w:t>
      </w:r>
    </w:p>
    <w:p w14:paraId="188EF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1）</w:t>
      </w:r>
      <w:r>
        <w:rPr>
          <w:rFonts w:hint="eastAsia" w:ascii="Times New Roman" w:hAnsi="Times New Roman"/>
          <w:sz w:val="24"/>
          <w:szCs w:val="24"/>
        </w:rPr>
        <w:t>转基因食品</w:t>
      </w:r>
    </w:p>
    <w:p w14:paraId="596898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了解转基因和转基因食品的定义</w:t>
      </w:r>
      <w:r>
        <w:rPr>
          <w:rFonts w:ascii="Times New Roman" w:hAnsi="Times New Roman"/>
          <w:sz w:val="24"/>
          <w:szCs w:val="24"/>
        </w:rPr>
        <w:t>；</w:t>
      </w:r>
    </w:p>
    <w:p w14:paraId="6F7BE0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耐受除草剂植物、抗病虫害、改善食品成分、改善农业品质和延长食品货架期等转基因食品的种类和功能；</w:t>
      </w:r>
    </w:p>
    <w:p w14:paraId="5FF42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2）</w:t>
      </w:r>
      <w:r>
        <w:rPr>
          <w:rFonts w:hint="eastAsia" w:ascii="Times New Roman" w:hAnsi="Times New Roman"/>
          <w:sz w:val="24"/>
          <w:szCs w:val="24"/>
        </w:rPr>
        <w:t>转基因食品安全问题和安全性评价</w:t>
      </w:r>
    </w:p>
    <w:p w14:paraId="66B74E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掌握转基因食品的伦理问题、转基因食品安全性和生态安全性问题；</w:t>
      </w:r>
    </w:p>
    <w:p w14:paraId="61F911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了解转基因大豆的分类、优势和潜在安全性；</w:t>
      </w:r>
    </w:p>
    <w:p w14:paraId="09F29A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了解实质等同性原则的定义、分类和评估内容；</w:t>
      </w:r>
    </w:p>
    <w:p w14:paraId="22B25C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掌握转基因食品营养学评价、转基因食品毒理学评价和转基因食品致敏性评价方法；</w:t>
      </w:r>
    </w:p>
    <w:p w14:paraId="3ED198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国际权威组织对转基因安全性的结论；</w:t>
      </w:r>
    </w:p>
    <w:p w14:paraId="0685D2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转基因食品的安全管理措施。</w:t>
      </w:r>
    </w:p>
    <w:p w14:paraId="451FA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第九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章</w:t>
      </w:r>
      <w:r>
        <w:rPr>
          <w:rFonts w:hint="eastAsia" w:ascii="Times New Roman" w:hAnsi="Times New Roman"/>
          <w:b/>
          <w:sz w:val="28"/>
          <w:szCs w:val="28"/>
        </w:rPr>
        <w:t>：营养伴生变化</w:t>
      </w:r>
    </w:p>
    <w:p w14:paraId="7972A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1）</w:t>
      </w:r>
      <w:r>
        <w:rPr>
          <w:rFonts w:hint="eastAsia" w:ascii="Times New Roman" w:hAnsi="Times New Roman"/>
          <w:sz w:val="24"/>
          <w:szCs w:val="24"/>
        </w:rPr>
        <w:t>营养伴生变化</w:t>
      </w:r>
    </w:p>
    <w:p w14:paraId="1FE9F2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掌握典型的营养伴生变化种类</w:t>
      </w:r>
      <w:r>
        <w:rPr>
          <w:rFonts w:hint="eastAsia" w:ascii="Times New Roman" w:hAnsi="Times New Roman"/>
          <w:sz w:val="24"/>
          <w:szCs w:val="24"/>
          <w:lang w:eastAsia="zh-CN"/>
        </w:rPr>
        <w:t>；</w:t>
      </w:r>
    </w:p>
    <w:p w14:paraId="30803CB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</w:t>
      </w:r>
      <w:r>
        <w:rPr>
          <w:rFonts w:ascii="Times New Roman" w:hAnsi="Times New Roman"/>
          <w:sz w:val="24"/>
          <w:szCs w:val="24"/>
        </w:rPr>
        <w:t>脂肪氧化的概念、</w:t>
      </w:r>
      <w:r>
        <w:rPr>
          <w:rFonts w:hint="eastAsia" w:ascii="Times New Roman" w:hAnsi="Times New Roman"/>
          <w:sz w:val="24"/>
          <w:szCs w:val="24"/>
        </w:rPr>
        <w:t>分类、影响因素、</w:t>
      </w:r>
      <w:r>
        <w:rPr>
          <w:rFonts w:ascii="Times New Roman" w:hAnsi="Times New Roman"/>
          <w:sz w:val="24"/>
          <w:szCs w:val="24"/>
        </w:rPr>
        <w:t>危害</w:t>
      </w:r>
      <w:r>
        <w:rPr>
          <w:rFonts w:hint="eastAsia" w:ascii="Times New Roman" w:hAnsi="Times New Roman"/>
          <w:sz w:val="24"/>
          <w:szCs w:val="24"/>
        </w:rPr>
        <w:t>以及预防措施</w:t>
      </w:r>
      <w:r>
        <w:rPr>
          <w:rFonts w:ascii="Times New Roman" w:hAnsi="Times New Roman"/>
          <w:sz w:val="24"/>
          <w:szCs w:val="24"/>
        </w:rPr>
        <w:t>；</w:t>
      </w:r>
    </w:p>
    <w:p w14:paraId="71BA08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了解反式脂肪酸的基本概念、慢性危害与流行病学证据；</w:t>
      </w:r>
    </w:p>
    <w:p w14:paraId="34251B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</w:t>
      </w:r>
      <w:r>
        <w:rPr>
          <w:rFonts w:ascii="Times New Roman" w:hAnsi="Times New Roman"/>
          <w:sz w:val="24"/>
          <w:szCs w:val="24"/>
        </w:rPr>
        <w:t>蛋白质变性的概念、发生条件以及成因；</w:t>
      </w:r>
    </w:p>
    <w:p w14:paraId="487B17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jc w:val="both"/>
        <w:textAlignment w:val="auto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了解维生素破坏的成因以及预防措施。</w:t>
      </w:r>
    </w:p>
    <w:p w14:paraId="31CFD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宋体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sz w:val="28"/>
          <w:szCs w:val="28"/>
        </w:rPr>
        <w:t>第十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章</w:t>
      </w:r>
      <w:r>
        <w:rPr>
          <w:rFonts w:hint="eastAsia" w:ascii="Times New Roman" w:hAnsi="Times New Roman"/>
          <w:b/>
          <w:sz w:val="28"/>
          <w:szCs w:val="28"/>
        </w:rPr>
        <w:t>：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营养稳态与代谢性疾病</w:t>
      </w:r>
    </w:p>
    <w:p w14:paraId="62702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1）</w:t>
      </w:r>
      <w:r>
        <w:rPr>
          <w:rFonts w:hint="eastAsia" w:ascii="Times New Roman" w:hAnsi="Times New Roman"/>
          <w:sz w:val="24"/>
          <w:szCs w:val="24"/>
        </w:rPr>
        <w:t>营养素与营养稳态</w:t>
      </w:r>
    </w:p>
    <w:p w14:paraId="7DB3E8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掌握营养素的分类</w:t>
      </w:r>
      <w:r>
        <w:rPr>
          <w:rFonts w:hint="eastAsia" w:ascii="Times New Roman" w:hAnsi="Times New Roman"/>
          <w:sz w:val="24"/>
          <w:szCs w:val="24"/>
          <w:lang w:eastAsia="zh-CN"/>
        </w:rPr>
        <w:t>；</w:t>
      </w:r>
    </w:p>
    <w:p w14:paraId="7DA302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蛋白质、脂肪、碳水化合物、矿物质（钙，铁）摄入不足或过多造成的危害</w:t>
      </w:r>
      <w:r>
        <w:rPr>
          <w:rFonts w:ascii="Times New Roman" w:hAnsi="Times New Roman"/>
          <w:sz w:val="24"/>
          <w:szCs w:val="24"/>
        </w:rPr>
        <w:t>；</w:t>
      </w:r>
    </w:p>
    <w:p w14:paraId="2B8452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了解维生素A、C、D、E的食物来源以及摄入过多或缺乏对人体的危害</w:t>
      </w:r>
      <w:r>
        <w:rPr>
          <w:rFonts w:ascii="Times New Roman" w:hAnsi="Times New Roman"/>
          <w:sz w:val="24"/>
          <w:szCs w:val="24"/>
        </w:rPr>
        <w:t>；</w:t>
      </w:r>
    </w:p>
    <w:p w14:paraId="60FE9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2）</w:t>
      </w:r>
      <w:r>
        <w:rPr>
          <w:rFonts w:hint="eastAsia" w:ascii="Times New Roman" w:hAnsi="Times New Roman"/>
          <w:sz w:val="24"/>
          <w:szCs w:val="24"/>
        </w:rPr>
        <w:t>能量代谢与代谢平衡</w:t>
      </w:r>
    </w:p>
    <w:p w14:paraId="5C1F9C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人体每日能量消耗的主要方式；</w:t>
      </w:r>
    </w:p>
    <w:p w14:paraId="4F7770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了解基础代谢的定义以及影响基础代谢的因素；</w:t>
      </w:r>
    </w:p>
    <w:p w14:paraId="5B1A8C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了解食物热效应的定义以及营养素的食物热效应大小；</w:t>
      </w:r>
    </w:p>
    <w:p w14:paraId="208A50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了解能量代谢失衡可能造成的危害；</w:t>
      </w:r>
    </w:p>
    <w:p w14:paraId="27115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3）</w:t>
      </w:r>
      <w:r>
        <w:rPr>
          <w:rFonts w:hint="eastAsia" w:ascii="Times New Roman" w:hAnsi="Times New Roman"/>
          <w:sz w:val="24"/>
          <w:szCs w:val="24"/>
        </w:rPr>
        <w:t>代谢与代谢性疾病</w:t>
      </w:r>
    </w:p>
    <w:p w14:paraId="2AAC22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机体代谢的过程以及代谢性疾病的种类。</w:t>
      </w:r>
    </w:p>
    <w:p w14:paraId="00E49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firstLine="1968" w:firstLineChars="700"/>
        <w:jc w:val="both"/>
        <w:textAlignment w:val="auto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第十一章：膳食模式与膳食指南</w:t>
      </w:r>
    </w:p>
    <w:p w14:paraId="3123BE7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20" w:hanging="720" w:firstLineChars="0"/>
        <w:jc w:val="both"/>
        <w:textAlignment w:val="auto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营养流行病学</w:t>
      </w:r>
    </w:p>
    <w:p w14:paraId="19A5FC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了解营养流行病学的定义，应用，以及膳食调查方法（称重法、</w:t>
      </w:r>
      <w:r>
        <w:rPr>
          <w:rFonts w:ascii="Times New Roman" w:hAnsi="Times New Roman"/>
          <w:sz w:val="24"/>
          <w:szCs w:val="24"/>
        </w:rPr>
        <w:t>记帐法</w:t>
      </w:r>
      <w:r>
        <w:rPr>
          <w:rFonts w:hint="eastAsia" w:ascii="Times New Roman" w:hAnsi="Times New Roman"/>
          <w:sz w:val="24"/>
          <w:szCs w:val="24"/>
        </w:rPr>
        <w:t>、膳食记录法、</w:t>
      </w:r>
      <w:r>
        <w:rPr>
          <w:rFonts w:ascii="Times New Roman" w:hAnsi="Times New Roman"/>
          <w:sz w:val="24"/>
          <w:szCs w:val="24"/>
        </w:rPr>
        <w:t>食物频数法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回顾法</w:t>
      </w:r>
      <w:r>
        <w:rPr>
          <w:rFonts w:hint="eastAsia" w:ascii="Times New Roman" w:hAnsi="Times New Roman"/>
          <w:sz w:val="24"/>
          <w:szCs w:val="24"/>
        </w:rPr>
        <w:t>）；</w:t>
      </w:r>
    </w:p>
    <w:p w14:paraId="3E1A7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（2）当今世界各国的膳食模式</w:t>
      </w:r>
    </w:p>
    <w:p w14:paraId="1918BD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掌握代表性膳食模式的种类；</w:t>
      </w:r>
    </w:p>
    <w:p w14:paraId="7951E0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了解东方膳食模式、经济发达国家膳食模式、日本膳食模式、地中海膳食模式、</w:t>
      </w:r>
      <w:r>
        <w:rPr>
          <w:rFonts w:ascii="Times New Roman" w:hAnsi="Times New Roman"/>
          <w:sz w:val="24"/>
          <w:szCs w:val="24"/>
        </w:rPr>
        <w:t>DASH饮食</w:t>
      </w:r>
      <w:r>
        <w:rPr>
          <w:rFonts w:hint="eastAsia" w:ascii="Times New Roman" w:hAnsi="Times New Roman"/>
          <w:sz w:val="24"/>
          <w:szCs w:val="24"/>
        </w:rPr>
        <w:t>、弹性素食的特点；</w:t>
      </w:r>
    </w:p>
    <w:p w14:paraId="79F981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了解中国居民的膳食结构及其存在的问题</w:t>
      </w:r>
      <w:r>
        <w:rPr>
          <w:rFonts w:hint="eastAsia" w:ascii="Times New Roman" w:hAnsi="Times New Roman"/>
          <w:sz w:val="24"/>
          <w:szCs w:val="24"/>
          <w:lang w:eastAsia="zh-CN"/>
        </w:rPr>
        <w:t>；</w:t>
      </w:r>
    </w:p>
    <w:p w14:paraId="60B97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3）</w:t>
      </w:r>
      <w:r>
        <w:rPr>
          <w:rFonts w:hint="eastAsia" w:ascii="Times New Roman" w:hAnsi="Times New Roman"/>
          <w:sz w:val="24"/>
          <w:szCs w:val="24"/>
        </w:rPr>
        <w:t>膳食指南</w:t>
      </w:r>
    </w:p>
    <w:p w14:paraId="328C72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了解膳食指南的定义</w:t>
      </w:r>
      <w:r>
        <w:rPr>
          <w:rFonts w:hint="eastAsia" w:ascii="Times New Roman" w:hAnsi="Times New Roman"/>
          <w:sz w:val="24"/>
          <w:szCs w:val="24"/>
          <w:lang w:eastAsia="zh-CN"/>
        </w:rPr>
        <w:t>；</w:t>
      </w:r>
    </w:p>
    <w:p w14:paraId="65AAAD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了解膳食宝塔的构成以及核心准则</w:t>
      </w:r>
      <w:r>
        <w:rPr>
          <w:rFonts w:hint="eastAsia" w:ascii="Times New Roman" w:hAnsi="Times New Roman"/>
          <w:sz w:val="24"/>
          <w:szCs w:val="24"/>
          <w:lang w:eastAsia="zh-CN"/>
        </w:rPr>
        <w:t>；</w:t>
      </w:r>
    </w:p>
    <w:p w14:paraId="24D334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掌握</w:t>
      </w:r>
      <w:r>
        <w:rPr>
          <w:rFonts w:ascii="Times New Roman" w:hAnsi="Times New Roman"/>
          <w:sz w:val="24"/>
          <w:szCs w:val="24"/>
        </w:rPr>
        <w:t>2022版《中国居民膳食指南》</w:t>
      </w:r>
      <w:r>
        <w:rPr>
          <w:rFonts w:hint="eastAsia" w:ascii="Times New Roman" w:hAnsi="Times New Roman"/>
          <w:sz w:val="24"/>
          <w:szCs w:val="24"/>
        </w:rPr>
        <w:t>相较于2</w:t>
      </w:r>
      <w:r>
        <w:rPr>
          <w:rFonts w:ascii="Times New Roman" w:hAnsi="Times New Roman"/>
          <w:sz w:val="24"/>
          <w:szCs w:val="24"/>
        </w:rPr>
        <w:t>016</w:t>
      </w:r>
      <w:r>
        <w:rPr>
          <w:rFonts w:hint="eastAsia" w:ascii="Times New Roman" w:hAnsi="Times New Roman"/>
          <w:sz w:val="24"/>
          <w:szCs w:val="24"/>
        </w:rPr>
        <w:t>版的不同（包括膳食宝塔和核心准则）</w:t>
      </w:r>
      <w:r>
        <w:rPr>
          <w:rFonts w:hint="eastAsia" w:ascii="Times New Roman" w:hAnsi="Times New Roman"/>
          <w:sz w:val="24"/>
          <w:szCs w:val="24"/>
          <w:lang w:eastAsia="zh-CN"/>
        </w:rPr>
        <w:t>。</w:t>
      </w:r>
    </w:p>
    <w:p w14:paraId="1C578D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/>
        <w:jc w:val="center"/>
        <w:textAlignment w:val="auto"/>
        <w:rPr>
          <w:rFonts w:hint="eastAsia" w:ascii="Times New Roman" w:hAnsi="Times New Roman"/>
          <w:b/>
          <w:color w:val="auto"/>
          <w:sz w:val="28"/>
          <w:szCs w:val="28"/>
          <w:highlight w:val="none"/>
        </w:rPr>
      </w:pPr>
      <w:r>
        <w:rPr>
          <w:rFonts w:hint="eastAsia" w:ascii="Times New Roman" w:hAnsi="Times New Roman"/>
          <w:b/>
          <w:color w:val="auto"/>
          <w:sz w:val="28"/>
          <w:szCs w:val="28"/>
          <w:highlight w:val="none"/>
          <w:lang w:val="en-US" w:eastAsia="zh-CN"/>
        </w:rPr>
        <w:t>第十二章</w:t>
      </w:r>
      <w:r>
        <w:rPr>
          <w:rFonts w:hint="eastAsia" w:ascii="Times New Roman" w:hAnsi="Times New Roman"/>
          <w:b/>
          <w:color w:val="auto"/>
          <w:sz w:val="28"/>
          <w:szCs w:val="28"/>
          <w:highlight w:val="none"/>
        </w:rPr>
        <w:t>：食品安全法律法规</w:t>
      </w:r>
    </w:p>
    <w:p w14:paraId="7CBB33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（1）食品安全问题现状</w:t>
      </w:r>
    </w:p>
    <w:p w14:paraId="4F46DD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</w:t>
      </w:r>
      <w:r>
        <w:rPr>
          <w:rFonts w:hint="eastAsia" w:ascii="Times New Roman" w:hAnsi="Times New Roman"/>
          <w:sz w:val="24"/>
          <w:szCs w:val="24"/>
        </w:rPr>
        <w:t>中国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食品安全问题现状以及原因；</w:t>
      </w:r>
    </w:p>
    <w:p w14:paraId="7EC8CD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（2）新《食品安全法》</w:t>
      </w:r>
    </w:p>
    <w:p w14:paraId="0BC295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/>
          <w:sz w:val="24"/>
          <w:szCs w:val="24"/>
        </w:rPr>
        <w:t>了解中国古代食品安全相关法律发展历程</w:t>
      </w:r>
      <w:r>
        <w:rPr>
          <w:rFonts w:hint="eastAsia" w:ascii="Times New Roman" w:hAnsi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食品监管法律制度的历史演变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，以及食品卫生法存在的问题；</w:t>
      </w:r>
    </w:p>
    <w:p w14:paraId="02B690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/>
          <w:sz w:val="24"/>
          <w:szCs w:val="24"/>
        </w:rPr>
        <w:t>掌握国家《食品安全法》的主要内容，与具体实例相结合，解读《食品安全法》中</w:t>
      </w:r>
      <w:r>
        <w:rPr>
          <w:rFonts w:hint="eastAsia" w:ascii="Times New Roman" w:hAnsi="Times New Roman"/>
          <w:sz w:val="24"/>
          <w:szCs w:val="24"/>
        </w:rPr>
        <w:t>的关键知识点，了解该法在国民经济与人类健康事业发展中的重要地位和作用；</w:t>
      </w:r>
    </w:p>
    <w:p w14:paraId="5C2526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（3）食品安全国家标准</w:t>
      </w:r>
    </w:p>
    <w:p w14:paraId="43E97B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了解食品安全标准定义、内容以及我国食品安全标准体系演变过程；</w:t>
      </w:r>
    </w:p>
    <w:p w14:paraId="45EC02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</w:t>
      </w:r>
      <w:r>
        <w:rPr>
          <w:rFonts w:hint="eastAsia" w:ascii="Times New Roman" w:hAnsi="Times New Roman"/>
          <w:b w:val="0"/>
          <w:bCs w:val="0"/>
          <w:sz w:val="24"/>
          <w:szCs w:val="24"/>
        </w:rPr>
        <w:t>我国与其他国家食品安全法律的区别</w:t>
      </w:r>
      <w:r>
        <w:rPr>
          <w:rFonts w:hint="eastAsia" w:ascii="Times New Roman" w:hAnsi="Times New Roman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/>
          <w:b w:val="0"/>
          <w:bCs w:val="0"/>
          <w:sz w:val="24"/>
          <w:szCs w:val="24"/>
        </w:rPr>
        <w:t>通过横向对比，发现本国食品安全法律存在的不足之处</w:t>
      </w:r>
      <w:r>
        <w:rPr>
          <w:rFonts w:hint="eastAsia" w:ascii="Times New Roman" w:hAnsi="Times New Roman"/>
          <w:b w:val="0"/>
          <w:bCs w:val="0"/>
          <w:sz w:val="24"/>
          <w:szCs w:val="24"/>
          <w:lang w:eastAsia="zh-CN"/>
        </w:rPr>
        <w:t>。</w:t>
      </w:r>
    </w:p>
    <w:p w14:paraId="5A081B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/>
        <w:jc w:val="center"/>
        <w:textAlignment w:val="auto"/>
        <w:rPr>
          <w:rFonts w:ascii="Times New Roman" w:hAnsi="Times New Roman"/>
          <w:b/>
          <w:sz w:val="28"/>
          <w:szCs w:val="28"/>
          <w:highlight w:val="none"/>
        </w:rPr>
      </w:pPr>
      <w:r>
        <w:rPr>
          <w:rFonts w:hint="eastAsia" w:ascii="Times New Roman" w:hAnsi="Times New Roman"/>
          <w:b/>
          <w:sz w:val="28"/>
          <w:szCs w:val="28"/>
          <w:highlight w:val="none"/>
        </w:rPr>
        <w:t>第十三章：食品安全风险评估</w:t>
      </w:r>
    </w:p>
    <w:p w14:paraId="245F9B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/>
        <w:jc w:val="both"/>
        <w:textAlignment w:val="auto"/>
        <w:rPr>
          <w:rFonts w:ascii="Times New Roman" w:hAnsi="Times New Roman"/>
          <w:color w:val="auto"/>
          <w:sz w:val="24"/>
          <w:szCs w:val="24"/>
          <w:highlight w:val="none"/>
        </w:rPr>
      </w:pPr>
      <w:r>
        <w:rPr>
          <w:rFonts w:hint="eastAsia" w:ascii="Times New Roman" w:hAnsi="Times New Roman"/>
          <w:color w:val="auto"/>
          <w:sz w:val="24"/>
          <w:szCs w:val="24"/>
          <w:highlight w:val="none"/>
        </w:rPr>
        <w:t>（</w:t>
      </w:r>
      <w:r>
        <w:rPr>
          <w:rFonts w:ascii="Times New Roman" w:hAnsi="Times New Roman"/>
          <w:color w:val="auto"/>
          <w:sz w:val="24"/>
          <w:szCs w:val="24"/>
          <w:highlight w:val="none"/>
        </w:rPr>
        <w:t>1）</w:t>
      </w:r>
      <w:r>
        <w:rPr>
          <w:rFonts w:hint="eastAsia" w:ascii="Times New Roman" w:hAnsi="Times New Roman"/>
          <w:color w:val="auto"/>
          <w:sz w:val="24"/>
          <w:szCs w:val="24"/>
          <w:highlight w:val="none"/>
        </w:rPr>
        <w:t>食品安全风险评估的背景</w:t>
      </w:r>
    </w:p>
    <w:p w14:paraId="3A2514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掌握食品安全危害因子的种类及来源；</w:t>
      </w:r>
    </w:p>
    <w:p w14:paraId="101D90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了解食品安全风险评估的作用；</w:t>
      </w:r>
    </w:p>
    <w:p w14:paraId="34DDF1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了解国际风险评估机构；</w:t>
      </w:r>
    </w:p>
    <w:p w14:paraId="24131E8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/>
          <w:color w:val="auto"/>
          <w:sz w:val="24"/>
          <w:szCs w:val="24"/>
          <w:highlight w:val="none"/>
        </w:rPr>
        <w:t>食品安全风险分析框架</w:t>
      </w:r>
    </w:p>
    <w:p w14:paraId="280635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风险分析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定义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，风险评估、风险管理和风险交流三者的关系；</w:t>
      </w:r>
    </w:p>
    <w:p w14:paraId="358E5A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掌握风险评估的定义，危害、风险和安全的区别与联系，变异度和不确定度的概念，风险评估的基本特征和七大原则；</w:t>
      </w:r>
    </w:p>
    <w:p w14:paraId="584AAE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了解风险管理的概念和四个步骤；</w:t>
      </w:r>
    </w:p>
    <w:p w14:paraId="5738BD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了解风险交流的定义和主要目标；</w:t>
      </w:r>
    </w:p>
    <w:p w14:paraId="64657E8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食品安全风险评估的方法</w:t>
      </w:r>
    </w:p>
    <w:p w14:paraId="3F59F2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掌握食品安全风险评估的四个基本步骤；</w:t>
      </w:r>
    </w:p>
    <w:p w14:paraId="0B800D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了解危害识别的定义和手段；</w:t>
      </w:r>
    </w:p>
    <w:p w14:paraId="106E55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了解危害特征描述的定义、主要解决的问题和剂量-反应关系；</w:t>
      </w:r>
    </w:p>
    <w:p w14:paraId="6BD42F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</w:t>
      </w: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每日允许摄入量（ADI）、每日耐受摄入量（TDI）和参考剂量（RfD）的定义与区别；</w:t>
      </w:r>
    </w:p>
    <w:p w14:paraId="6C9E68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了解暴露评估的定义和主要方法，不确定性的概念；</w:t>
      </w:r>
    </w:p>
    <w:p w14:paraId="0F7A10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了解风险特征描述的定义和分类；</w:t>
      </w:r>
    </w:p>
    <w:p w14:paraId="19506C1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食品安全危害因子及食品添加剂风险管理</w:t>
      </w:r>
    </w:p>
    <w:p w14:paraId="74581B3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了解食品中黄曲霉毒素的风险评估案例；</w:t>
      </w:r>
    </w:p>
    <w:p w14:paraId="0090720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了解农药残留、兽药残留、天然毒素、有害微生物和食品添加剂的风险评估方法；</w:t>
      </w:r>
    </w:p>
    <w:p w14:paraId="5A04450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食品安全评估的数学模型及相关软件应用</w:t>
      </w:r>
    </w:p>
    <w:p w14:paraId="7DB971D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了解食品安全风险评估中的数学模型内容种类；</w:t>
      </w:r>
    </w:p>
    <w:p w14:paraId="2C3CA1C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b/>
          <w:color w:val="auto"/>
          <w:sz w:val="24"/>
          <w:szCs w:val="24"/>
          <w:highlight w:val="none"/>
          <w:lang w:val="en-US"/>
        </w:rPr>
      </w:pP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了解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食品安全风险评估相关软件应用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  <w:t>实例。</w:t>
      </w:r>
    </w:p>
    <w:p w14:paraId="3361A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jc w:val="center"/>
        <w:textAlignment w:val="auto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第十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五</w:t>
      </w:r>
      <w:r>
        <w:rPr>
          <w:rFonts w:hint="eastAsia" w:ascii="Times New Roman" w:hAnsi="Times New Roman"/>
          <w:b/>
          <w:sz w:val="28"/>
          <w:szCs w:val="28"/>
        </w:rPr>
        <w:t>章：食品安全交叉科学与新兴技术</w:t>
      </w:r>
    </w:p>
    <w:p w14:paraId="1E1A0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（1）食品安全组学研究</w:t>
      </w:r>
    </w:p>
    <w:p w14:paraId="109DB37D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组学和食品组学的定义；</w:t>
      </w:r>
    </w:p>
    <w:p w14:paraId="183D759B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食品组学的工具；</w:t>
      </w:r>
    </w:p>
    <w:p w14:paraId="17355339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掌握</w:t>
      </w:r>
      <w:r>
        <w:rPr>
          <w:rFonts w:hint="eastAsia" w:ascii="Times New Roman" w:hAnsi="Times New Roman"/>
          <w:sz w:val="24"/>
          <w:szCs w:val="24"/>
        </w:rPr>
        <w:t>食品组学在食品安全中的应用；</w:t>
      </w:r>
    </w:p>
    <w:p w14:paraId="2D646291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 w:firstLineChars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食品组学的发展趋势；</w:t>
      </w:r>
    </w:p>
    <w:p w14:paraId="0B600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（2）大数据分析与食品安全</w:t>
      </w:r>
    </w:p>
    <w:p w14:paraId="74E7DE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大数据的定义和特点；</w:t>
      </w:r>
    </w:p>
    <w:p w14:paraId="14D55B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掌握</w:t>
      </w:r>
      <w:r>
        <w:rPr>
          <w:rFonts w:hint="eastAsia"/>
          <w:sz w:val="24"/>
          <w:szCs w:val="24"/>
        </w:rPr>
        <w:t>大数据在食品安全领域的应用；</w:t>
      </w:r>
    </w:p>
    <w:p w14:paraId="4E0CB0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掌握</w:t>
      </w:r>
      <w:r>
        <w:rPr>
          <w:rFonts w:hint="eastAsia" w:ascii="Times New Roman" w:hAnsi="Times New Roman"/>
          <w:sz w:val="24"/>
          <w:szCs w:val="24"/>
        </w:rPr>
        <w:t>大数据在营养与健康领域的应用；</w:t>
      </w:r>
    </w:p>
    <w:p w14:paraId="30E63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（3）食品安全新兴技术</w:t>
      </w:r>
    </w:p>
    <w:p w14:paraId="044552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hanging="420"/>
        <w:jc w:val="both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成像技术、质谱技术、分子生物学技术在食品安全科学中的应用；</w:t>
      </w:r>
    </w:p>
    <w:p w14:paraId="28E91D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ascii="Times New Roman" w:hAnsi="Times New Roman"/>
          <w:sz w:val="24"/>
          <w:szCs w:val="24"/>
        </w:rPr>
        <w:t>了解</w:t>
      </w:r>
      <w:r>
        <w:rPr>
          <w:rFonts w:hint="eastAsia" w:ascii="Times New Roman" w:hAnsi="Times New Roman"/>
          <w:sz w:val="24"/>
          <w:szCs w:val="24"/>
        </w:rPr>
        <w:t>免疫技术、同位素示踪技术、生物传感器在食品安全研究中的应用。</w:t>
      </w:r>
    </w:p>
    <w:p w14:paraId="1ADC60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highlight w:val="none"/>
          <w:lang w:val="en-US" w:eastAsia="zh-CN" w:bidi="ar-SA"/>
        </w:rPr>
      </w:pPr>
    </w:p>
    <w:p w14:paraId="66B4C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E3131"/>
    <w:multiLevelType w:val="singleLevel"/>
    <w:tmpl w:val="9A4E3131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EA52D69"/>
    <w:multiLevelType w:val="singleLevel"/>
    <w:tmpl w:val="BEA52D6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80BF07E"/>
    <w:multiLevelType w:val="singleLevel"/>
    <w:tmpl w:val="E80BF07E"/>
    <w:lvl w:ilvl="0" w:tentative="0">
      <w:start w:val="2"/>
      <w:numFmt w:val="decimal"/>
      <w:suff w:val="nothing"/>
      <w:lvlText w:val="（%1）"/>
      <w:lvlJc w:val="left"/>
      <w:pPr>
        <w:tabs>
          <w:tab w:val="left" w:pos="0"/>
        </w:tabs>
      </w:pPr>
      <w:rPr>
        <w:rFonts w:hint="default"/>
      </w:rPr>
    </w:lvl>
  </w:abstractNum>
  <w:abstractNum w:abstractNumId="3">
    <w:nsid w:val="EF9DCA5C"/>
    <w:multiLevelType w:val="singleLevel"/>
    <w:tmpl w:val="EF9DCA5C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2FBF981"/>
    <w:multiLevelType w:val="singleLevel"/>
    <w:tmpl w:val="12FBF981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E6E7D12"/>
    <w:multiLevelType w:val="multilevel"/>
    <w:tmpl w:val="2E6E7D12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E2E38FA"/>
    <w:multiLevelType w:val="singleLevel"/>
    <w:tmpl w:val="3E2E38FA"/>
    <w:lvl w:ilvl="0" w:tentative="0">
      <w:start w:val="2"/>
      <w:numFmt w:val="decimal"/>
      <w:suff w:val="nothing"/>
      <w:lvlText w:val="（%1）"/>
      <w:lvlJc w:val="left"/>
      <w:pPr>
        <w:tabs>
          <w:tab w:val="left" w:pos="0"/>
        </w:tabs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ZDMxNWRkYmY5MjE3NjUxYTk3ZDA1NDUyNmVkYWEifQ=="/>
  </w:docVars>
  <w:rsids>
    <w:rsidRoot w:val="00000000"/>
    <w:rsid w:val="1866258B"/>
    <w:rsid w:val="3E1E5465"/>
    <w:rsid w:val="446D0585"/>
    <w:rsid w:val="56252405"/>
    <w:rsid w:val="73F40884"/>
    <w:rsid w:val="77562318"/>
    <w:rsid w:val="7B13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标记"/>
    <w:basedOn w:val="1"/>
    <w:link w:val="5"/>
    <w:qFormat/>
    <w:uiPriority w:val="0"/>
    <w:pPr>
      <w:tabs>
        <w:tab w:val="left" w:pos="312"/>
      </w:tabs>
      <w:ind w:firstLine="0" w:firstLineChars="0"/>
    </w:pPr>
    <w:rPr>
      <w:rFonts w:hint="eastAsia" w:ascii="Arial" w:hAnsi="Arial" w:eastAsia="楷体" w:cs="Arial"/>
      <w:color w:val="7030A0"/>
      <w:u w:val="wavyDouble" w:color="00B0F0"/>
    </w:rPr>
  </w:style>
  <w:style w:type="character" w:customStyle="1" w:styleId="5">
    <w:name w:val="标记 Char"/>
    <w:link w:val="4"/>
    <w:qFormat/>
    <w:uiPriority w:val="0"/>
    <w:rPr>
      <w:rFonts w:hint="eastAsia" w:ascii="Arial" w:hAnsi="Arial" w:eastAsia="楷体" w:cs="Arial"/>
      <w:color w:val="7030A0"/>
      <w:u w:val="wavyDouble" w:color="00B0F0"/>
    </w:rPr>
  </w:style>
  <w:style w:type="paragraph" w:styleId="6">
    <w:name w:val="List Paragraph"/>
    <w:qFormat/>
    <w:uiPriority w:val="0"/>
    <w:pPr>
      <w:widowControl w:val="0"/>
      <w:ind w:firstLine="420" w:firstLineChars="200"/>
      <w:jc w:val="both"/>
    </w:pPr>
    <w:rPr>
      <w:rFonts w:ascii="宋体" w:hAnsi="宋体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3717</Words>
  <Characters>3755</Characters>
  <Lines>0</Lines>
  <Paragraphs>0</Paragraphs>
  <TotalTime>3</TotalTime>
  <ScaleCrop>false</ScaleCrop>
  <LinksUpToDate>false</LinksUpToDate>
  <CharactersWithSpaces>3755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2022-04-28T03:16:00Z</dcterms:created>
  <dc:creator>xps</dc:creator>
  <cp:lastModifiedBy>李嘉涵</cp:lastModifiedBy>
  <dcterms:modified xsi:type="dcterms:W3CDTF">2025-01-07T07:07:07Z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5FCC14967C3D4BBB9720D4544540F2AB</vt:lpwstr>
  </property>
</Properties>
</file>