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全院分项用电能耗月报"/>
    <w:p>
      <w:pPr>
        <w:pStyle w:val="1"/>
      </w:pPr>
      <w:r>
        <w:rPr>
          <w:rFonts w:hint="eastAsia"/>
        </w:rPr>
        <w:t xml:space="preserve">全院分项用电能耗月报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2026年6月</w:t>
      </w:r>
      <w:r>
        <w:br/>
      </w:r>
      <w:r>
        <w:rPr>
          <w:rFonts w:hint="eastAsia"/>
          <w:b/>
          <w:bCs/>
        </w:rPr>
        <w:t xml:space="preserve">编制部门：</w:t>
      </w:r>
      <w:r>
        <w:t xml:space="preserve"> </w:t>
      </w:r>
      <w:r>
        <w:rPr>
          <w:rFonts w:hint="eastAsia"/>
        </w:rPr>
        <w:t xml:space="preserve">医院能源管理中心</w:t>
      </w:r>
      <w:r>
        <w:br/>
      </w: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rPr>
          <w:rFonts w:hint="eastAsia"/>
        </w:rPr>
        <w:t xml:space="preserve">2026年7月28日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报告概述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报告概述</w:t>
        </w:r>
      </w:hyperlink>
    </w:p>
    <w:p>
      <w:pPr>
        <w:pStyle w:val="Compact"/>
        <w:numPr>
          <w:ilvl w:val="0"/>
          <w:numId w:val="1001"/>
        </w:numPr>
      </w:pPr>
      <w:hyperlink w:anchor="第二章-全院能耗总览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全院能耗总览</w:t>
        </w:r>
      </w:hyperlink>
    </w:p>
    <w:p>
      <w:pPr>
        <w:pStyle w:val="Compact"/>
        <w:numPr>
          <w:ilvl w:val="1"/>
          <w:numId w:val="1002"/>
        </w:numPr>
      </w:pPr>
      <w:hyperlink w:anchor="Xc4d62d85ed6af13e8b4b26145739aafbec4da3c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月度能耗汇总</w:t>
        </w:r>
      </w:hyperlink>
    </w:p>
    <w:p>
      <w:pPr>
        <w:pStyle w:val="Compact"/>
        <w:numPr>
          <w:ilvl w:val="1"/>
          <w:numId w:val="1002"/>
        </w:numPr>
      </w:pPr>
      <w:hyperlink w:anchor="Xac5bf9baaa18a94dc4218223aea8278b8ddad8b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每日能耗趋势</w:t>
        </w:r>
      </w:hyperlink>
    </w:p>
    <w:p>
      <w:pPr>
        <w:pStyle w:val="Compact"/>
        <w:numPr>
          <w:ilvl w:val="0"/>
          <w:numId w:val="1001"/>
        </w:numPr>
      </w:pPr>
      <w:hyperlink w:anchor="第三章-一级分项用电分析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一级分项用电分析</w:t>
        </w:r>
      </w:hyperlink>
    </w:p>
    <w:p>
      <w:pPr>
        <w:pStyle w:val="Compact"/>
        <w:numPr>
          <w:ilvl w:val="1"/>
          <w:numId w:val="1003"/>
        </w:numPr>
      </w:pPr>
      <w:hyperlink w:anchor="X2e9e07d9c65fe5f325f632a5dc0fcadb447dd82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空调系统总用电量</w:t>
        </w:r>
      </w:hyperlink>
    </w:p>
    <w:p>
      <w:pPr>
        <w:pStyle w:val="Compact"/>
        <w:numPr>
          <w:ilvl w:val="2"/>
          <w:numId w:val="1004"/>
        </w:numPr>
      </w:pPr>
      <w:hyperlink w:anchor="Xb16655409b2061605c0a765bde0f67d578c7fc8">
        <w:r>
          <w:rPr>
            <w:rStyle w:val="Hyperlink"/>
          </w:rPr>
          <w:t xml:space="preserve">3.1.1 </w:t>
        </w:r>
        <w:r>
          <w:rPr>
            <w:rStyle w:val="Hyperlink"/>
            <w:rFonts w:hint="eastAsia"/>
          </w:rPr>
          <w:t xml:space="preserve">冷机用电量</w:t>
        </w:r>
      </w:hyperlink>
    </w:p>
    <w:p>
      <w:pPr>
        <w:pStyle w:val="Compact"/>
        <w:numPr>
          <w:ilvl w:val="2"/>
          <w:numId w:val="1004"/>
        </w:numPr>
      </w:pPr>
      <w:hyperlink w:anchor="X9249c97cee0f203cd58d69f0ff8cbc9ecd87eb0">
        <w:r>
          <w:rPr>
            <w:rStyle w:val="Hyperlink"/>
          </w:rPr>
          <w:t xml:space="preserve">3.1.2 </w:t>
        </w:r>
        <w:r>
          <w:rPr>
            <w:rStyle w:val="Hyperlink"/>
            <w:rFonts w:hint="eastAsia"/>
          </w:rPr>
          <w:t xml:space="preserve">冷冻水泵用电量</w:t>
        </w:r>
      </w:hyperlink>
    </w:p>
    <w:p>
      <w:pPr>
        <w:pStyle w:val="Compact"/>
        <w:numPr>
          <w:ilvl w:val="2"/>
          <w:numId w:val="1004"/>
        </w:numPr>
      </w:pPr>
      <w:hyperlink w:anchor="X20742e55f93016be5f546f14d2c223325cb97d8">
        <w:r>
          <w:rPr>
            <w:rStyle w:val="Hyperlink"/>
          </w:rPr>
          <w:t xml:space="preserve">3.1.3 </w:t>
        </w:r>
        <w:r>
          <w:rPr>
            <w:rStyle w:val="Hyperlink"/>
            <w:rFonts w:hint="eastAsia"/>
          </w:rPr>
          <w:t xml:space="preserve">冷却水泵用电量</w:t>
        </w:r>
      </w:hyperlink>
    </w:p>
    <w:p>
      <w:pPr>
        <w:pStyle w:val="Compact"/>
        <w:numPr>
          <w:ilvl w:val="2"/>
          <w:numId w:val="1004"/>
        </w:numPr>
      </w:pPr>
      <w:hyperlink w:anchor="X1c843d6f5bbf0ea19c25df84d54744b37d8b9bc">
        <w:r>
          <w:rPr>
            <w:rStyle w:val="Hyperlink"/>
          </w:rPr>
          <w:t xml:space="preserve">3.1.4 </w:t>
        </w:r>
        <w:r>
          <w:rPr>
            <w:rStyle w:val="Hyperlink"/>
            <w:rFonts w:hint="eastAsia"/>
          </w:rPr>
          <w:t xml:space="preserve">净化空调箱用电量</w:t>
        </w:r>
      </w:hyperlink>
    </w:p>
    <w:p>
      <w:pPr>
        <w:pStyle w:val="Compact"/>
        <w:numPr>
          <w:ilvl w:val="1"/>
          <w:numId w:val="1003"/>
        </w:numPr>
      </w:pPr>
      <w:hyperlink w:anchor="Xd1559948537b8883c9d985eac228a0e1e5d4af3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各科室用电量</w:t>
        </w:r>
      </w:hyperlink>
    </w:p>
    <w:p>
      <w:pPr>
        <w:pStyle w:val="Compact"/>
        <w:numPr>
          <w:ilvl w:val="1"/>
          <w:numId w:val="1003"/>
        </w:numPr>
      </w:pPr>
      <w:hyperlink w:anchor="X2faff90a6c967a5224c9f0662972b82a6e3d567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其他用电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第一章-报告概述"/>
    <w:p>
      <w:pPr>
        <w:pStyle w:val="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报告概述</w:t>
      </w:r>
    </w:p>
    <w:p>
      <w:pPr>
        <w:pStyle w:val="FirstParagraph"/>
      </w:pPr>
      <w:r>
        <w:rPr>
          <w:rFonts w:hint="eastAsia"/>
        </w:rPr>
        <w:t xml:space="preserve">本报告基于2026年6月全院总用电量数据，对全院及各分项能耗进行全面分析。2026年6月全院总用电量为</w:t>
      </w:r>
      <w:r>
        <w:t xml:space="preserve"> </w:t>
      </w:r>
      <w:r>
        <w:rPr>
          <w:b/>
          <w:bCs/>
        </w:rPr>
        <w:t xml:space="preserve">2,924,523.50 kWh</w:t>
      </w:r>
      <w:r>
        <w:rPr>
          <w:rFonts w:hint="eastAsia"/>
        </w:rPr>
        <w:t xml:space="preserve">，日均能耗</w:t>
      </w:r>
      <w:r>
        <w:t xml:space="preserve"> </w:t>
      </w:r>
      <w:r>
        <w:rPr>
          <w:b/>
          <w:bCs/>
        </w:rPr>
        <w:t xml:space="preserve">97,484.12 kWh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全院用电分为三大一级分项：空调系统总用电量、各科室用电量和其他用电。其中，其他用电（含照明插座、动力设备、特殊专项等未细分计量项）为全院最大的用电分项，月度能耗达2,698,556.88</w:t>
      </w:r>
      <w:r>
        <w:t xml:space="preserve"> </w:t>
      </w:r>
      <w:r>
        <w:rPr>
          <w:rFonts w:hint="eastAsia"/>
        </w:rPr>
        <w:t xml:space="preserve">kWh，占全院的92.27%；空调系统总用电量为185,348.87</w:t>
      </w:r>
      <w:r>
        <w:t xml:space="preserve"> </w:t>
      </w:r>
      <w:r>
        <w:rPr>
          <w:rFonts w:hint="eastAsia"/>
        </w:rPr>
        <w:t xml:space="preserve">kWh，占全院的6.34%。</w:t>
      </w:r>
    </w:p>
    <w:p>
      <w:pPr>
        <w:pStyle w:val="BodyText"/>
      </w:pPr>
      <w:r>
        <w:rPr>
          <w:rFonts w:hint="eastAsia"/>
          <w:b/>
          <w:bCs/>
        </w:rPr>
        <w:t xml:space="preserve">全院月度能耗汇总表：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能耗项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空调系统总用电量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185,348.87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6,178.30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各科室用电量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其他用电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2,698,556.88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89,951.90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2,883,905.75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96,130.19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98.61%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注：各科室用电量计量回路本月未采集到数据（全部为0），故该分项占比为0.00%。全院总用电量与各分项之和存在差异（差额约40,617.75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kWh），系独立计量回路统计口径差异所致。</w:t>
      </w:r>
    </w:p>
    <w:p>
      <w:r>
        <w:pict>
          <v:rect style="width:0;height:1.5pt" o:hralign="center" o:hrstd="t" o:hr="t"/>
        </w:pict>
      </w:r>
    </w:p>
    <w:bookmarkEnd w:id="11"/>
    <w:bookmarkStart w:id="14" w:name="第二章-全院能耗总览"/>
    <w:p>
      <w:pPr>
        <w:pStyle w:val="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全院能耗总览</w:t>
      </w:r>
    </w:p>
    <w:bookmarkStart w:id="12" w:name="月度能耗汇总"/>
    <w:p>
      <w:pPr>
        <w:pStyle w:val="2"/>
      </w:pPr>
      <w:r>
        <w:t xml:space="preserve">2.1 </w:t>
      </w:r>
      <w:r>
        <w:rPr>
          <w:rFonts w:hint="eastAsia"/>
        </w:rPr>
        <w:t xml:space="preserve">月度能耗汇总</w:t>
      </w:r>
    </w:p>
    <w:p>
      <w:pPr>
        <w:pStyle w:val="FirstParagraph"/>
      </w:pPr>
      <w:r>
        <w:rPr>
          <w:rFonts w:hint="eastAsia"/>
        </w:rPr>
        <w:t xml:space="preserve">2026年6月，全院总用电量为</w:t>
      </w:r>
      <w:r>
        <w:t xml:space="preserve"> </w:t>
      </w:r>
      <w:r>
        <w:rPr>
          <w:b/>
          <w:bCs/>
        </w:rPr>
        <w:t xml:space="preserve">2,924,523.50 kWh</w:t>
      </w:r>
      <w:r>
        <w:rPr>
          <w:rFonts w:hint="eastAsia"/>
        </w:rPr>
        <w:t xml:space="preserve">，日均能耗</w:t>
      </w:r>
      <w:r>
        <w:t xml:space="preserve"> </w:t>
      </w:r>
      <w:r>
        <w:rPr>
          <w:b/>
          <w:bCs/>
        </w:rPr>
        <w:t xml:space="preserve">97,484.12 kWh</w:t>
      </w:r>
      <w:r>
        <w:rPr>
          <w:rFonts w:hint="eastAsia"/>
        </w:rPr>
        <w:t xml:space="preserve">。本月共有30天，从6月1日至6月30日。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月度总能耗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2,924,523.50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日均能耗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97,484.12 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日峰值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118,170.00 </w:t>
            </w:r>
            <w:r>
              <w:rPr>
                <w:rFonts w:hint="eastAsia"/>
              </w:rPr>
              <w:t xml:space="preserve">kWh（6月29日）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日谷值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3,518.00 </w:t>
            </w:r>
            <w:r>
              <w:rPr>
                <w:rFonts w:hint="eastAsia"/>
              </w:rPr>
              <w:t xml:space="preserve">kWh（6月30日）</w:t>
            </w:r>
          </w:p>
        </w:tc>
      </w:tr>
    </w:tbl>
    <w:bookmarkEnd w:id="12"/>
    <w:bookmarkStart w:id="13" w:name="每日能耗趋势"/>
    <w:p>
      <w:pPr>
        <w:pStyle w:val="2"/>
      </w:pPr>
      <w:r>
        <w:t xml:space="preserve">2.2 </w:t>
      </w:r>
      <w:r>
        <w:rPr>
          <w:rFonts w:hint="eastAsia"/>
        </w:rPr>
        <w:t xml:space="preserve">每日能耗趋势</w:t>
      </w:r>
    </w:p>
    <w:p>
      <w:pPr>
        <w:pStyle w:val="FirstParagraph"/>
      </w:pPr>
      <w:r>
        <w:rPr>
          <w:rFonts w:hint="eastAsia"/>
        </w:rPr>
        <w:t xml:space="preserve">本月全院日能耗波动范围较大，从最低3,518.00</w:t>
      </w:r>
      <w:r>
        <w:t xml:space="preserve"> </w:t>
      </w:r>
      <w:r>
        <w:rPr>
          <w:rFonts w:hint="eastAsia"/>
        </w:rPr>
        <w:t xml:space="preserve">kWh到最高118,170.00</w:t>
      </w:r>
      <w:r>
        <w:t xml:space="preserve"> </w:t>
      </w:r>
      <w:r>
        <w:rPr>
          <w:rFonts w:hint="eastAsia"/>
        </w:rPr>
        <w:t xml:space="preserve">kWh。6月30日出现极端低值，推测为月末抄表截断或数据采集异常。</w:t>
      </w:r>
    </w:p>
    <w:p>
      <w:pPr>
        <w:pStyle w:val="BodyText"/>
      </w:pPr>
      <w:r>
        <w:rPr>
          <w:rFonts w:hint="eastAsia"/>
          <w:b/>
          <w:bCs/>
        </w:rPr>
        <w:t xml:space="preserve">分析要点：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峰值分析</w:t>
      </w:r>
      <w:r>
        <w:rPr>
          <w:rFonts w:hint="eastAsia"/>
        </w:rPr>
        <w:t xml:space="preserve">：6月29日能耗最高（118,170.00</w:t>
      </w:r>
      <w:r>
        <w:t xml:space="preserve"> </w:t>
      </w:r>
      <w:r>
        <w:rPr>
          <w:rFonts w:hint="eastAsia"/>
        </w:rPr>
        <w:t xml:space="preserve">kWh），与空调系统（13,360.54</w:t>
      </w:r>
      <w:r>
        <w:t xml:space="preserve"> </w:t>
      </w:r>
      <w:r>
        <w:rPr>
          <w:rFonts w:hint="eastAsia"/>
        </w:rPr>
        <w:t xml:space="preserve">kWh）及其他用电（104,809.46</w:t>
      </w:r>
      <w:r>
        <w:t xml:space="preserve"> </w:t>
      </w:r>
      <w:r>
        <w:rPr>
          <w:rFonts w:hint="eastAsia"/>
        </w:rPr>
        <w:t xml:space="preserve">kWh）同时达到高位相关，推测当日高温导致空调负荷大幅上升。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谷值分析</w:t>
      </w:r>
      <w:r>
        <w:rPr>
          <w:rFonts w:hint="eastAsia"/>
        </w:rPr>
        <w:t xml:space="preserve">：6月30日能耗骤降至3,518.00</w:t>
      </w:r>
      <w:r>
        <w:t xml:space="preserve"> </w:t>
      </w:r>
      <w:r>
        <w:rPr>
          <w:rFonts w:hint="eastAsia"/>
        </w:rPr>
        <w:t xml:space="preserve">kWh，空调系统仅473.39</w:t>
      </w:r>
      <w:r>
        <w:t xml:space="preserve"> </w:t>
      </w:r>
      <w:r>
        <w:rPr>
          <w:rFonts w:hint="eastAsia"/>
        </w:rPr>
        <w:t xml:space="preserve">kWh，其他用电仅3,044.61</w:t>
      </w:r>
      <w:r>
        <w:t xml:space="preserve"> </w:t>
      </w:r>
      <w:r>
        <w:rPr>
          <w:rFonts w:hint="eastAsia"/>
        </w:rPr>
        <w:t xml:space="preserve">kWh，属于数据采集周期截断导致的异常值。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工作日与周末对比</w:t>
      </w:r>
      <w:r>
        <w:rPr>
          <w:rFonts w:hint="eastAsia"/>
        </w:rPr>
        <w:t xml:space="preserve">：工作日（周一至周五）日均能耗约103,000</w:t>
      </w:r>
      <w:r>
        <w:t xml:space="preserve"> </w:t>
      </w:r>
      <w:r>
        <w:rPr>
          <w:rFonts w:hint="eastAsia"/>
        </w:rPr>
        <w:t xml:space="preserve">kWh，周末（周六、周日）日均能耗约85,000</w:t>
      </w:r>
      <w:r>
        <w:t xml:space="preserve"> </w:t>
      </w:r>
      <w:r>
        <w:rPr>
          <w:rFonts w:hint="eastAsia"/>
        </w:rPr>
        <w:t xml:space="preserve">kWh，工作日比周末高约21%。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空调负荷影响</w:t>
      </w:r>
      <w:r>
        <w:rPr>
          <w:rFonts w:hint="eastAsia"/>
        </w:rPr>
        <w:t xml:space="preserve">：6月中旬（15-18日）空调系统能耗持续高位（6,131.93-7,148.82</w:t>
      </w:r>
      <w:r>
        <w:t xml:space="preserve"> </w:t>
      </w:r>
      <w:r>
        <w:rPr>
          <w:rFonts w:hint="eastAsia"/>
        </w:rPr>
        <w:t xml:space="preserve">kWh），与全院总能耗高峰时段高度吻合，表明空调是夏季能耗的主要驱动因素。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第三章-一级分项用电分析"/>
    <w:p>
      <w:pPr>
        <w:pStyle w:val="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一级分项用电分析</w:t>
      </w:r>
    </w:p>
    <w:bookmarkStart w:id="19" w:name="空调系统总用电量"/>
    <w:p>
      <w:pPr>
        <w:pStyle w:val="2"/>
      </w:pPr>
      <w:r>
        <w:t xml:space="preserve">3.1 </w:t>
      </w:r>
      <w:r>
        <w:rPr>
          <w:rFonts w:hint="eastAsia"/>
        </w:rPr>
        <w:t xml:space="preserve">空调系统总用电量</w:t>
      </w:r>
    </w:p>
    <w:p>
      <w:pPr>
        <w:pStyle w:val="FirstParagraph"/>
      </w:pPr>
      <w:r>
        <w:rPr>
          <w:rFonts w:hint="eastAsia"/>
        </w:rPr>
        <w:t xml:space="preserve">空调系统总用电量本月为185,348.87</w:t>
      </w:r>
      <w:r>
        <w:t xml:space="preserve"> </w:t>
      </w:r>
      <w:r>
        <w:rPr>
          <w:rFonts w:hint="eastAsia"/>
        </w:rPr>
        <w:t xml:space="preserve">kWh，占全院总用电量的6.34%，日均6,178.30</w:t>
      </w:r>
      <w:r>
        <w:t xml:space="preserve"> </w:t>
      </w:r>
      <w:r>
        <w:rPr>
          <w:rFonts w:hint="eastAsia"/>
        </w:rPr>
        <w:t xml:space="preserve">kWh。空调系统主要包括冷机、冷冻水泵、冷却水泵和净化空调箱四大子系统。</w:t>
      </w:r>
    </w:p>
    <w:p>
      <w:pPr>
        <w:pStyle w:val="BodyText"/>
      </w:pPr>
      <w:r>
        <w:rPr>
          <w:rFonts w:hint="eastAsia"/>
          <w:b/>
          <w:bCs/>
        </w:rPr>
        <w:t xml:space="preserve">空调系统分项能耗汇总：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能耗项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冷机用电量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50,144.53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34,416.27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34,930.25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净化空调箱用电量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42,726.50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23.05%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162,217.55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5,407.25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87.52%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注：空调系统总用电量与四个子系统之和存在差额23,131.32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kWh，系其他空调末端设备（如风机盘管、新风机组等）未纳入直接计量的统计差异。</w:t>
      </w:r>
    </w:p>
    <w:bookmarkStart w:id="15" w:name="冷机用电量"/>
    <w:p>
      <w:pPr>
        <w:pStyle w:val="3"/>
      </w:pPr>
      <w:r>
        <w:t xml:space="preserve">3.1.1 </w:t>
      </w:r>
      <w:r>
        <w:rPr>
          <w:rFonts w:hint="eastAsia"/>
        </w:rPr>
        <w:t xml:space="preserve">冷机用电量</w:t>
      </w:r>
    </w:p>
    <w:p>
      <w:pPr>
        <w:pStyle w:val="FirstParagraph"/>
      </w:pPr>
      <w:r>
        <w:rPr>
          <w:rFonts w:hint="eastAsia"/>
        </w:rPr>
        <w:t xml:space="preserve">冷机用电量月度能耗50,144.53</w:t>
      </w:r>
      <w:r>
        <w:t xml:space="preserve"> </w:t>
      </w:r>
      <w:r>
        <w:rPr>
          <w:rFonts w:hint="eastAsia"/>
        </w:rPr>
        <w:t xml:space="preserve">kWh，占空调系统的27.05%，日均1,671.48</w:t>
      </w:r>
      <w:r>
        <w:t xml:space="preserve"> </w:t>
      </w:r>
      <w:r>
        <w:rPr>
          <w:rFonts w:hint="eastAsia"/>
        </w:rPr>
        <w:t xml:space="preserve">kWh。冷机是空调系统的核心制冷设备。</w:t>
      </w:r>
    </w:p>
    <w:p>
      <w:pPr>
        <w:pStyle w:val="BodyText"/>
      </w:pPr>
      <w:r>
        <w:rPr>
          <w:rFonts w:hint="eastAsia"/>
          <w:b/>
          <w:bCs/>
        </w:rPr>
        <w:t xml:space="preserve">冷机子项能耗：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子项名称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离心机1用电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50,026.92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1,667.56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离心机2用电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新大楼螺杆机电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50,064.24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1,668.81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99.84%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离心机1是绝对主力，贡献了冷机用电的99.77%。离心机2和新大楼螺杆机几乎处于停运状态。冷机用电主要集中在工作日，周末（如6月6-7日、13-14日）有明显下降。</w:t>
      </w:r>
    </w:p>
    <w:bookmarkEnd w:id="15"/>
    <w:bookmarkStart w:id="16" w:name="冷冻水泵用电量"/>
    <w:p>
      <w:pPr>
        <w:pStyle w:val="3"/>
      </w:pPr>
      <w:r>
        <w:t xml:space="preserve">3.1.2 </w:t>
      </w:r>
      <w:r>
        <w:rPr>
          <w:rFonts w:hint="eastAsia"/>
        </w:rPr>
        <w:t xml:space="preserve">冷冻水泵用电量</w:t>
      </w:r>
    </w:p>
    <w:p>
      <w:pPr>
        <w:pStyle w:val="FirstParagraph"/>
      </w:pPr>
      <w:r>
        <w:rPr>
          <w:rFonts w:hint="eastAsia"/>
        </w:rPr>
        <w:t xml:space="preserve">冷冻水泵用电量月度能耗34,416.27</w:t>
      </w:r>
      <w:r>
        <w:t xml:space="preserve"> </w:t>
      </w:r>
      <w:r>
        <w:rPr>
          <w:rFonts w:hint="eastAsia"/>
        </w:rPr>
        <w:t xml:space="preserve">kWh，占空调系统的18.57%，日均1,147.21</w:t>
      </w:r>
      <w:r>
        <w:t xml:space="preserve"> kWh。</w:t>
      </w:r>
    </w:p>
    <w:p>
      <w:pPr>
        <w:pStyle w:val="BodyText"/>
      </w:pPr>
      <w:r>
        <w:rPr>
          <w:rFonts w:hint="eastAsia"/>
          <w:b/>
          <w:bCs/>
        </w:rPr>
        <w:t xml:space="preserve">冷冻水泵子项能耗：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子项名称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冷冻水泵1用电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冷冻水泵2用电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冷冻水泵3用电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34,275.36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冷冻水泵4用电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冷冻水泵5用电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34,340.53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1,144.68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99.78%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冷冻水泵3是主要运行泵，占冷冻水泵总用电的99.59%。其余水泵基本处于备用或低负荷状态。6月28-29日冷冻水泵3出现短暂降负荷（1,388.00</w:t>
      </w:r>
      <w:r>
        <w:t xml:space="preserve"> kWh→1,591.19 </w:t>
      </w:r>
      <w:r>
        <w:rPr>
          <w:rFonts w:hint="eastAsia"/>
        </w:rPr>
        <w:t xml:space="preserve">kWh），整体运行平稳。</w:t>
      </w:r>
    </w:p>
    <w:bookmarkEnd w:id="16"/>
    <w:bookmarkStart w:id="17" w:name="冷却水泵用电量"/>
    <w:p>
      <w:pPr>
        <w:pStyle w:val="3"/>
      </w:pPr>
      <w:r>
        <w:t xml:space="preserve">3.1.3 </w:t>
      </w:r>
      <w:r>
        <w:rPr>
          <w:rFonts w:hint="eastAsia"/>
        </w:rPr>
        <w:t xml:space="preserve">冷却水泵用电量</w:t>
      </w:r>
    </w:p>
    <w:p>
      <w:pPr>
        <w:pStyle w:val="FirstParagraph"/>
      </w:pPr>
      <w:r>
        <w:rPr>
          <w:rFonts w:hint="eastAsia"/>
        </w:rPr>
        <w:t xml:space="preserve">冷却水泵用电量月度能耗34,930.25</w:t>
      </w:r>
      <w:r>
        <w:t xml:space="preserve"> </w:t>
      </w:r>
      <w:r>
        <w:rPr>
          <w:rFonts w:hint="eastAsia"/>
        </w:rPr>
        <w:t xml:space="preserve">kWh，占空调系统的18.85%，日均1,164.34</w:t>
      </w:r>
      <w:r>
        <w:t xml:space="preserve"> kWh。</w:t>
      </w:r>
    </w:p>
    <w:p>
      <w:pPr>
        <w:pStyle w:val="BodyText"/>
      </w:pPr>
      <w:r>
        <w:rPr>
          <w:rFonts w:hint="eastAsia"/>
          <w:b/>
          <w:bCs/>
        </w:rPr>
        <w:t xml:space="preserve">冷却水泵子项能耗：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子项名称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冷却水泵1用电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17,517.78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冷却水泵2用电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冷却水泵3用电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冷却水泵4用电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冷却水泵5用电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34,529.61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1,150.99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98.85%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冷却水泵1和冷却水泵3合计占冷却水泵总用电的74.62%。冷却水泵运行模式为多泵组合运行，负荷分布较为均匀。</w:t>
      </w:r>
    </w:p>
    <w:bookmarkEnd w:id="17"/>
    <w:bookmarkStart w:id="18" w:name="净化空调箱用电量"/>
    <w:p>
      <w:pPr>
        <w:pStyle w:val="3"/>
      </w:pPr>
      <w:r>
        <w:t xml:space="preserve">3.1.4 </w:t>
      </w:r>
      <w:r>
        <w:rPr>
          <w:rFonts w:hint="eastAsia"/>
        </w:rPr>
        <w:t xml:space="preserve">净化空调箱用电量</w:t>
      </w:r>
    </w:p>
    <w:p>
      <w:pPr>
        <w:pStyle w:val="FirstParagraph"/>
      </w:pPr>
      <w:r>
        <w:rPr>
          <w:rFonts w:hint="eastAsia"/>
        </w:rPr>
        <w:t xml:space="preserve">净化空调箱用电量月度能耗42,726.50</w:t>
      </w:r>
      <w:r>
        <w:t xml:space="preserve"> </w:t>
      </w:r>
      <w:r>
        <w:rPr>
          <w:rFonts w:hint="eastAsia"/>
        </w:rPr>
        <w:t xml:space="preserve">kWh，占空调系统的23.05%，日均1,424.22</w:t>
      </w:r>
      <w:r>
        <w:t xml:space="preserve"> kWh。</w:t>
      </w:r>
    </w:p>
    <w:p>
      <w:pPr>
        <w:pStyle w:val="BodyText"/>
      </w:pPr>
      <w:r>
        <w:rPr>
          <w:rFonts w:hint="eastAsia"/>
          <w:b/>
          <w:bCs/>
        </w:rPr>
        <w:t xml:space="preserve">净化空调箱子项能耗：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子项名称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月度能耗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日均能耗</w:t>
            </w:r>
            <w:r>
              <w:t xml:space="preserve"> (kWh)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手术室电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生殖中心电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50,720.80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静配中心电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介入治疗科电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重症医学一室电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重症医学三室电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肠外电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3,239.01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消毒供应中心电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1,444.80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3号楼层流病房电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64,952.90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2,165.10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152.02%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注：净化空调箱各子项之和（64,952.90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kWh）超过净化空调箱总用电量（42,726.50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kWh），手术室电和生殖中心电在6月28-29日出现大幅增长（手术室分别达2,280和6,360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kWh），推测该两项包含独立空调设备用电，统计口径与净化空调箱总表存在交叉。</w:t>
      </w:r>
    </w:p>
    <w:bookmarkEnd w:id="18"/>
    <w:bookmarkEnd w:id="19"/>
    <w:bookmarkStart w:id="20" w:name="各科室用电量"/>
    <w:p>
      <w:pPr>
        <w:pStyle w:val="2"/>
      </w:pPr>
      <w:r>
        <w:t xml:space="preserve">3.2 </w:t>
      </w:r>
      <w:r>
        <w:rPr>
          <w:rFonts w:hint="eastAsia"/>
        </w:rPr>
        <w:t xml:space="preserve">各科室用电量</w:t>
      </w:r>
    </w:p>
    <w:p>
      <w:pPr>
        <w:pStyle w:val="FirstParagraph"/>
      </w:pPr>
      <w:r>
        <w:rPr>
          <w:rFonts w:hint="eastAsia"/>
        </w:rPr>
        <w:t xml:space="preserve">各科室用电量本月全部为0.00</w:t>
      </w:r>
      <w:r>
        <w:t xml:space="preserve"> </w:t>
      </w:r>
      <w:r>
        <w:rPr>
          <w:rFonts w:hint="eastAsia"/>
        </w:rPr>
        <w:t xml:space="preserve">kWh，该计量回路在本报告期内未采集到有效数据。各科室包括北楼6-15楼病区、南楼6-11楼病区、食堂、门诊、药房、放射科、超声科、检验科、病理科、手术室、ICU等共计100余个二级子项。建议检查该计量回路的数据采集状态。</w:t>
      </w:r>
    </w:p>
    <w:bookmarkEnd w:id="20"/>
    <w:bookmarkStart w:id="21" w:name="其他用电"/>
    <w:p>
      <w:pPr>
        <w:pStyle w:val="2"/>
      </w:pPr>
      <w:r>
        <w:t xml:space="preserve">3.3 </w:t>
      </w:r>
      <w:r>
        <w:rPr>
          <w:rFonts w:hint="eastAsia"/>
        </w:rPr>
        <w:t xml:space="preserve">其他用电</w:t>
      </w:r>
    </w:p>
    <w:p>
      <w:pPr>
        <w:pStyle w:val="FirstParagraph"/>
      </w:pPr>
      <w:r>
        <w:rPr>
          <w:rFonts w:hint="eastAsia"/>
        </w:rPr>
        <w:t xml:space="preserve">其他用电月度能耗2,698,556.88</w:t>
      </w:r>
      <w:r>
        <w:t xml:space="preserve"> </w:t>
      </w:r>
      <w:r>
        <w:rPr>
          <w:rFonts w:hint="eastAsia"/>
        </w:rPr>
        <w:t xml:space="preserve">kWh，占全院总用电量的92.27%，日均89,951.90</w:t>
      </w:r>
      <w:r>
        <w:t xml:space="preserve"> </w:t>
      </w:r>
      <w:r>
        <w:rPr>
          <w:rFonts w:hint="eastAsia"/>
        </w:rPr>
        <w:t xml:space="preserve">kWh。该分项包含了未通过独立计量回路细分的各类用电（照明插座、动力设备、特殊专项等），是全院的绝对主导用电项。由于该分项缺乏进一步细分数据，无法进行深入的子项分析。</w:t>
      </w:r>
    </w:p>
    <w:p>
      <w:pPr>
        <w:pStyle w:val="BodyText"/>
      </w:pPr>
      <w:r>
        <w:rPr>
          <w:rFonts w:hint="eastAsia"/>
          <w:i/>
          <w:iCs/>
        </w:rPr>
        <w:t xml:space="preserve">建议：后续对”其他用电”进行更精细的分项计量拆分，以便更精准地识别能耗热点和节能潜力。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报告结束</w:t>
      </w:r>
    </w:p>
    <w:p>
      <w:pPr>
        <w:pStyle w:val="BodyText"/>
      </w:pPr>
      <w:r>
        <w:rPr>
          <w:rFonts w:hint="eastAsia"/>
          <w:i/>
          <w:iCs/>
        </w:rPr>
        <w:t xml:space="preserve">注：本报告数据来源于医院能源管理系统独立计量回路，各统计项为独立计量值，直接计量值与分项之和可能存在差异。6月30日数据因月末统计截断导致偏低，分析时请关注此异常。</w:t>
      </w:r>
    </w:p>
    <w:bookmarkEnd w:id="21"/>
    <w:bookmarkEnd w:id="2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2026-07-28T06:20:16Z</dcterms:created>
  <dcterms:modified xsi:type="dcterms:W3CDTF">2026-07-28T06:20:16Z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