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BE333F" w14:textId="77777777" w:rsidR="009E4B9F" w:rsidRDefault="009B6AE6" w:rsidP="009B6AE6">
      <w:pPr>
        <w:spacing w:line="509" w:lineRule="auto"/>
        <w:ind w:left="-15" w:firstLine="1655"/>
        <w:rPr>
          <w:rFonts w:ascii="Times New Roman" w:eastAsia="Times New Roman" w:hAnsi="Times New Roman" w:cs="Times New Roman"/>
          <w:sz w:val="24"/>
        </w:rPr>
      </w:pPr>
      <w:r>
        <w:rPr>
          <w:noProof/>
        </w:rPr>
        <w:drawing>
          <wp:inline distT="0" distB="0" distL="0" distR="0" wp14:anchorId="74F5C671" wp14:editId="13CAE679">
            <wp:extent cx="2762317" cy="1181095"/>
            <wp:effectExtent l="0" t="0" r="0" b="0"/>
            <wp:docPr id="5448" name="Picture 5448"/>
            <wp:cNvGraphicFramePr/>
            <a:graphic xmlns:a="http://schemas.openxmlformats.org/drawingml/2006/main">
              <a:graphicData uri="http://schemas.openxmlformats.org/drawingml/2006/picture">
                <pic:pic xmlns:pic="http://schemas.openxmlformats.org/drawingml/2006/picture">
                  <pic:nvPicPr>
                    <pic:cNvPr id="5448" name="Picture 5448"/>
                    <pic:cNvPicPr/>
                  </pic:nvPicPr>
                  <pic:blipFill>
                    <a:blip r:embed="rId4"/>
                    <a:stretch>
                      <a:fillRect/>
                    </a:stretch>
                  </pic:blipFill>
                  <pic:spPr>
                    <a:xfrm>
                      <a:off x="0" y="0"/>
                      <a:ext cx="2762317" cy="1181095"/>
                    </a:xfrm>
                    <a:prstGeom prst="rect">
                      <a:avLst/>
                    </a:prstGeom>
                  </pic:spPr>
                </pic:pic>
              </a:graphicData>
            </a:graphic>
          </wp:inline>
        </w:drawing>
      </w:r>
      <w:r>
        <w:t>[2024/3/5]</w:t>
      </w:r>
      <w:r>
        <w:rPr>
          <w:rFonts w:ascii="Times New Roman" w:eastAsia="Times New Roman" w:hAnsi="Times New Roman" w:cs="Times New Roman"/>
          <w:sz w:val="24"/>
        </w:rPr>
        <w:t xml:space="preserve"> </w:t>
      </w:r>
    </w:p>
    <w:p w14:paraId="0AE5263A" w14:textId="45049468" w:rsidR="009B6AE6" w:rsidRDefault="009B6AE6" w:rsidP="009E4B9F">
      <w:pPr>
        <w:spacing w:line="509" w:lineRule="auto"/>
      </w:pPr>
      <w:r>
        <w:t xml:space="preserve">[insert Delta entity name and address] (“Delta”)  </w:t>
      </w:r>
    </w:p>
    <w:p w14:paraId="3516A6C1" w14:textId="4966D111" w:rsidR="009B6AE6" w:rsidRDefault="009B6AE6" w:rsidP="009E4B9F">
      <w:pPr>
        <w:spacing w:after="0" w:line="259" w:lineRule="auto"/>
        <w:ind w:left="0" w:right="0" w:firstLine="0"/>
      </w:pPr>
      <w:r>
        <w:t xml:space="preserve">To whom it may concern,  </w:t>
      </w:r>
    </w:p>
    <w:p w14:paraId="41080F75" w14:textId="77777777" w:rsidR="009B6AE6" w:rsidRDefault="009B6AE6" w:rsidP="009B6AE6">
      <w:pPr>
        <w:spacing w:after="0" w:line="259" w:lineRule="auto"/>
        <w:ind w:left="0" w:right="0" w:firstLine="0"/>
      </w:pPr>
      <w:r>
        <w:t xml:space="preserve"> </w:t>
      </w:r>
    </w:p>
    <w:p w14:paraId="6D45D112" w14:textId="77777777" w:rsidR="009B6AE6" w:rsidRDefault="009B6AE6" w:rsidP="009B6AE6">
      <w:pPr>
        <w:ind w:left="-5" w:right="0"/>
      </w:pPr>
      <w:r>
        <w:t xml:space="preserve">From time to time, Texas Instruments Incorporated (“TI”) may issue a Product Change Notification (“PCN”) after a </w:t>
      </w:r>
      <w:proofErr w:type="gramStart"/>
      <w:r>
        <w:t>product releases</w:t>
      </w:r>
      <w:proofErr w:type="gramEnd"/>
      <w:r>
        <w:t xml:space="preserve"> to market. TI emphasizes continual improvement strategies, and as a result, TI may need to modify, update or discontinue the product or manufacturing process. TI complies with the requirements for timely notification in J-STD-046. Consistent with this industry standard, customers are notified of major changes which affect the form, fit or function, or adversely affect quality or reliability of a product. This has been TI’s historical practice for products purchased in the past by Delta through distribution channels.  </w:t>
      </w:r>
    </w:p>
    <w:p w14:paraId="2A728A04" w14:textId="77777777" w:rsidR="009B6AE6" w:rsidRDefault="009B6AE6" w:rsidP="009B6AE6">
      <w:pPr>
        <w:spacing w:after="0" w:line="259" w:lineRule="auto"/>
        <w:ind w:left="0" w:right="0" w:firstLine="0"/>
      </w:pPr>
      <w:r>
        <w:t xml:space="preserve"> </w:t>
      </w:r>
    </w:p>
    <w:p w14:paraId="07257347" w14:textId="77777777" w:rsidR="009B6AE6" w:rsidRDefault="009B6AE6" w:rsidP="009B6AE6">
      <w:pPr>
        <w:ind w:left="-5" w:right="0"/>
      </w:pPr>
      <w:r>
        <w:t xml:space="preserve">Also note that all TI products, including TI products subject to a PCN, undergo the TI qualification process. More information about TI’s qualification process, please see </w:t>
      </w:r>
      <w:hyperlink r:id="rId5">
        <w:r>
          <w:rPr>
            <w:color w:val="0000FF"/>
            <w:u w:val="single" w:color="0000FF"/>
          </w:rPr>
          <w:t>http://www.ti.com/support</w:t>
        </w:r>
      </w:hyperlink>
      <w:hyperlink r:id="rId6">
        <w:r>
          <w:rPr>
            <w:color w:val="0000FF"/>
            <w:u w:val="single" w:color="0000FF"/>
          </w:rPr>
          <w:t>-</w:t>
        </w:r>
      </w:hyperlink>
      <w:hyperlink r:id="rId7">
        <w:r>
          <w:rPr>
            <w:color w:val="0000FF"/>
            <w:u w:val="single" w:color="0000FF"/>
          </w:rPr>
          <w:t>quality/reliability/reliability</w:t>
        </w:r>
      </w:hyperlink>
      <w:hyperlink r:id="rId8">
        <w:r>
          <w:rPr>
            <w:color w:val="0000FF"/>
            <w:u w:val="single" w:color="0000FF"/>
          </w:rPr>
          <w:t>-</w:t>
        </w:r>
      </w:hyperlink>
      <w:hyperlink r:id="rId9">
        <w:r>
          <w:rPr>
            <w:color w:val="0000FF"/>
            <w:u w:val="single" w:color="0000FF"/>
          </w:rPr>
          <w:t>home.html</w:t>
        </w:r>
      </w:hyperlink>
      <w:hyperlink r:id="rId10">
        <w:r>
          <w:t xml:space="preserve"> </w:t>
        </w:r>
      </w:hyperlink>
      <w:r>
        <w:t xml:space="preserve"> </w:t>
      </w:r>
    </w:p>
    <w:p w14:paraId="42C42AA2" w14:textId="77777777" w:rsidR="009B6AE6" w:rsidRDefault="009B6AE6" w:rsidP="009B6AE6">
      <w:pPr>
        <w:spacing w:after="0" w:line="259" w:lineRule="auto"/>
        <w:ind w:left="0" w:right="0" w:firstLine="0"/>
      </w:pPr>
      <w:r>
        <w:t xml:space="preserve"> </w:t>
      </w:r>
    </w:p>
    <w:p w14:paraId="7AA45965" w14:textId="77777777" w:rsidR="009B6AE6" w:rsidRDefault="009B6AE6" w:rsidP="009B6AE6">
      <w:pPr>
        <w:ind w:left="-5" w:right="0"/>
      </w:pPr>
      <w:r>
        <w:t xml:space="preserve">This letter confirms that a TI product subject to a PCN is still covered by TI’s applicable warranty at http://www.ti.com/legal/terms-of-sale.html. The changed material (the TI product subject to a PCN) will be governed by the relevant datasheet specifications referenced in the TI warranty. This warranty applies to products previously purchased by Delta through distribution and will continue to apply to products purchased directly by Delta from TI.  </w:t>
      </w:r>
    </w:p>
    <w:p w14:paraId="0E068203" w14:textId="77777777" w:rsidR="009B6AE6" w:rsidRDefault="009B6AE6" w:rsidP="009B6AE6">
      <w:pPr>
        <w:spacing w:after="0" w:line="259" w:lineRule="auto"/>
        <w:ind w:left="0" w:right="0" w:firstLine="0"/>
      </w:pPr>
      <w:r>
        <w:t xml:space="preserve"> </w:t>
      </w:r>
    </w:p>
    <w:p w14:paraId="2AB66C68" w14:textId="77777777" w:rsidR="009B6AE6" w:rsidRDefault="009B6AE6" w:rsidP="009B6AE6">
      <w:pPr>
        <w:ind w:left="-5" w:right="0"/>
      </w:pPr>
      <w:r>
        <w:t xml:space="preserve">Sincerely,  </w:t>
      </w:r>
    </w:p>
    <w:p w14:paraId="336997EA" w14:textId="77777777" w:rsidR="009B6AE6" w:rsidRDefault="009B6AE6" w:rsidP="009B6AE6">
      <w:pPr>
        <w:spacing w:after="227"/>
        <w:ind w:left="-5" w:right="0"/>
      </w:pPr>
      <w:r>
        <w:t xml:space="preserve">[insert name] </w:t>
      </w:r>
    </w:p>
    <w:p w14:paraId="449695E4" w14:textId="77777777" w:rsidR="00A1585C" w:rsidRDefault="00A1585C"/>
    <w:p w14:paraId="33DBBA97" w14:textId="77777777" w:rsidR="009E4B9F" w:rsidRDefault="009E4B9F"/>
    <w:p w14:paraId="6DC1FF94" w14:textId="77777777" w:rsidR="009E4B9F" w:rsidRDefault="009E4B9F"/>
    <w:p w14:paraId="56CE50C1" w14:textId="77777777" w:rsidR="009E4B9F" w:rsidRDefault="009E4B9F"/>
    <w:p w14:paraId="571B92A1" w14:textId="77777777" w:rsidR="009E4B9F" w:rsidRDefault="009E4B9F"/>
    <w:p w14:paraId="22D47386" w14:textId="77777777" w:rsidR="009E4B9F" w:rsidRDefault="009E4B9F"/>
    <w:p w14:paraId="56ECEED3" w14:textId="77777777" w:rsidR="009E4B9F" w:rsidRDefault="009E4B9F"/>
    <w:p w14:paraId="549A2980" w14:textId="77777777" w:rsidR="009E4B9F" w:rsidRDefault="009E4B9F"/>
    <w:p w14:paraId="0DD9B626" w14:textId="77777777" w:rsidR="009E4B9F" w:rsidRDefault="009E4B9F"/>
    <w:p w14:paraId="10D5D58C" w14:textId="77777777" w:rsidR="009E4B9F" w:rsidRDefault="009E4B9F"/>
    <w:p w14:paraId="78B9579E" w14:textId="77777777" w:rsidR="009E4B9F" w:rsidRDefault="009E4B9F"/>
    <w:p w14:paraId="6DC031E7" w14:textId="77777777" w:rsidR="009E4B9F" w:rsidRDefault="009E4B9F"/>
    <w:p w14:paraId="279587AC" w14:textId="77777777" w:rsidR="009E4B9F" w:rsidRDefault="009E4B9F"/>
    <w:p w14:paraId="629DB2BC" w14:textId="77777777" w:rsidR="009E4B9F" w:rsidRDefault="009E4B9F"/>
    <w:p w14:paraId="19803DB8" w14:textId="35596432" w:rsidR="009E4B9F" w:rsidRDefault="009E4B9F" w:rsidP="009E4B9F">
      <w:pPr>
        <w:ind w:left="0" w:firstLine="0"/>
      </w:pPr>
    </w:p>
    <w:sectPr w:rsidR="009E4B9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AE6"/>
    <w:rsid w:val="0002137F"/>
    <w:rsid w:val="000740B6"/>
    <w:rsid w:val="004F298C"/>
    <w:rsid w:val="009B6AE6"/>
    <w:rsid w:val="009E4B9F"/>
    <w:rsid w:val="00A1585C"/>
  </w:rsids>
  <m:mathPr>
    <m:mathFont m:val="Cambria Math"/>
    <m:brkBin m:val="before"/>
    <m:brkBinSub m:val="--"/>
    <m:smallFrac m:val="0"/>
    <m:dispDef/>
    <m:lMargin m:val="0"/>
    <m:rMargin m:val="0"/>
    <m:defJc m:val="centerGroup"/>
    <m:wrapIndent m:val="1440"/>
    <m:intLim m:val="subSup"/>
    <m:naryLim m:val="undOvr"/>
  </m:mathPr>
  <w:themeFontLang w:val="en-TW"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6F95DEB4"/>
  <w15:chartTrackingRefBased/>
  <w15:docId w15:val="{58402FF1-8D42-4548-9FDA-E4507AC09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TW"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AE6"/>
    <w:pPr>
      <w:spacing w:after="5" w:line="249" w:lineRule="auto"/>
      <w:ind w:left="10" w:right="954" w:hanging="10"/>
    </w:pPr>
    <w:rPr>
      <w:rFonts w:ascii="Arial" w:eastAsia="Arial" w:hAnsi="Arial" w:cs="Arial"/>
      <w:color w:val="000000"/>
      <w:sz w:val="22"/>
      <w:lang w:val="en-US" w:eastAsia="en-US" w:bidi="en-US"/>
    </w:rPr>
  </w:style>
  <w:style w:type="paragraph" w:styleId="Heading1">
    <w:name w:val="heading 1"/>
    <w:basedOn w:val="Normal"/>
    <w:next w:val="Normal"/>
    <w:link w:val="Heading1Char"/>
    <w:uiPriority w:val="9"/>
    <w:qFormat/>
    <w:rsid w:val="009B6A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6A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6A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6A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6A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6A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A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A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A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A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6A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6A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6A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6A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6A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A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A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AE6"/>
    <w:rPr>
      <w:rFonts w:eastAsiaTheme="majorEastAsia" w:cstheme="majorBidi"/>
      <w:color w:val="272727" w:themeColor="text1" w:themeTint="D8"/>
    </w:rPr>
  </w:style>
  <w:style w:type="paragraph" w:styleId="Title">
    <w:name w:val="Title"/>
    <w:basedOn w:val="Normal"/>
    <w:next w:val="Normal"/>
    <w:link w:val="TitleChar"/>
    <w:uiPriority w:val="10"/>
    <w:qFormat/>
    <w:rsid w:val="009B6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A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A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A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AE6"/>
    <w:pPr>
      <w:spacing w:before="160"/>
      <w:jc w:val="center"/>
    </w:pPr>
    <w:rPr>
      <w:i/>
      <w:iCs/>
      <w:color w:val="404040" w:themeColor="text1" w:themeTint="BF"/>
    </w:rPr>
  </w:style>
  <w:style w:type="character" w:customStyle="1" w:styleId="QuoteChar">
    <w:name w:val="Quote Char"/>
    <w:basedOn w:val="DefaultParagraphFont"/>
    <w:link w:val="Quote"/>
    <w:uiPriority w:val="29"/>
    <w:rsid w:val="009B6AE6"/>
    <w:rPr>
      <w:i/>
      <w:iCs/>
      <w:color w:val="404040" w:themeColor="text1" w:themeTint="BF"/>
    </w:rPr>
  </w:style>
  <w:style w:type="paragraph" w:styleId="ListParagraph">
    <w:name w:val="List Paragraph"/>
    <w:basedOn w:val="Normal"/>
    <w:uiPriority w:val="34"/>
    <w:qFormat/>
    <w:rsid w:val="009B6AE6"/>
    <w:pPr>
      <w:ind w:left="720"/>
      <w:contextualSpacing/>
    </w:pPr>
  </w:style>
  <w:style w:type="character" w:styleId="IntenseEmphasis">
    <w:name w:val="Intense Emphasis"/>
    <w:basedOn w:val="DefaultParagraphFont"/>
    <w:uiPriority w:val="21"/>
    <w:qFormat/>
    <w:rsid w:val="009B6AE6"/>
    <w:rPr>
      <w:i/>
      <w:iCs/>
      <w:color w:val="0F4761" w:themeColor="accent1" w:themeShade="BF"/>
    </w:rPr>
  </w:style>
  <w:style w:type="paragraph" w:styleId="IntenseQuote">
    <w:name w:val="Intense Quote"/>
    <w:basedOn w:val="Normal"/>
    <w:next w:val="Normal"/>
    <w:link w:val="IntenseQuoteChar"/>
    <w:uiPriority w:val="30"/>
    <w:qFormat/>
    <w:rsid w:val="009B6A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6AE6"/>
    <w:rPr>
      <w:i/>
      <w:iCs/>
      <w:color w:val="0F4761" w:themeColor="accent1" w:themeShade="BF"/>
    </w:rPr>
  </w:style>
  <w:style w:type="character" w:styleId="IntenseReference">
    <w:name w:val="Intense Reference"/>
    <w:basedOn w:val="DefaultParagraphFont"/>
    <w:uiPriority w:val="32"/>
    <w:qFormat/>
    <w:rsid w:val="009B6A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i.com/support-quality/reliability/reliability-home.html" TargetMode="External"/><Relationship Id="rId3" Type="http://schemas.openxmlformats.org/officeDocument/2006/relationships/webSettings" Target="webSettings.xml"/><Relationship Id="rId7" Type="http://schemas.openxmlformats.org/officeDocument/2006/relationships/hyperlink" Target="http://www.ti.com/support-quality/reliability/reliability-home.html"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ti.com/support-quality/reliability/reliability-home.html" TargetMode="External"/><Relationship Id="rId11" Type="http://schemas.openxmlformats.org/officeDocument/2006/relationships/fontTable" Target="fontTable.xml"/><Relationship Id="rId5" Type="http://schemas.openxmlformats.org/officeDocument/2006/relationships/hyperlink" Target="http://www.ti.com/support-quality/reliability/reliability-home.html" TargetMode="External"/><Relationship Id="rId10" Type="http://schemas.openxmlformats.org/officeDocument/2006/relationships/hyperlink" Target="http://www.ti.com/support-quality/reliability/reliability-home.html" TargetMode="External"/><Relationship Id="rId4" Type="http://schemas.openxmlformats.org/officeDocument/2006/relationships/image" Target="media/image1.jpg"/><Relationship Id="rId9" Type="http://schemas.openxmlformats.org/officeDocument/2006/relationships/hyperlink" Target="http://www.ti.com/support-quality/reliability/reliability-hom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299</Words>
  <Characters>1709</Characters>
  <Application>Microsoft Office Word</Application>
  <DocSecurity>0</DocSecurity>
  <Lines>14</Lines>
  <Paragraphs>4</Paragraphs>
  <ScaleCrop>false</ScaleCrop>
  <Company/>
  <LinksUpToDate>false</LinksUpToDate>
  <CharactersWithSpaces>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wanchuan Lin</dc:creator>
  <cp:keywords/>
  <dc:description/>
  <cp:lastModifiedBy>wanchuan Lin</cp:lastModifiedBy>
  <cp:revision>2</cp:revision>
  <dcterms:created xsi:type="dcterms:W3CDTF">2026-09-24T08:44:00Z</dcterms:created>
  <dcterms:modified xsi:type="dcterms:W3CDTF">2026-09-24T08:54:00Z</dcterms:modified>
</cp:coreProperties>
</file>