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D8F" w:rsidRPr="0048257A" w:rsidRDefault="00965D8F" w:rsidP="00F57729">
      <w:pPr>
        <w:tabs>
          <w:tab w:val="clear" w:pos="360"/>
          <w:tab w:val="clear" w:pos="720"/>
          <w:tab w:val="clear" w:pos="1080"/>
          <w:tab w:val="left" w:pos="7200"/>
        </w:tabs>
        <w:rPr>
          <w:b/>
          <w:u w:val="single"/>
        </w:rPr>
      </w:pPr>
      <w:r w:rsidRPr="0048257A">
        <w:rPr>
          <w:b/>
        </w:rPr>
        <w:t>Civil Procedure I</w:t>
      </w:r>
      <w:r w:rsidRPr="0048257A">
        <w:rPr>
          <w:b/>
        </w:rPr>
        <w:tab/>
        <w:t xml:space="preserve">Exam ID: </w:t>
      </w:r>
      <w:r w:rsidRPr="0048257A">
        <w:rPr>
          <w:b/>
          <w:u w:val="single"/>
        </w:rPr>
        <w:tab/>
      </w:r>
      <w:r w:rsidRPr="0048257A">
        <w:rPr>
          <w:b/>
          <w:u w:val="single"/>
        </w:rPr>
        <w:tab/>
      </w:r>
    </w:p>
    <w:p w:rsidR="00965D8F" w:rsidRPr="0048257A" w:rsidRDefault="00965D8F" w:rsidP="00F57729">
      <w:pPr>
        <w:tabs>
          <w:tab w:val="clear" w:pos="360"/>
          <w:tab w:val="clear" w:pos="720"/>
          <w:tab w:val="clear" w:pos="1080"/>
          <w:tab w:val="left" w:pos="7200"/>
        </w:tabs>
        <w:rPr>
          <w:b/>
        </w:rPr>
      </w:pPr>
      <w:r w:rsidRPr="0048257A">
        <w:rPr>
          <w:b/>
        </w:rPr>
        <w:t>Fall 2014</w:t>
      </w:r>
    </w:p>
    <w:p w:rsidR="00965D8F" w:rsidRPr="0048257A" w:rsidRDefault="00965D8F" w:rsidP="00F57729">
      <w:pPr>
        <w:tabs>
          <w:tab w:val="clear" w:pos="360"/>
          <w:tab w:val="clear" w:pos="720"/>
          <w:tab w:val="clear" w:pos="1080"/>
          <w:tab w:val="left" w:pos="7200"/>
        </w:tabs>
        <w:rPr>
          <w:b/>
        </w:rPr>
      </w:pPr>
      <w:r w:rsidRPr="0048257A">
        <w:rPr>
          <w:b/>
        </w:rPr>
        <w:t>Final Exam</w:t>
      </w:r>
      <w:r w:rsidRPr="0048257A">
        <w:rPr>
          <w:b/>
        </w:rPr>
        <w:tab/>
        <w:t xml:space="preserve">TOTAL: </w:t>
      </w:r>
      <w:r w:rsidRPr="0048257A">
        <w:rPr>
          <w:b/>
          <w:u w:val="single"/>
        </w:rPr>
        <w:tab/>
      </w:r>
      <w:r w:rsidRPr="0048257A">
        <w:rPr>
          <w:b/>
          <w:u w:val="single"/>
        </w:rPr>
        <w:tab/>
      </w:r>
    </w:p>
    <w:p w:rsidR="00965D8F" w:rsidRPr="009C0334" w:rsidRDefault="00965D8F" w:rsidP="006578CF">
      <w:pPr>
        <w:pStyle w:val="Heading2"/>
        <w:tabs>
          <w:tab w:val="left" w:pos="1620"/>
        </w:tabs>
        <w:rPr>
          <w:u w:val="single"/>
        </w:rPr>
      </w:pPr>
      <w:r w:rsidRPr="000353C1">
        <w:t>Question 1</w:t>
      </w:r>
      <w:r w:rsidR="009C0334">
        <w:t xml:space="preserve">: </w:t>
      </w:r>
      <w:r w:rsidR="009C0334">
        <w:rPr>
          <w:u w:val="single"/>
        </w:rPr>
        <w:tab/>
      </w:r>
    </w:p>
    <w:p w:rsidR="00965D8F" w:rsidRDefault="00965D8F" w:rsidP="006578CF">
      <w:pPr>
        <w:tabs>
          <w:tab w:val="left" w:pos="1620"/>
        </w:tabs>
      </w:pPr>
      <w:r>
        <w:t xml:space="preserve">a. </w:t>
      </w:r>
      <w:proofErr w:type="spellStart"/>
      <w:r>
        <w:t>Joinder</w:t>
      </w:r>
      <w:proofErr w:type="spellEnd"/>
      <w:r>
        <w:t xml:space="preserve"> of Lopez &amp; Baptist Services as Co-Defendants</w:t>
      </w:r>
    </w:p>
    <w:p w:rsidR="00965D8F" w:rsidRDefault="00965D8F" w:rsidP="006578CF">
      <w:pPr>
        <w:tabs>
          <w:tab w:val="left" w:pos="1620"/>
        </w:tabs>
      </w:pPr>
      <w:r>
        <w:tab/>
        <w:t xml:space="preserve">1. </w:t>
      </w:r>
      <w:proofErr w:type="spellStart"/>
      <w:r>
        <w:t>Joinder</w:t>
      </w:r>
      <w:proofErr w:type="spellEnd"/>
      <w:r>
        <w:t xml:space="preserve"> </w:t>
      </w:r>
      <w:r w:rsidR="000353C1">
        <w:t>u</w:t>
      </w:r>
      <w:r>
        <w:t>nder Rule 20</w:t>
      </w:r>
    </w:p>
    <w:p w:rsidR="00965D8F" w:rsidRDefault="00965D8F" w:rsidP="006578CF">
      <w:pPr>
        <w:tabs>
          <w:tab w:val="left" w:pos="1620"/>
        </w:tabs>
      </w:pPr>
      <w:r>
        <w:tab/>
        <w:t xml:space="preserve">2. Personal </w:t>
      </w:r>
      <w:r w:rsidR="000353C1">
        <w:t>j</w:t>
      </w:r>
      <w:r>
        <w:t>urisdiction</w:t>
      </w:r>
    </w:p>
    <w:p w:rsidR="00965D8F" w:rsidRDefault="00965D8F" w:rsidP="006578CF">
      <w:pPr>
        <w:tabs>
          <w:tab w:val="left" w:pos="1620"/>
        </w:tabs>
      </w:pPr>
      <w:r>
        <w:tab/>
      </w:r>
      <w:r>
        <w:tab/>
        <w:t>* Lopez: minimum contacts</w:t>
      </w:r>
    </w:p>
    <w:p w:rsidR="00965D8F" w:rsidRDefault="00965D8F" w:rsidP="006578CF">
      <w:pPr>
        <w:tabs>
          <w:tab w:val="left" w:pos="1620"/>
        </w:tabs>
      </w:pPr>
      <w:r>
        <w:tab/>
      </w:r>
      <w:r>
        <w:tab/>
        <w:t>* Baptist Services: general jurisdiction</w:t>
      </w:r>
    </w:p>
    <w:p w:rsidR="00965D8F" w:rsidRDefault="00965D8F" w:rsidP="006578CF">
      <w:pPr>
        <w:tabs>
          <w:tab w:val="left" w:pos="1620"/>
        </w:tabs>
      </w:pPr>
      <w:r>
        <w:tab/>
        <w:t>3. SMJ</w:t>
      </w:r>
    </w:p>
    <w:p w:rsidR="00965D8F" w:rsidRDefault="00965D8F" w:rsidP="006578CF">
      <w:pPr>
        <w:tabs>
          <w:tab w:val="left" w:pos="1620"/>
        </w:tabs>
      </w:pPr>
      <w:r>
        <w:tab/>
      </w:r>
      <w:r>
        <w:tab/>
        <w:t>* ICARA claim: federal question</w:t>
      </w:r>
    </w:p>
    <w:p w:rsidR="00965D8F" w:rsidRDefault="00965D8F" w:rsidP="006578CF">
      <w:pPr>
        <w:tabs>
          <w:tab w:val="left" w:pos="1620"/>
        </w:tabs>
      </w:pPr>
      <w:r>
        <w:tab/>
      </w:r>
      <w:r>
        <w:tab/>
        <w:t>* State tort claims: supplemental jurisdiction</w:t>
      </w:r>
    </w:p>
    <w:p w:rsidR="000353C1" w:rsidRDefault="000353C1" w:rsidP="006578CF">
      <w:pPr>
        <w:tabs>
          <w:tab w:val="left" w:pos="1620"/>
        </w:tabs>
      </w:pPr>
    </w:p>
    <w:p w:rsidR="000353C1" w:rsidRDefault="000353C1" w:rsidP="006578CF">
      <w:pPr>
        <w:tabs>
          <w:tab w:val="left" w:pos="1620"/>
        </w:tabs>
      </w:pPr>
      <w:r>
        <w:t>b. ORR as Party Required to be Joined</w:t>
      </w:r>
    </w:p>
    <w:p w:rsidR="000353C1" w:rsidRDefault="000353C1" w:rsidP="006578CF">
      <w:pPr>
        <w:tabs>
          <w:tab w:val="left" w:pos="1620"/>
        </w:tabs>
      </w:pPr>
      <w:r>
        <w:tab/>
        <w:t>1. Nature of interest</w:t>
      </w:r>
    </w:p>
    <w:p w:rsidR="000353C1" w:rsidRDefault="000353C1" w:rsidP="006578CF">
      <w:pPr>
        <w:tabs>
          <w:tab w:val="left" w:pos="1620"/>
        </w:tabs>
      </w:pPr>
      <w:r>
        <w:tab/>
        <w:t>2. Prejudice to ORR or existing parties</w:t>
      </w:r>
    </w:p>
    <w:p w:rsidR="000353C1" w:rsidRDefault="000353C1" w:rsidP="006578CF">
      <w:pPr>
        <w:tabs>
          <w:tab w:val="left" w:pos="1620"/>
        </w:tabs>
      </w:pPr>
    </w:p>
    <w:p w:rsidR="000353C1" w:rsidRDefault="000353C1" w:rsidP="006578CF">
      <w:pPr>
        <w:tabs>
          <w:tab w:val="left" w:pos="1620"/>
        </w:tabs>
      </w:pPr>
      <w:r>
        <w:t>c. Intervention by Sanchez Children</w:t>
      </w:r>
    </w:p>
    <w:p w:rsidR="000353C1" w:rsidRDefault="000353C1" w:rsidP="006578CF">
      <w:pPr>
        <w:tabs>
          <w:tab w:val="left" w:pos="1620"/>
        </w:tabs>
      </w:pPr>
      <w:r>
        <w:tab/>
        <w:t>1. Nature of interest</w:t>
      </w:r>
    </w:p>
    <w:p w:rsidR="000353C1" w:rsidRDefault="000353C1" w:rsidP="006578CF">
      <w:pPr>
        <w:tabs>
          <w:tab w:val="left" w:pos="1620"/>
        </w:tabs>
      </w:pPr>
      <w:r>
        <w:tab/>
        <w:t>2. Inadequate representation by existing parties</w:t>
      </w:r>
    </w:p>
    <w:p w:rsidR="000353C1" w:rsidRDefault="000353C1" w:rsidP="006578CF">
      <w:pPr>
        <w:pStyle w:val="Heading2"/>
        <w:tabs>
          <w:tab w:val="left" w:pos="1620"/>
        </w:tabs>
      </w:pPr>
      <w:r>
        <w:t>Question 2</w:t>
      </w:r>
      <w:r w:rsidR="009C0334">
        <w:t xml:space="preserve">: </w:t>
      </w:r>
      <w:r w:rsidR="009C0334">
        <w:rPr>
          <w:u w:val="single"/>
        </w:rPr>
        <w:tab/>
      </w:r>
    </w:p>
    <w:p w:rsidR="000353C1" w:rsidRDefault="008609E1" w:rsidP="006578CF">
      <w:pPr>
        <w:tabs>
          <w:tab w:val="left" w:pos="1620"/>
        </w:tabs>
      </w:pPr>
      <w:r>
        <w:t>a. Subject Matter Jurisdiction O</w:t>
      </w:r>
      <w:r w:rsidR="000353C1">
        <w:t>ver Allstate's Claim</w:t>
      </w:r>
    </w:p>
    <w:p w:rsidR="001572B4" w:rsidRDefault="001572B4" w:rsidP="006578CF">
      <w:pPr>
        <w:tabs>
          <w:tab w:val="left" w:pos="1620"/>
        </w:tabs>
      </w:pPr>
      <w:r>
        <w:tab/>
        <w:t>1. Citizenship of unincorporated organization</w:t>
      </w:r>
    </w:p>
    <w:p w:rsidR="001572B4" w:rsidRDefault="001572B4" w:rsidP="006578CF">
      <w:pPr>
        <w:tabs>
          <w:tab w:val="left" w:pos="1620"/>
        </w:tabs>
      </w:pPr>
      <w:r>
        <w:tab/>
        <w:t>2. Amount in controversy</w:t>
      </w:r>
    </w:p>
    <w:p w:rsidR="001572B4" w:rsidRDefault="001572B4" w:rsidP="006578CF">
      <w:pPr>
        <w:tabs>
          <w:tab w:val="left" w:pos="1620"/>
        </w:tabs>
      </w:pPr>
    </w:p>
    <w:p w:rsidR="001572B4" w:rsidRDefault="001572B4" w:rsidP="006578CF">
      <w:pPr>
        <w:tabs>
          <w:tab w:val="left" w:pos="1620"/>
        </w:tabs>
      </w:pPr>
      <w:r>
        <w:t xml:space="preserve">b. Counterclaim by </w:t>
      </w:r>
      <w:proofErr w:type="spellStart"/>
      <w:r>
        <w:t>Stonestreet</w:t>
      </w:r>
      <w:proofErr w:type="spellEnd"/>
    </w:p>
    <w:p w:rsidR="001572B4" w:rsidRDefault="001572B4" w:rsidP="006578CF">
      <w:pPr>
        <w:tabs>
          <w:tab w:val="left" w:pos="1620"/>
        </w:tabs>
      </w:pPr>
      <w:r>
        <w:tab/>
        <w:t>1. Compulsory counterclaim</w:t>
      </w:r>
    </w:p>
    <w:p w:rsidR="001572B4" w:rsidRDefault="001572B4" w:rsidP="006578CF">
      <w:pPr>
        <w:tabs>
          <w:tab w:val="left" w:pos="1620"/>
        </w:tabs>
      </w:pPr>
      <w:r>
        <w:tab/>
        <w:t>2. SMJ: Supplemental jurisdiction</w:t>
      </w:r>
    </w:p>
    <w:p w:rsidR="001572B4" w:rsidRDefault="001572B4" w:rsidP="006578CF">
      <w:pPr>
        <w:tabs>
          <w:tab w:val="left" w:pos="1620"/>
        </w:tabs>
      </w:pPr>
    </w:p>
    <w:p w:rsidR="001572B4" w:rsidRDefault="001572B4" w:rsidP="006578CF">
      <w:pPr>
        <w:tabs>
          <w:tab w:val="left" w:pos="1620"/>
        </w:tabs>
      </w:pPr>
      <w:r>
        <w:t xml:space="preserve">c. Third-Party Claims Against </w:t>
      </w:r>
      <w:proofErr w:type="spellStart"/>
      <w:r>
        <w:t>Weybosset</w:t>
      </w:r>
      <w:proofErr w:type="spellEnd"/>
    </w:p>
    <w:p w:rsidR="001572B4" w:rsidRDefault="001572B4" w:rsidP="006578CF">
      <w:pPr>
        <w:tabs>
          <w:tab w:val="left" w:pos="1620"/>
        </w:tabs>
      </w:pPr>
      <w:r>
        <w:tab/>
        <w:t xml:space="preserve">1. </w:t>
      </w:r>
      <w:r w:rsidR="006D4556">
        <w:t>Contribution/Indemnification: Rule 14</w:t>
      </w:r>
    </w:p>
    <w:p w:rsidR="006D4556" w:rsidRDefault="006D4556" w:rsidP="006578CF">
      <w:pPr>
        <w:tabs>
          <w:tab w:val="left" w:pos="1620"/>
        </w:tabs>
      </w:pPr>
      <w:r>
        <w:tab/>
        <w:t>2. Breach of Contract: Rule 18</w:t>
      </w:r>
    </w:p>
    <w:p w:rsidR="006D4556" w:rsidRDefault="006D4556" w:rsidP="006578CF">
      <w:pPr>
        <w:tabs>
          <w:tab w:val="left" w:pos="1620"/>
        </w:tabs>
      </w:pPr>
      <w:r>
        <w:tab/>
        <w:t>3. SMJ: Supplemental jurisdiction</w:t>
      </w:r>
    </w:p>
    <w:p w:rsidR="006D4556" w:rsidRDefault="006D4556" w:rsidP="006578CF">
      <w:pPr>
        <w:tabs>
          <w:tab w:val="left" w:pos="1620"/>
        </w:tabs>
      </w:pPr>
    </w:p>
    <w:p w:rsidR="006D4556" w:rsidRDefault="006D4556" w:rsidP="006578CF">
      <w:pPr>
        <w:tabs>
          <w:tab w:val="left" w:pos="1620"/>
        </w:tabs>
      </w:pPr>
      <w:r>
        <w:t xml:space="preserve">d. Claim by Allstate Against </w:t>
      </w:r>
      <w:proofErr w:type="spellStart"/>
      <w:r>
        <w:t>Weybosset</w:t>
      </w:r>
      <w:proofErr w:type="spellEnd"/>
    </w:p>
    <w:p w:rsidR="006D4556" w:rsidRDefault="006D4556" w:rsidP="006578CF">
      <w:pPr>
        <w:tabs>
          <w:tab w:val="left" w:pos="1620"/>
        </w:tabs>
      </w:pPr>
      <w:r>
        <w:tab/>
        <w:t xml:space="preserve">1. </w:t>
      </w:r>
      <w:proofErr w:type="spellStart"/>
      <w:r>
        <w:t>Joinder</w:t>
      </w:r>
      <w:proofErr w:type="spellEnd"/>
      <w:r>
        <w:t xml:space="preserve"> under Rule 14</w:t>
      </w:r>
    </w:p>
    <w:p w:rsidR="006D4556" w:rsidRPr="000353C1" w:rsidRDefault="006D4556" w:rsidP="006578CF">
      <w:pPr>
        <w:tabs>
          <w:tab w:val="left" w:pos="1620"/>
        </w:tabs>
      </w:pPr>
      <w:r>
        <w:tab/>
        <w:t>2. SMJ: No diversity or supplemental jurisdiction</w:t>
      </w:r>
    </w:p>
    <w:sectPr w:rsidR="006D4556" w:rsidRPr="000353C1" w:rsidSect="00AB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965D8F"/>
    <w:rsid w:val="000353C1"/>
    <w:rsid w:val="001572B4"/>
    <w:rsid w:val="002B2C46"/>
    <w:rsid w:val="0048257A"/>
    <w:rsid w:val="006578CF"/>
    <w:rsid w:val="006D4556"/>
    <w:rsid w:val="008609E1"/>
    <w:rsid w:val="00965D8F"/>
    <w:rsid w:val="009C0334"/>
    <w:rsid w:val="009D53A5"/>
    <w:rsid w:val="00AB08FC"/>
    <w:rsid w:val="00F5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C46"/>
    <w:pPr>
      <w:tabs>
        <w:tab w:val="left" w:pos="360"/>
        <w:tab w:val="left" w:pos="720"/>
        <w:tab w:val="left" w:pos="1080"/>
      </w:tabs>
      <w:spacing w:after="0" w:line="240" w:lineRule="auto"/>
    </w:pPr>
    <w:rPr>
      <w:rFonts w:ascii="Open Sans" w:hAnsi="Open Sans" w:cs="Open San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3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3C1"/>
    <w:pPr>
      <w:keepNext/>
      <w:keepLines/>
      <w:spacing w:before="360" w:after="120"/>
      <w:outlineLvl w:val="1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53C1"/>
    <w:rPr>
      <w:rFonts w:ascii="Open Sans" w:eastAsiaTheme="majorEastAsia" w:hAnsi="Open Sans" w:cs="Open Sans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10</cp:revision>
  <dcterms:created xsi:type="dcterms:W3CDTF">2014-12-22T22:13:00Z</dcterms:created>
  <dcterms:modified xsi:type="dcterms:W3CDTF">2014-12-22T22:30:00Z</dcterms:modified>
</cp:coreProperties>
</file>