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Federal Employment Discrimination Laws</w:t>
      </w:r>
    </w:p>
    <w:p>
      <w:pPr>
        <w:pStyle w:val="SpeakerName-City"/>
        <w:rPr/>
      </w:pPr>
      <w:r>
        <w:rPr/>
        <w:t>Eric M. Fink—Greensboro, N.C.</w:t>
      </w:r>
    </w:p>
    <w:p>
      <w:pPr>
        <w:pStyle w:val="Heading1"/>
        <w:numPr>
          <w:ilvl w:val="0"/>
          <w:numId w:val="10"/>
        </w:numPr>
        <w:rPr/>
      </w:pPr>
      <w:bookmarkStart w:id="0" w:name="introduction"/>
      <w:r>
        <w:rPr/>
        <w:t>Introduction</w:t>
      </w:r>
    </w:p>
    <w:p>
      <w:pPr>
        <w:pStyle w:val="Normal"/>
        <w:rPr/>
      </w:pPr>
      <w:r>
        <w:rPr/>
        <w:t>This presentation covers the fundamentals of the critical federal statutes governing claims of unlawful discrimination in employment based on factors such as race, color, religion, sex, national origin, gender, age and disability — Title VII,</w:t>
      </w:r>
      <w:r>
        <w:rPr>
          <w:rStyle w:val="FootnoteReference"/>
        </w:rPr>
        <w:footnoteReference w:id="2"/>
      </w:r>
      <w:r>
        <w:rPr/>
        <w:t xml:space="preserve"> the Age Discrimination in Employment Act of 1967 (ADEA),</w:t>
      </w:r>
      <w:r>
        <w:rPr>
          <w:rStyle w:val="FootnoteReference"/>
        </w:rPr>
        <w:footnoteReference w:id="3"/>
      </w:r>
      <w:r>
        <w:rPr/>
        <w:t xml:space="preserve"> the Americans with Disabilities Act (ADA),</w:t>
      </w:r>
      <w:r>
        <w:rPr>
          <w:rStyle w:val="FootnoteReference"/>
        </w:rPr>
        <w:footnoteReference w:id="4"/>
      </w:r>
      <w:r>
        <w:rPr/>
        <w:t xml:space="preserve"> and related federal statute</w:t>
      </w:r>
      <w:bookmarkEnd w:id="0"/>
      <w:r>
        <w:rPr/>
        <w:t>s.</w:t>
      </w:r>
    </w:p>
    <w:p>
      <w:pPr>
        <w:pStyle w:val="Heading1"/>
        <w:numPr>
          <w:ilvl w:val="0"/>
          <w:numId w:val="10"/>
        </w:numPr>
        <w:rPr/>
      </w:pPr>
      <w:bookmarkStart w:id="1" w:name="statutory-coverage"/>
      <w:r>
        <w:rPr/>
        <w:t>Statutory Coverage</w:t>
      </w:r>
    </w:p>
    <w:p>
      <w:pPr>
        <w:pStyle w:val="Heading2"/>
        <w:numPr>
          <w:ilvl w:val="1"/>
          <w:numId w:val="10"/>
        </w:numPr>
        <w:rPr/>
      </w:pPr>
      <w:bookmarkStart w:id="2" w:name="employees"/>
      <w:r>
        <w:rPr/>
        <w:t>Employees</w:t>
      </w:r>
    </w:p>
    <w:p>
      <w:pPr>
        <w:pStyle w:val="Normal"/>
        <w:rPr/>
      </w:pPr>
      <w:r>
        <w:rPr/>
        <w:t>The statutory definitions of “employee” under Title VII,</w:t>
      </w:r>
      <w:r>
        <w:rPr>
          <w:rStyle w:val="FootnoteReference"/>
        </w:rPr>
        <w:footnoteReference w:id="5"/>
      </w:r>
      <w:r>
        <w:rPr/>
        <w:t xml:space="preserve"> the ADEA,</w:t>
      </w:r>
      <w:r>
        <w:rPr>
          <w:rStyle w:val="FootnoteReference"/>
        </w:rPr>
        <w:footnoteReference w:id="6"/>
      </w:r>
      <w:r>
        <w:rPr/>
        <w:t xml:space="preserve"> and the ADA</w:t>
      </w:r>
      <w:r>
        <w:rPr>
          <w:rStyle w:val="FootnoteReference"/>
        </w:rPr>
        <w:footnoteReference w:id="7"/>
      </w:r>
      <w:r>
        <w:rPr/>
        <w:t xml:space="preserve"> are “completely circular and explain[ ] nothing”.</w:t>
      </w:r>
      <w:r>
        <w:rPr>
          <w:rStyle w:val="FootnoteReference"/>
        </w:rPr>
        <w:footnoteReference w:id="8"/>
      </w:r>
      <w:r>
        <w:rPr/>
        <w:t xml:space="preserve"> Courts generally apply a common law agency test of employee status, focusing on “whether the employer controls the means and manner of the worker’s work performance.”</w:t>
      </w:r>
      <w:r>
        <w:rPr>
          <w:rStyle w:val="FootnoteReference"/>
        </w:rPr>
        <w:footnoteReference w:id="9"/>
      </w:r>
      <w:bookmarkEnd w:id="2"/>
    </w:p>
    <w:p>
      <w:pPr>
        <w:pStyle w:val="Heading2"/>
        <w:numPr>
          <w:ilvl w:val="1"/>
          <w:numId w:val="10"/>
        </w:numPr>
        <w:rPr/>
      </w:pPr>
      <w:bookmarkStart w:id="3" w:name="employers"/>
      <w:r>
        <w:rPr/>
        <w:t>Employers</w:t>
      </w:r>
    </w:p>
    <w:p>
      <w:pPr>
        <w:pStyle w:val="Normal"/>
        <w:rPr/>
      </w:pPr>
      <w:r>
        <w:rPr/>
        <w:t>The statutes define an “employer” as “a person engaged in an industry affecting commerce”, including “any agent of such person”.</w:t>
      </w:r>
      <w:r>
        <w:rPr>
          <w:rStyle w:val="FootnoteReference"/>
        </w:rPr>
        <w:footnoteReference w:id="10"/>
      </w:r>
      <w:r>
        <w:rPr/>
        <w:t xml:space="preserve"> Under each statute, coverage as an employer also requires a minimum number of employees–15 for Title VII</w:t>
      </w:r>
      <w:r>
        <w:rPr>
          <w:rStyle w:val="FootnoteReference"/>
        </w:rPr>
        <w:footnoteReference w:id="11"/>
      </w:r>
      <w:r>
        <w:rPr/>
        <w:t xml:space="preserve"> and the ADA</w:t>
      </w:r>
      <w:r>
        <w:rPr>
          <w:rStyle w:val="FootnoteReference"/>
        </w:rPr>
        <w:footnoteReference w:id="12"/>
      </w:r>
      <w:r>
        <w:rPr/>
        <w:t>, 20 for the ADEA</w:t>
      </w:r>
      <w:r>
        <w:rPr>
          <w:rStyle w:val="FootnoteReference"/>
        </w:rPr>
        <w:footnoteReference w:id="13"/>
      </w:r>
      <w:r>
        <w:rPr/>
        <w:t>–“for each working day in each of twenty or more calendar weeks in the current or preceding calendar year”.</w:t>
      </w:r>
      <w:r>
        <w:rPr>
          <w:rStyle w:val="FootnoteReference"/>
        </w:rPr>
        <w:footnoteReference w:id="14"/>
      </w:r>
    </w:p>
    <w:p>
      <w:pPr>
        <w:pStyle w:val="BodyText"/>
        <w:rPr/>
      </w:pPr>
      <w:r>
        <w:rPr/>
        <w:t>Under a “joint-employer” theory, “two parties can be considered joint employers and therefore both be liable under Title VII if they share or co-determine those matters governing the essential terms and conditions of employment.”</w:t>
      </w:r>
      <w:r>
        <w:rPr>
          <w:rStyle w:val="FootnoteReference"/>
        </w:rPr>
        <w:footnoteReference w:id="15"/>
      </w:r>
      <w:r>
        <w:rPr/>
        <w:t xml:space="preserve"> The 4th Circuit has adopted a “hybrid test” based on these factors:</w:t>
      </w:r>
    </w:p>
    <w:p>
      <w:pPr>
        <w:pStyle w:val="BlockText"/>
        <w:rPr/>
      </w:pPr>
      <w:r>
        <w:rPr/>
        <w:t>(1) authority to hire and fire the individual;</w:t>
      </w:r>
    </w:p>
    <w:p>
      <w:pPr>
        <w:pStyle w:val="BlockText"/>
        <w:rPr/>
      </w:pPr>
      <w:r>
        <w:rPr/>
        <w:t>(2) day-to-day supervision of the individual, including employee discipline;</w:t>
      </w:r>
    </w:p>
    <w:p>
      <w:pPr>
        <w:pStyle w:val="BlockText"/>
        <w:rPr/>
      </w:pPr>
      <w:r>
        <w:rPr/>
        <w:t>(3) whether the putative employer furnishes the equipment used and the place of work;</w:t>
      </w:r>
    </w:p>
    <w:p>
      <w:pPr>
        <w:pStyle w:val="BlockText"/>
        <w:rPr/>
      </w:pPr>
      <w:r>
        <w:rPr/>
        <w:t>(4) possession of and responsibility over the individual’s employment records, including payroll, insurance, and taxes;</w:t>
      </w:r>
    </w:p>
    <w:p>
      <w:pPr>
        <w:pStyle w:val="BlockText"/>
        <w:rPr/>
      </w:pPr>
      <w:r>
        <w:rPr/>
        <w:t>(5) the length of time during which the individual has worked for the putative employer;</w:t>
      </w:r>
    </w:p>
    <w:p>
      <w:pPr>
        <w:pStyle w:val="BlockText"/>
        <w:rPr/>
      </w:pPr>
      <w:r>
        <w:rPr/>
        <w:t>(6) whether the putative employer provides the individual with formal or informal training;</w:t>
      </w:r>
    </w:p>
    <w:p>
      <w:pPr>
        <w:pStyle w:val="BlockText"/>
        <w:rPr/>
      </w:pPr>
      <w:r>
        <w:rPr/>
        <w:t>(7) whether the individual’s duties are akin to a regular employee’s duties;</w:t>
      </w:r>
    </w:p>
    <w:p>
      <w:pPr>
        <w:pStyle w:val="BlockText"/>
        <w:rPr/>
      </w:pPr>
      <w:r>
        <w:rPr/>
        <w:t>(8) whether the individual is assigned solely to the putative employer; and</w:t>
      </w:r>
    </w:p>
    <w:p>
      <w:pPr>
        <w:pStyle w:val="BlockText"/>
        <w:rPr/>
      </w:pPr>
      <w:r>
        <w:rPr/>
        <w:t>(9) whether the individual and putative employer intended to enter into an employment relationship.</w:t>
      </w:r>
      <w:r>
        <w:rPr>
          <w:rStyle w:val="FootnoteReference"/>
        </w:rPr>
        <w:footnoteReference w:id="16"/>
      </w:r>
    </w:p>
    <w:p>
      <w:pPr>
        <w:pStyle w:val="BlockText"/>
        <w:rPr/>
      </w:pPr>
      <w:r>
        <w:rPr/>
      </w:r>
    </w:p>
    <w:p>
      <w:pPr>
        <w:pStyle w:val="Normal"/>
        <w:rPr/>
      </w:pPr>
      <w:r>
        <w:rPr/>
        <w:t>Under this test, “none of these factors are dispositive and […] the common-law element of control remains the ‘principal guidepost’ in the analysis.”</w:t>
      </w:r>
      <w:r>
        <w:rPr>
          <w:rStyle w:val="FootnoteReference"/>
        </w:rPr>
        <w:footnoteReference w:id="17"/>
      </w:r>
      <w:r>
        <w:rPr/>
        <w:t xml:space="preserve"> In applying the test, “courts can modify the factors to the specific industry context.”</w:t>
      </w:r>
      <w:r>
        <w:rPr>
          <w:rStyle w:val="FootnoteReference"/>
        </w:rPr>
        <w:footnoteReference w:id="18"/>
      </w:r>
      <w:bookmarkEnd w:id="1"/>
      <w:bookmarkEnd w:id="3"/>
    </w:p>
    <w:p>
      <w:pPr>
        <w:pStyle w:val="Heading1"/>
        <w:numPr>
          <w:ilvl w:val="0"/>
          <w:numId w:val="10"/>
        </w:numPr>
        <w:rPr/>
      </w:pPr>
      <w:bookmarkStart w:id="4" w:name="scope-of-protection"/>
      <w:r>
        <w:rPr/>
        <w:t>Scope of Protection</w:t>
      </w:r>
    </w:p>
    <w:p>
      <w:pPr>
        <w:pStyle w:val="Normal"/>
        <w:rPr/>
      </w:pPr>
      <w:r>
        <w:rPr/>
        <w:t>Each statute prohibits discrimination based on certain specified employee characteristics.</w:t>
      </w:r>
    </w:p>
    <w:p>
      <w:pPr>
        <w:pStyle w:val="Heading2"/>
        <w:numPr>
          <w:ilvl w:val="1"/>
          <w:numId w:val="10"/>
        </w:numPr>
        <w:rPr/>
      </w:pPr>
      <w:bookmarkStart w:id="5" w:name="title-vii"/>
      <w:r>
        <w:rPr/>
        <w:t>Title VII</w:t>
      </w:r>
    </w:p>
    <w:p>
      <w:pPr>
        <w:pStyle w:val="Normal"/>
        <w:rPr/>
      </w:pPr>
      <w:r>
        <w:rPr>
          <w:i/>
          <w:iCs/>
        </w:rPr>
        <w:t>§ 2000e-2 - Unlawful employment practices</w:t>
      </w:r>
      <w:r>
        <w:rPr>
          <w:rStyle w:val="FootnoteReference"/>
        </w:rPr>
        <w:footnoteReference w:id="19"/>
      </w:r>
    </w:p>
    <w:p>
      <w:pPr>
        <w:pStyle w:val="BlockText"/>
        <w:rPr/>
      </w:pPr>
      <w:r>
        <w:rPr/>
        <w:t>(a) Employer practices</w:t>
      </w:r>
    </w:p>
    <w:p>
      <w:pPr>
        <w:pStyle w:val="BlockText"/>
        <w:rPr/>
      </w:pPr>
      <w:r>
        <w:rPr/>
        <w:t>It shall be an unlawful employment practice for an employer—</w:t>
      </w:r>
    </w:p>
    <w:p>
      <w:pPr>
        <w:pStyle w:val="BlockText"/>
        <w:ind w:hanging="0" w:left="1286" w:right="720"/>
        <w:rPr/>
      </w:pPr>
      <w:r>
        <w:rPr/>
        <w:t>(1) to fail or refuse to hire or to discharge any individual, or otherwise to discriminate against any individual with respect to his compensation, terms, conditions, or privileges of employment, because of such individual’s race, color, religion, sex, or national origin; or</w:t>
      </w:r>
    </w:p>
    <w:p>
      <w:pPr>
        <w:pStyle w:val="BlockText"/>
        <w:ind w:hanging="0" w:left="1286" w:right="720"/>
        <w:rPr/>
      </w:pPr>
      <w:r>
        <w:rPr/>
        <w:t>(2) to limit, segregate, or classify his employees or applicants for employment in any way which would deprive or tend to deprive any individual of employment opportunities or otherwise adversely affect his status as an employee, because of such individual’s race, color, religion, sex, or national origin.</w:t>
      </w:r>
    </w:p>
    <w:p>
      <w:pPr>
        <w:pStyle w:val="Normal"/>
        <w:rPr/>
      </w:pPr>
      <w:r>
        <w:rPr>
          <w:i/>
          <w:iCs/>
        </w:rPr>
        <w:t>§ 2000e - Definitions</w:t>
      </w:r>
      <w:r>
        <w:rPr>
          <w:rStyle w:val="FootnoteReference"/>
        </w:rPr>
        <w:footnoteReference w:id="20"/>
      </w:r>
    </w:p>
    <w:p>
      <w:pPr>
        <w:pStyle w:val="BlockText"/>
        <w:rPr/>
      </w:pPr>
      <w:r>
        <w:rPr/>
        <w:t>(j) The term “religion” includes all aspects of religious observance and practice, as well as belief, unless an employer demonstrates that he is unable to reasonably accommodate to an employee’s or prospective employee’s religious observance or practice without undue hardship on the conduct of the employer’s business.</w:t>
      </w:r>
    </w:p>
    <w:p>
      <w:pPr>
        <w:pStyle w:val="BlockText"/>
        <w:rPr/>
      </w:pPr>
      <w:r>
        <w:rPr/>
        <w:t>(k) The terms “because of sex” or “on the basis of sex” include, but are not limited to, because of or on the basis of pregnancy, childbirth, or related medical conditions; and women affected by pregnancy, childbirth, or related medical conditions shall be treated the same for all employment-related purposes, including receipt of benefits under fringe benefit programs, as other persons not so affected but similar in their ability or inability to work, and nothing in section 2000e–2(h) of this title shall be interpreted to permit otherwise. This subsection shall not require an employer to pay for health insurance benefits for abortion, except where the life of the mother would be endangered if the fetus were carried to term, or except where medical complications have arisen from an abortion: Provided, That nothing herein shall preclude an employer from providing abortion benefits or otherwise affect bargaining agreements in regard to abortion.</w:t>
      </w:r>
      <w:r>
        <w:rPr>
          <w:rStyle w:val="FootnoteReference"/>
        </w:rPr>
        <w:footnoteReference w:id="21"/>
      </w:r>
      <w:bookmarkEnd w:id="5"/>
    </w:p>
    <w:p>
      <w:pPr>
        <w:pStyle w:val="Heading2"/>
        <w:numPr>
          <w:ilvl w:val="1"/>
          <w:numId w:val="10"/>
        </w:numPr>
        <w:rPr/>
      </w:pPr>
      <w:bookmarkStart w:id="6" w:name="adea"/>
      <w:r>
        <w:rPr/>
        <w:t>ADEA</w:t>
      </w:r>
    </w:p>
    <w:p>
      <w:pPr>
        <w:pStyle w:val="Normal"/>
        <w:rPr/>
      </w:pPr>
      <w:r>
        <w:rPr>
          <w:i/>
          <w:iCs/>
        </w:rPr>
        <w:t>§ 623 - Prohibition of age discrimination</w:t>
      </w:r>
      <w:r>
        <w:rPr>
          <w:rStyle w:val="FootnoteReference"/>
        </w:rPr>
        <w:footnoteReference w:id="22"/>
      </w:r>
    </w:p>
    <w:p>
      <w:pPr>
        <w:pStyle w:val="BlockText"/>
        <w:rPr/>
      </w:pPr>
      <w:r>
        <w:rPr/>
        <w:t>(a) Employer practices</w:t>
      </w:r>
    </w:p>
    <w:p>
      <w:pPr>
        <w:pStyle w:val="BlockText"/>
        <w:rPr/>
      </w:pPr>
      <w:r>
        <w:rPr/>
        <w:t>It shall be unlawful for an employer—</w:t>
      </w:r>
    </w:p>
    <w:p>
      <w:pPr>
        <w:pStyle w:val="BlockText"/>
        <w:ind w:hanging="0" w:left="1286" w:right="720"/>
        <w:rPr/>
      </w:pPr>
      <w:r>
        <w:rPr/>
        <w:t>(1) to fail or refuse to hire or to discharge any individual or otherwise discriminate against any individual with respect to his compensation, terms, conditions, or privileges of employment, because of such individual’s age;</w:t>
      </w:r>
    </w:p>
    <w:p>
      <w:pPr>
        <w:pStyle w:val="BlockText"/>
        <w:ind w:hanging="0" w:left="1286" w:right="720"/>
        <w:rPr/>
      </w:pPr>
      <w:r>
        <w:rPr/>
        <w:t>(2) to limit, segregate, or classify his employees in any way which would deprive or tend to deprive any individual of employment opportunities or otherwise adversely affect his status as an employee, because of such individual’s age; or</w:t>
      </w:r>
    </w:p>
    <w:p>
      <w:pPr>
        <w:pStyle w:val="BlockText"/>
        <w:ind w:hanging="0" w:left="1286" w:right="720"/>
        <w:rPr/>
      </w:pPr>
      <w:r>
        <w:rPr/>
        <w:t>(3) to reduce the wage rate of any employee in order to comply with this chapter.</w:t>
      </w:r>
    </w:p>
    <w:p>
      <w:pPr>
        <w:pStyle w:val="Normal"/>
        <w:rPr/>
      </w:pPr>
      <w:r>
        <w:rPr/>
        <w:t>Protection under the ADEA is “limited to individuals who are at least 40 years of age.”</w:t>
      </w:r>
      <w:r>
        <w:rPr>
          <w:rStyle w:val="FootnoteReference"/>
        </w:rPr>
        <w:footnoteReference w:id="23"/>
      </w:r>
      <w:bookmarkEnd w:id="6"/>
    </w:p>
    <w:p>
      <w:pPr>
        <w:pStyle w:val="Heading2"/>
        <w:numPr>
          <w:ilvl w:val="1"/>
          <w:numId w:val="10"/>
        </w:numPr>
        <w:rPr/>
      </w:pPr>
      <w:bookmarkStart w:id="7" w:name="ada"/>
      <w:r>
        <w:rPr/>
        <w:t>ADA</w:t>
      </w:r>
    </w:p>
    <w:p>
      <w:pPr>
        <w:pStyle w:val="Normal"/>
        <w:rPr/>
      </w:pPr>
      <w:r>
        <w:rPr>
          <w:i/>
          <w:iCs/>
        </w:rPr>
        <w:t>§ 12112 - Discrimination</w:t>
      </w:r>
      <w:r>
        <w:rPr>
          <w:rStyle w:val="FootnoteReference"/>
        </w:rPr>
        <w:footnoteReference w:id="24"/>
      </w:r>
    </w:p>
    <w:p>
      <w:pPr>
        <w:pStyle w:val="BlockText"/>
        <w:rPr/>
      </w:pPr>
      <w:r>
        <w:rPr/>
        <w:t>(a) General rule</w:t>
      </w:r>
    </w:p>
    <w:p>
      <w:pPr>
        <w:pStyle w:val="BlockText"/>
        <w:rPr/>
      </w:pPr>
      <w:r>
        <w:rPr/>
        <w:t>No covered entity shall discriminate against a qualified individual on the basis of disability in regard to job application procedures, the hiring, advancement, or discharge of employees, employee compensation, job training, and other terms, conditions, and privileges of employment.</w:t>
      </w:r>
    </w:p>
    <w:p>
      <w:pPr>
        <w:pStyle w:val="BlockText"/>
        <w:rPr/>
      </w:pPr>
      <w:r>
        <w:rPr/>
        <w:t>(b) Construction</w:t>
      </w:r>
    </w:p>
    <w:p>
      <w:pPr>
        <w:pStyle w:val="BlockText"/>
        <w:rPr/>
      </w:pPr>
      <w:r>
        <w:rPr/>
        <w:t>As used in subsection (a), the term “discriminate against a qualified individual on the basis of disability” includes—</w:t>
      </w:r>
    </w:p>
    <w:p>
      <w:pPr>
        <w:pStyle w:val="BlockText"/>
        <w:ind w:hanging="0" w:left="1286" w:right="720"/>
        <w:rPr/>
      </w:pPr>
      <w:r>
        <w:rPr/>
        <w:t>(1) limiting, segregating, or classifying a job applicant or employee in a way that adversely affects the opportunities or status of such applicant or employee because of the disability of such applicant or employee;</w:t>
      </w:r>
    </w:p>
    <w:p>
      <w:pPr>
        <w:pStyle w:val="BlockText"/>
        <w:ind w:hanging="0" w:left="1286" w:right="720"/>
        <w:rPr/>
      </w:pPr>
      <w:r>
        <w:rPr/>
        <w:t>(2) participating in a contractual or other arrangement or relationship that has the effect of subjecting a covered entity’s qualified applicant or employee with a disability to the discrimination prohibited by this subchapter (such relationship includes a relationship with an employment or referral agency, labor union, an organization providing fringe benefits to an employee of the covered entity, or an organization providing training and apprenticeship programs);</w:t>
      </w:r>
    </w:p>
    <w:p>
      <w:pPr>
        <w:pStyle w:val="BlockText"/>
        <w:ind w:hanging="0" w:left="1286" w:right="720"/>
        <w:rPr/>
      </w:pPr>
      <w:r>
        <w:rPr/>
        <w:t>(3) utilizing standards, criteria, or methods of administration—</w:t>
      </w:r>
    </w:p>
    <w:p>
      <w:pPr>
        <w:pStyle w:val="BlockText"/>
        <w:ind w:hanging="0" w:left="1929" w:right="720"/>
        <w:rPr/>
      </w:pPr>
      <w:r>
        <w:rPr/>
        <w:t>(A) that have the effect of discrimination on the basis of disability; or</w:t>
      </w:r>
    </w:p>
    <w:p>
      <w:pPr>
        <w:pStyle w:val="BlockText"/>
        <w:ind w:hanging="0" w:left="1929" w:right="720"/>
        <w:rPr/>
      </w:pPr>
      <w:r>
        <w:rPr/>
        <w:t>(B) that perpetuate the discrimination of others who are subject to common administrative control;</w:t>
      </w:r>
    </w:p>
    <w:p>
      <w:pPr>
        <w:pStyle w:val="BlockText"/>
        <w:ind w:hanging="0" w:left="1286" w:right="720"/>
        <w:rPr/>
      </w:pPr>
      <w:r>
        <w:rPr/>
        <w:t>(4) excluding or otherwise denying equal jobs or benefits to a qualified individual because of the known disability of an individual with whom the qualified individual is known to have a relationship or association;</w:t>
      </w:r>
    </w:p>
    <w:p>
      <w:pPr>
        <w:pStyle w:val="BlockText"/>
        <w:ind w:hanging="0" w:left="1286" w:right="720"/>
        <w:rPr/>
      </w:pPr>
      <w:r>
        <w:rPr/>
        <w:t>(5) (A)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 or</w:t>
      </w:r>
    </w:p>
    <w:p>
      <w:pPr>
        <w:pStyle w:val="BlockText"/>
        <w:ind w:hanging="0" w:left="1929" w:right="720"/>
        <w:rPr/>
      </w:pPr>
      <w:r>
        <w:rPr/>
        <w:t>(B) denying employment opportunities to a job applicant or employee who is an otherwise qualified individual with a disability, if such denial is based on the need of such covered entity to make reasonable accommodation to the physical or mental impairments of the employee or applicant;</w:t>
      </w:r>
    </w:p>
    <w:p>
      <w:pPr>
        <w:pStyle w:val="BlockText"/>
        <w:ind w:hanging="0" w:left="1286" w:right="720"/>
        <w:rPr/>
      </w:pPr>
      <w:r>
        <w:rPr/>
        <w:t>(6) using qualification standards, employment tests or other selection criteria that screen out or tend to screen out an individual with a disability or a class of individuals with disabilities unless the standard, test or other selection criteria, as used by the covered entity, is shown to be job-related for the position in question and is consistent with business necessity; and</w:t>
      </w:r>
    </w:p>
    <w:p>
      <w:pPr>
        <w:pStyle w:val="BlockText"/>
        <w:ind w:hanging="0" w:left="1286" w:right="720"/>
        <w:rPr/>
      </w:pPr>
      <w:r>
        <w:rPr/>
        <w:t>(7) failing to select and administer tests concerning employment in the most effective manner to ensure that, when such test is administered to a job applicant or employee who has a disability that impairs sensory, manual, or speaking skills, such test results accurately reflect the skills, aptitude, or whatever other factor of such applicant or employee that such test purports to measure, rather than reflecting the impaired sensory, manual, or speaking skills of such employee or applicant (except where such skills are the factors that the test purports to measure).</w:t>
      </w:r>
    </w:p>
    <w:p>
      <w:pPr>
        <w:pStyle w:val="Normal"/>
        <w:rPr/>
      </w:pPr>
      <w:r>
        <w:rPr/>
        <w:t>A “qualified individual” is one “who, with or without reasonable accommodation, can perform the essential functions of the employment position that such individual holds or desires.”</w:t>
      </w:r>
      <w:r>
        <w:rPr>
          <w:rStyle w:val="FootnoteReference"/>
        </w:rPr>
        <w:footnoteReference w:id="25"/>
      </w:r>
      <w:bookmarkEnd w:id="4"/>
      <w:bookmarkEnd w:id="7"/>
    </w:p>
    <w:p>
      <w:pPr>
        <w:pStyle w:val="Heading1"/>
        <w:numPr>
          <w:ilvl w:val="0"/>
          <w:numId w:val="10"/>
        </w:numPr>
        <w:rPr/>
      </w:pPr>
      <w:bookmarkStart w:id="8" w:name="discrimination"/>
      <w:r>
        <w:rPr/>
        <w:t>Discrimination</w:t>
      </w:r>
    </w:p>
    <w:p>
      <w:pPr>
        <w:pStyle w:val="Normal"/>
        <w:rPr/>
      </w:pPr>
      <w:r>
        <w:rPr/>
        <w:t>The statutes prohibit discrimination in all aspects of employment, including recruitment and selection criteria, hiring, job assignments, promotions, pay and benefits, discipline and discharge, and other terms and conditions of employment.</w:t>
      </w:r>
    </w:p>
    <w:p>
      <w:pPr>
        <w:pStyle w:val="Heading2"/>
        <w:numPr>
          <w:ilvl w:val="1"/>
          <w:numId w:val="10"/>
        </w:numPr>
        <w:rPr/>
      </w:pPr>
      <w:r>
        <w:rPr/>
        <w:t>Disparate Treatment</w:t>
      </w:r>
    </w:p>
    <w:p>
      <w:pPr>
        <w:pStyle w:val="Normal"/>
        <w:rPr/>
      </w:pPr>
      <w:r>
        <w:rPr/>
        <w:t>“‘</w:t>
      </w:r>
      <w:r>
        <w:rPr/>
        <w:t>Disparate treatment’ […] is the most easily understood type of discrimination. The employer simply treats some people less favorably than others because of their race, color, religion, sex, or national origin. Proof of discriminatory motive is critical, although it can in some situations be inferred from the mere fact of differences in treatment.”</w:t>
      </w:r>
      <w:r>
        <w:rPr>
          <w:rStyle w:val="FootnoteReference"/>
        </w:rPr>
        <w:footnoteReference w:id="26"/>
      </w:r>
      <w:r>
        <w:rPr/>
        <w:t xml:space="preserve"> “In a disparate treatment case, liability depends on whether the protected trait […] actually motivated the employer’s decision.”</w:t>
      </w:r>
      <w:r>
        <w:rPr>
          <w:rStyle w:val="FootnoteReference"/>
        </w:rPr>
        <w:footnoteReference w:id="27"/>
      </w:r>
      <w:r>
        <w:rPr/>
        <w:t xml:space="preserve"> Claims are analyzed under the burden-shifting framework established in </w:t>
      </w:r>
      <w:r>
        <w:rPr>
          <w:i/>
          <w:iCs/>
        </w:rPr>
        <w:t>McDonnell Douglas Corp. v. Green</w:t>
      </w:r>
      <w:r>
        <w:rPr/>
        <w:t>:</w:t>
      </w:r>
      <w:r>
        <w:rPr>
          <w:rStyle w:val="FootnoteReference"/>
        </w:rPr>
        <w:footnoteReference w:id="28"/>
      </w:r>
    </w:p>
    <w:p>
      <w:pPr>
        <w:pStyle w:val="BlockText"/>
        <w:rPr/>
      </w:pPr>
      <w:r>
        <w:rPr/>
        <w:t xml:space="preserve">The complainant in a Title VII trial must carry the initial burden under the statute </w:t>
      </w:r>
    </w:p>
    <w:p>
      <w:pPr>
        <w:pStyle w:val="BlockText"/>
        <w:rPr/>
      </w:pPr>
      <w:r>
        <w:rPr/>
        <w:t>of establishing a prima facie case of racial discrimination. This may be done by showing (i) that he belongs to a racial minority; (ii) that he applied and was qualified for a job for which the employer was seeking applicants; (iii) that, despite his qualifications, he was rejected; and (iv) that, after his rejection, the position remained open and the employer continued to seek applicants from persons of complainant’s qualifications.</w:t>
      </w:r>
    </w:p>
    <w:p>
      <w:pPr>
        <w:pStyle w:val="BlockText"/>
        <w:rPr/>
      </w:pPr>
      <w:bookmarkStart w:id="9" w:name="disparate-treatment"/>
      <w:r>
        <w:rPr/>
        <w:t>The burden then must shift to the employer to articulate some legitimate, nondiscriminatory reason for the employee’s rejection.</w:t>
      </w:r>
      <w:bookmarkEnd w:id="9"/>
    </w:p>
    <w:p>
      <w:pPr>
        <w:pStyle w:val="BlockText"/>
        <w:rPr/>
      </w:pPr>
      <w:r>
        <w:rPr/>
      </w:r>
    </w:p>
    <w:p>
      <w:pPr>
        <w:pStyle w:val="Heading2"/>
        <w:numPr>
          <w:ilvl w:val="1"/>
          <w:numId w:val="10"/>
        </w:numPr>
        <w:rPr/>
      </w:pPr>
      <w:bookmarkStart w:id="10" w:name="disparate-impact"/>
      <w:r>
        <w:rPr/>
        <w:t>Disparate Impact</w:t>
      </w:r>
    </w:p>
    <w:p>
      <w:pPr>
        <w:pStyle w:val="Normal"/>
        <w:rPr/>
      </w:pPr>
      <w:r>
        <w:rPr/>
        <w:t>Disparate impact claims “involve employment practices that are facially neutral in their treatment of different groups but that in fact fall more harshly on one group than another and cannot be justified by business necessity. Proof of discriminatory motive […] is not required under a disparate-impact theory.”</w:t>
      </w:r>
      <w:r>
        <w:rPr>
          <w:rStyle w:val="FootnoteReference"/>
        </w:rPr>
        <w:footnoteReference w:id="29"/>
      </w:r>
      <w:r>
        <w:rPr/>
        <w:t xml:space="preserve"> Title VII defines the burden of proof in disparate impact cases:</w:t>
      </w:r>
      <w:r>
        <w:rPr>
          <w:rStyle w:val="FootnoteReference"/>
        </w:rPr>
        <w:footnoteReference w:id="30"/>
      </w:r>
    </w:p>
    <w:p>
      <w:pPr>
        <w:pStyle w:val="BlockText"/>
        <w:rPr/>
      </w:pPr>
      <w:r>
        <w:rPr/>
        <w:t>(1)(A) An unlawful employment practice based on disparate impact is established under this subchapter only if–</w:t>
      </w:r>
    </w:p>
    <w:p>
      <w:pPr>
        <w:pStyle w:val="BlockText"/>
        <w:ind w:hanging="0" w:left="1929" w:right="720"/>
        <w:rPr/>
      </w:pPr>
      <w:r>
        <w:rPr/>
        <w:t>(i) a complaining party demonstrates that a respondent uses a particular employment practice that causes a disparate impact on the basis of race, color, religion, sex, or national origin and the respondent fails to demonstrate that the challenged practice is job related for the position in question and consistent with business necessity; or</w:t>
      </w:r>
    </w:p>
    <w:p>
      <w:pPr>
        <w:pStyle w:val="BlockText"/>
        <w:ind w:hanging="0" w:left="1929" w:right="720"/>
        <w:rPr/>
      </w:pPr>
      <w:r>
        <w:rPr/>
        <w:t>(ii) the complaining party makes the demonstration described in subparagraph (C) with respect to an alternative employment practice and the respondent refuses to adopt such alternative employment practice.</w:t>
      </w:r>
    </w:p>
    <w:p>
      <w:pPr>
        <w:pStyle w:val="BlockText"/>
        <w:ind w:hanging="0" w:left="1286" w:right="720"/>
        <w:rPr/>
      </w:pPr>
      <w:r>
        <w:rPr/>
        <w:t xml:space="preserve">(B)(i) With respect to demonstrating that a particular employment practice causes a disparate impact as described in subparagraph (A)(i), the complaining party shall demonstrate that each particular challenged employment practice causes a disparate impact, except that if the complaining party can demonstrate to the court that the elements of a respondent’s decision making process are not capable of separation for analysis, the decision making process may be analyzed as one employment practice. </w:t>
      </w:r>
    </w:p>
    <w:p>
      <w:pPr>
        <w:pStyle w:val="BlockText"/>
        <w:ind w:hanging="0" w:left="1929" w:right="720"/>
        <w:rPr/>
      </w:pPr>
      <w:r>
        <w:rPr/>
        <w:t>(ii) If the respondent demonstrates that a specific employment practice does not cause the disparate impact, the respondent shall not be required to demonstrate that such practice is required by business necessity.</w:t>
      </w:r>
    </w:p>
    <w:p>
      <w:pPr>
        <w:pStyle w:val="BlockText"/>
        <w:ind w:hanging="0" w:left="1286" w:right="720"/>
        <w:rPr/>
      </w:pPr>
      <w:r>
        <w:rPr/>
        <w:t xml:space="preserve">(C) The demonstration referred to by subparagraph (A)(ii) shall be in accordance with the law as it existed on June 4, 1989, with respect to the concept of “alternative employment practice”. </w:t>
      </w:r>
    </w:p>
    <w:p>
      <w:pPr>
        <w:pStyle w:val="BlockText"/>
        <w:ind w:hanging="0" w:left="643" w:right="720"/>
        <w:rPr/>
      </w:pPr>
      <w:r>
        <w:rPr/>
        <w:t>(2) A demonstration that an employment practice is required by business necessity may not be used as a defense against a claim of intentional discrimination under this subchapter.</w:t>
      </w:r>
    </w:p>
    <w:p>
      <w:pPr>
        <w:pStyle w:val="Normal"/>
        <w:rPr/>
      </w:pPr>
      <w:r>
        <w:rPr/>
        <w:t>Disparate impact claims are likewise recognized under the ADEA</w:t>
      </w:r>
      <w:r>
        <w:rPr>
          <w:rStyle w:val="FootnoteReference"/>
        </w:rPr>
        <w:footnoteReference w:id="31"/>
      </w:r>
      <w:r>
        <w:rPr/>
        <w:t xml:space="preserve"> and ADA.</w:t>
      </w:r>
      <w:r>
        <w:rPr>
          <w:rStyle w:val="FootnoteReference"/>
        </w:rPr>
        <w:footnoteReference w:id="32"/>
      </w:r>
      <w:r>
        <w:rPr/>
        <w:t xml:space="preserve"> The ADA expressly prohibits the use of “standards, criteria, or methods of administration that have the effect of discrimination on the basis of disability”,</w:t>
      </w:r>
      <w:r>
        <w:rPr>
          <w:rStyle w:val="FootnoteReference"/>
        </w:rPr>
        <w:footnoteReference w:id="33"/>
      </w:r>
      <w:r>
        <w:rPr/>
        <w:t xml:space="preserve"> or “qualification standards, employment tests or other selection criteria that screen out or tend to screen out an individual with a disability or a class of individuals with disabilities unless the standard, test or other selection criteria, as used by the covered entity, is shown to be job-related for the position in question and is consistent with business necessity.”</w:t>
      </w:r>
      <w:r>
        <w:rPr>
          <w:rStyle w:val="FootnoteReference"/>
        </w:rPr>
        <w:footnoteReference w:id="34"/>
      </w:r>
      <w:bookmarkEnd w:id="10"/>
    </w:p>
    <w:p>
      <w:pPr>
        <w:pStyle w:val="Heading2"/>
        <w:numPr>
          <w:ilvl w:val="1"/>
          <w:numId w:val="10"/>
        </w:numPr>
        <w:rPr/>
      </w:pPr>
      <w:bookmarkStart w:id="11" w:name="harassment"/>
      <w:r>
        <w:rPr/>
        <w:t>Harassment</w:t>
      </w:r>
    </w:p>
    <w:p>
      <w:pPr>
        <w:pStyle w:val="Normal"/>
        <w:rPr/>
      </w:pPr>
      <w:r>
        <w:rPr/>
        <w:t>The statutory prohibitions against discrimination extend to harassment based on a legally protected characteristic.</w:t>
      </w:r>
      <w:r>
        <w:rPr>
          <w:rStyle w:val="FootnoteReference"/>
        </w:rPr>
        <w:footnoteReference w:id="35"/>
      </w:r>
    </w:p>
    <w:p>
      <w:pPr>
        <w:pStyle w:val="BodyText"/>
        <w:rPr/>
      </w:pPr>
      <w:r>
        <w:rPr/>
        <w:t>Sexual harassment consists of “[u]nwelcome sexual advances, requests for sexual favors, and other verbal or physical conduct of a sexual nature,” where,</w:t>
      </w:r>
    </w:p>
    <w:p>
      <w:pPr>
        <w:pStyle w:val="BlockText"/>
        <w:rPr/>
      </w:pPr>
      <w:r>
        <w:rPr/>
        <w:t>(1) submission to such conduct is made either explicitly or implicitly a term or condition of an individual’s employment,</w:t>
      </w:r>
    </w:p>
    <w:p>
      <w:pPr>
        <w:pStyle w:val="BlockText"/>
        <w:rPr/>
      </w:pPr>
      <w:r>
        <w:rPr/>
        <w:t>(2) submission to or rejection of such conduct by an individual is used as the basis for employment decisions affecting such individual, or</w:t>
      </w:r>
    </w:p>
    <w:p>
      <w:pPr>
        <w:pStyle w:val="BlockText"/>
        <w:rPr/>
      </w:pPr>
      <w:r>
        <w:rPr/>
        <w:t>(3) such conduct has the purpose or effect of unreasonably interfering with an individual’s work performance or creating an intimidating, hostile, or offensive working environment.</w:t>
      </w:r>
      <w:r>
        <w:rPr>
          <w:rStyle w:val="FootnoteReference"/>
        </w:rPr>
        <w:footnoteReference w:id="36"/>
      </w:r>
    </w:p>
    <w:p>
      <w:pPr>
        <w:pStyle w:val="Normal"/>
        <w:rPr/>
      </w:pPr>
      <w:r>
        <w:rPr/>
        <w:t>Such conduct violates Title VII whether the employee and harasser are of the “same” or “opposite” sex.</w:t>
      </w:r>
      <w:r>
        <w:rPr>
          <w:rStyle w:val="FootnoteReference"/>
        </w:rPr>
        <w:footnoteReference w:id="37"/>
      </w:r>
      <w:r>
        <w:rPr/>
        <w:t xml:space="preserve"> What matters is that the employee was subjected to the conduct because of their sex.</w:t>
      </w:r>
    </w:p>
    <w:p>
      <w:pPr>
        <w:pStyle w:val="BodyText"/>
        <w:rPr/>
      </w:pPr>
      <w:r>
        <w:rPr/>
        <w:t>Two types of sexual harassment have been recognized:</w:t>
      </w:r>
    </w:p>
    <w:p>
      <w:pPr>
        <w:pStyle w:val="BodyText"/>
        <w:rPr/>
      </w:pPr>
      <w:r>
        <w:rPr/>
        <w:t>“</w:t>
      </w:r>
      <w:r>
        <w:rPr>
          <w:i/>
          <w:iCs/>
        </w:rPr>
        <w:t>Quid pro quo</w:t>
      </w:r>
      <w:r>
        <w:rPr/>
        <w:t>” harassment involves “the conditioning of concrete employment benefits on sexual favors”.</w:t>
      </w:r>
      <w:r>
        <w:rPr>
          <w:rStyle w:val="FootnoteReference"/>
        </w:rPr>
        <w:footnoteReference w:id="38"/>
      </w:r>
    </w:p>
    <w:p>
      <w:pPr>
        <w:pStyle w:val="BodyText"/>
        <w:rPr/>
      </w:pPr>
      <w:r>
        <w:rPr/>
        <w:t>“</w:t>
      </w:r>
      <w:r>
        <w:rPr>
          <w:i/>
          <w:iCs/>
        </w:rPr>
        <w:t>Hostile work environment</w:t>
      </w:r>
      <w:r>
        <w:rPr/>
        <w:t>” discrimination consists of “discriminatory intimidation, ridicule, and insult that is sufficiently severe or pervasive to alter the conditions of the victim’s employment and create an abusive working environment.”</w:t>
      </w:r>
      <w:r>
        <w:rPr>
          <w:rStyle w:val="FootnoteReference"/>
        </w:rPr>
        <w:footnoteReference w:id="39"/>
      </w:r>
      <w:r>
        <w:rPr/>
        <w:t xml:space="preserve"> While quid pro quo claims are specific to sexual harassment, hostile work environment claims may be based on any statutorily protected characteristic.</w:t>
      </w:r>
      <w:r>
        <w:rPr>
          <w:rStyle w:val="FootnoteReference"/>
        </w:rPr>
        <w:footnoteReference w:id="40"/>
      </w:r>
    </w:p>
    <w:p>
      <w:pPr>
        <w:pStyle w:val="BlockText"/>
        <w:rPr/>
      </w:pPr>
      <w:r>
        <w:rPr/>
        <w:t xml:space="preserve">To establish a </w:t>
      </w:r>
      <w:r>
        <w:rPr>
          <w:i/>
          <w:iCs/>
        </w:rPr>
        <w:t>prima facie</w:t>
      </w:r>
      <w:r>
        <w:rPr/>
        <w:t xml:space="preserve"> hostile work environment claim, an employee must show the following:</w:t>
      </w:r>
    </w:p>
    <w:p>
      <w:pPr>
        <w:pStyle w:val="BlockText"/>
        <w:numPr>
          <w:ilvl w:val="1"/>
          <w:numId w:val="16"/>
        </w:numPr>
        <w:ind w:hanging="480" w:left="1440" w:right="720"/>
        <w:rPr/>
      </w:pPr>
      <w:r>
        <w:rPr/>
        <w:t>Conduct – the employee was subjected to conduct based on a legally protected characteristic;</w:t>
      </w:r>
    </w:p>
    <w:p>
      <w:pPr>
        <w:pStyle w:val="BlockText"/>
        <w:numPr>
          <w:ilvl w:val="1"/>
          <w:numId w:val="16"/>
        </w:numPr>
        <w:ind w:hanging="480" w:left="1440" w:right="720"/>
        <w:rPr/>
      </w:pPr>
      <w:r>
        <w:rPr/>
        <w:t>Objective hostility – the conduct was either so severe or frequent (it does not have to be both) that a reasonable person in the employee’s position would conclude that the working conditions were abusive;</w:t>
      </w:r>
    </w:p>
    <w:p>
      <w:pPr>
        <w:pStyle w:val="BlockText"/>
        <w:numPr>
          <w:ilvl w:val="1"/>
          <w:numId w:val="16"/>
        </w:numPr>
        <w:ind w:hanging="480" w:left="1440" w:right="720"/>
        <w:rPr/>
      </w:pPr>
      <w:r>
        <w:rPr/>
        <w:t>Subjective hostility – the employee actually found the conduct to be hostile (i.e., the employee did not welcome the conduct); and</w:t>
      </w:r>
    </w:p>
    <w:p>
      <w:pPr>
        <w:pStyle w:val="BlockText"/>
        <w:numPr>
          <w:ilvl w:val="1"/>
          <w:numId w:val="16"/>
        </w:numPr>
        <w:ind w:hanging="480" w:left="1440" w:right="720"/>
        <w:rPr/>
      </w:pPr>
      <w:r>
        <w:rPr/>
        <w:t>Liability – the employer can be held liable for the harassment.</w:t>
      </w:r>
    </w:p>
    <w:p>
      <w:pPr>
        <w:pStyle w:val="BlockText"/>
        <w:rPr/>
      </w:pPr>
      <w:r>
        <w:rPr/>
        <w:t>Whether conduct creates a hostile work environment depends on the totality of the circumstances. Some factors that may be considered include the frequency and severity of the harassing conduct; how physically threatening or humiliating it was; whether and if so, how much, it interfered with the employee’s work performance; whether and if so, how much, psychological harm it caused; and any power disparity between the victim and the harasser.</w:t>
      </w:r>
      <w:r>
        <w:rPr>
          <w:rStyle w:val="FootnoteReference"/>
        </w:rPr>
        <w:footnoteReference w:id="41"/>
      </w:r>
    </w:p>
    <w:p>
      <w:pPr>
        <w:pStyle w:val="Normal"/>
        <w:keepNext w:val="true"/>
        <w:ind w:hanging="0"/>
        <w:rPr/>
      </w:pPr>
      <w:r>
        <w:rPr>
          <w:b/>
          <w:bCs/>
        </w:rPr>
        <w:t>Conduct for Which Employer May Be Liable</w:t>
      </w:r>
    </w:p>
    <w:p>
      <w:pPr>
        <w:pStyle w:val="BodyText"/>
        <w:ind w:hanging="0"/>
        <w:rPr/>
      </w:pPr>
      <w:r>
        <w:rPr>
          <w:i/>
          <w:iCs/>
        </w:rPr>
        <w:t>Harassment by Supervisors</w:t>
      </w:r>
    </w:p>
    <w:p>
      <w:pPr>
        <w:pStyle w:val="BlockText"/>
        <w:ind w:hanging="0" w:left="643" w:right="720"/>
        <w:rPr/>
      </w:pPr>
      <w:r>
        <w:rPr/>
        <w:t>An employer is subject to vicarious liability to a victimized employee for an actionable hostile environment created by a supervisor with immediate (or successively higher) authority over the employee. When no tangible employment action is taken, a defending employer may raise an affirmative defense to liability or damages, subject to proof by a preponderance of the evidence. The defense comprises two necessary elements: (a) that the employer exercised reasonable care to prevent and correct promptly any sexually harassing behavior, and (b) that the plaintiff employee unreasonably failed to take advantage of any preventive or corrective opportunities provided by the employer or to avoid harm otherwise. While proof that an employer had promulgated an anti-harassment policy with complaint procedure is not necessary in every instance as a matter of law, the need for a stated policy suitable to the employment circumstances may appropriately be addressed in any case when litigating the first element of the defense. And while proof that an employee failed to fulfill the corresponding obligation of reasonable care to avoid harm is not limited to showing an unreasonable failure to use any complaint procedure provided by the employer, a demonstration of such failure will normally suffice to satisfy the employer’s burden under the second element of the defense. No affirmative defense is available, however, when the supervisor’s harassment culminates in a tangible employment action, such as discharge, demotion, or undesirable reassignment.</w:t>
      </w:r>
      <w:r>
        <w:rPr>
          <w:rStyle w:val="FootnoteReference"/>
        </w:rPr>
        <w:footnoteReference w:id="42"/>
      </w:r>
    </w:p>
    <w:p>
      <w:pPr>
        <w:pStyle w:val="BlockText"/>
        <w:ind w:hanging="0" w:left="643" w:right="720"/>
        <w:rPr/>
      </w:pPr>
      <w:r>
        <w:rPr/>
      </w:r>
    </w:p>
    <w:p>
      <w:pPr>
        <w:pStyle w:val="Normal"/>
        <w:keepNext w:val="true"/>
        <w:ind w:hanging="0"/>
        <w:rPr/>
      </w:pPr>
      <w:r>
        <w:rPr>
          <w:i/>
          <w:iCs/>
        </w:rPr>
        <w:t>Harassment by Co-Workers</w:t>
      </w:r>
    </w:p>
    <w:p>
      <w:pPr>
        <w:pStyle w:val="BodyText"/>
        <w:rPr/>
      </w:pPr>
      <w:r>
        <w:rPr/>
        <w:t>Employer liability for harassment by non-supervisory employees is “based only on the employer’s negligence in allowing the harassment.”</w:t>
      </w:r>
      <w:r>
        <w:rPr>
          <w:rStyle w:val="FootnoteReference"/>
        </w:rPr>
        <w:footnoteReference w:id="43"/>
      </w:r>
      <w:r>
        <w:rPr/>
        <w:t xml:space="preserve"> “With respect to conduct between fellow employees, an employer is responsible for acts of sexual harassment in the workplace where the employer (or its agents or supervisory employees) knows or should have known of the conduct, unless it can show that it took immediate and appropriate corrective action.”</w:t>
      </w:r>
      <w:r>
        <w:rPr>
          <w:rStyle w:val="FootnoteReference"/>
        </w:rPr>
        <w:footnoteReference w:id="44"/>
      </w:r>
    </w:p>
    <w:p>
      <w:pPr>
        <w:pStyle w:val="BodyText"/>
        <w:keepNext w:val="true"/>
        <w:ind w:hanging="0"/>
        <w:rPr/>
      </w:pPr>
      <w:r>
        <w:rPr>
          <w:i/>
          <w:iCs/>
        </w:rPr>
        <w:t>Harassment by Non-Employees</w:t>
      </w:r>
    </w:p>
    <w:p>
      <w:pPr>
        <w:pStyle w:val="BodyText"/>
        <w:rPr/>
      </w:pPr>
      <w:r>
        <w:rPr/>
        <w:t>Employers are likewise not vicariously liable for harassment by non-employees, such as customers,</w:t>
      </w:r>
      <w:r>
        <w:rPr>
          <w:rStyle w:val="FootnoteReference"/>
        </w:rPr>
        <w:footnoteReference w:id="45"/>
      </w:r>
      <w:r>
        <w:rPr/>
        <w:t xml:space="preserve"> but may be held liable for negligenty failing to take appropriate action in response to harassment by customers or other non-employees of which the employer is or should have been aware.</w:t>
      </w:r>
      <w:r>
        <w:rPr>
          <w:rStyle w:val="FootnoteReference"/>
        </w:rPr>
        <w:footnoteReference w:id="46"/>
      </w:r>
      <w:r>
        <w:rPr/>
        <w:t xml:space="preserve"> However, some courts have recently held that an employer is not liable for third-party harassment unless it “intentionally created or tolerated unequal working conditions.”</w:t>
      </w:r>
      <w:r>
        <w:rPr>
          <w:rStyle w:val="FootnoteReference"/>
        </w:rPr>
        <w:footnoteReference w:id="47"/>
      </w:r>
      <w:bookmarkEnd w:id="11"/>
    </w:p>
    <w:p>
      <w:pPr>
        <w:pStyle w:val="Heading2"/>
        <w:numPr>
          <w:ilvl w:val="1"/>
          <w:numId w:val="10"/>
        </w:numPr>
        <w:rPr/>
      </w:pPr>
      <w:bookmarkStart w:id="12" w:name="reasonable-accommodations"/>
      <w:r>
        <w:rPr/>
        <w:t>Reasonable Accommodations</w:t>
      </w:r>
    </w:p>
    <w:p>
      <w:pPr>
        <w:pStyle w:val="Normal"/>
        <w:rPr/>
      </w:pPr>
      <w:r>
        <w:rPr/>
        <w:t>Under the ADA, employer must “mak[e]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w:t>
      </w:r>
      <w:r>
        <w:rPr>
          <w:rStyle w:val="FootnoteReference"/>
        </w:rPr>
        <w:footnoteReference w:id="48"/>
      </w:r>
      <w:r>
        <w:rPr/>
        <w:t xml:space="preserve"> This may include:</w:t>
      </w:r>
    </w:p>
    <w:p>
      <w:pPr>
        <w:pStyle w:val="BlockText"/>
        <w:rPr/>
      </w:pPr>
      <w:r>
        <w:rPr/>
        <w:t>(A) making existing facilities used by employees readily accessible to and usable by individuals with disabilities; and</w:t>
      </w:r>
    </w:p>
    <w:p>
      <w:pPr>
        <w:pStyle w:val="BlockText"/>
        <w:rPr/>
      </w:pPr>
      <w:r>
        <w:rPr/>
        <w:t>(B) job restructuring, part-time or modified work schedules, reassignment to a vacant position, acquisition or modification of equipment or devices, appropriate adjustment or modifications of examinations, training materials or policies, the provision of qualified readers or interpreters, and other similar accommodations for individuals with disabilities.</w:t>
      </w:r>
      <w:r>
        <w:rPr>
          <w:rStyle w:val="FootnoteReference"/>
        </w:rPr>
        <w:footnoteReference w:id="49"/>
      </w:r>
    </w:p>
    <w:p>
      <w:pPr>
        <w:pStyle w:val="BlockText"/>
        <w:rPr/>
      </w:pPr>
      <w:r>
        <w:rPr/>
      </w:r>
    </w:p>
    <w:p>
      <w:pPr>
        <w:pStyle w:val="Normal"/>
        <w:rPr/>
      </w:pPr>
      <w:r>
        <w:rPr/>
        <w:t>The ADA defines an “undue hardship” as “an action requiring significant difficulty or expense, when considered in light of the[se] factors”:</w:t>
      </w:r>
    </w:p>
    <w:p>
      <w:pPr>
        <w:pStyle w:val="BlockText"/>
        <w:rPr/>
      </w:pPr>
      <w:r>
        <w:rPr/>
        <w:t>(i) the nature and cost of the accommodation needed under this chapter;</w:t>
      </w:r>
    </w:p>
    <w:p>
      <w:pPr>
        <w:pStyle w:val="BlockText"/>
        <w:rPr/>
      </w:pPr>
      <w:r>
        <w:rPr/>
        <w:t>(ii) the overall financial resources of the facility or facilities involved in the provision of the reasonable accommodation; the number of persons employed at such facility; the effect on expenses and resources, or the impact otherwise of such accommodation upon the operation of the facility;</w:t>
      </w:r>
    </w:p>
    <w:p>
      <w:pPr>
        <w:pStyle w:val="BlockText"/>
        <w:rPr/>
      </w:pPr>
      <w:r>
        <w:rPr/>
        <w:t>(iii) the overall financial resources of the covered entity; the overall size of the business of a covered entity with respect to the number of its employees; the number, type, and location of its facilities; and</w:t>
      </w:r>
    </w:p>
    <w:p>
      <w:pPr>
        <w:pStyle w:val="BlockText"/>
        <w:rPr/>
      </w:pPr>
      <w:r>
        <w:rPr/>
        <w:t>(iv) the type of operation or operations of the covered entity, including the composition, structure, and functions of the workforce of such entity; the geographic separateness, administrative, or fiscal relationship of the facility or facilities in question to the covered entity.</w:t>
      </w:r>
      <w:r>
        <w:rPr>
          <w:rStyle w:val="FootnoteReference"/>
        </w:rPr>
        <w:footnoteReference w:id="50"/>
      </w:r>
    </w:p>
    <w:p>
      <w:pPr>
        <w:pStyle w:val="BlockText"/>
        <w:rPr/>
      </w:pPr>
      <w:r>
        <w:rPr/>
      </w:r>
    </w:p>
    <w:p>
      <w:pPr>
        <w:pStyle w:val="Normal"/>
        <w:rPr/>
      </w:pPr>
      <w:r>
        <w:rPr/>
        <w:t>Under Title VII, an employer must “reasonably accommodate to an employee’s or prospective employee’s religious observance or practice,” unless doing so would impose an “undue hardship on the conduct of the employer’s business.</w:t>
      </w:r>
      <w:r>
        <w:rPr>
          <w:rStyle w:val="FootnoteReference"/>
        </w:rPr>
        <w:footnoteReference w:id="51"/>
      </w:r>
      <w:r>
        <w:rPr/>
        <w:t xml:space="preserve"> In this context, an”‘undue hardship’ is shown when a burden is substantial in the overall context of an employer’s business.”</w:t>
      </w:r>
      <w:r>
        <w:rPr>
          <w:rStyle w:val="FootnoteReference"/>
        </w:rPr>
        <w:footnoteReference w:id="52"/>
      </w:r>
    </w:p>
    <w:p>
      <w:pPr>
        <w:pStyle w:val="BodyText"/>
        <w:rPr/>
      </w:pPr>
      <w:r>
        <w:rPr/>
        <w:t>Under the Pregnant Workers Fairness Act, employer must “make reasonable accommodations to the known limitations related to the pregnancy, childbirth, or related medical conditions of a qualified employee, unless such covered entity can demonstrate that the accommodation would impose an undue hardship on the operation of the business of such covered entity”.</w:t>
      </w:r>
      <w:r>
        <w:rPr>
          <w:rStyle w:val="FootnoteReference"/>
        </w:rPr>
        <w:footnoteReference w:id="53"/>
      </w:r>
      <w:bookmarkEnd w:id="12"/>
    </w:p>
    <w:p>
      <w:pPr>
        <w:pStyle w:val="Heading2"/>
        <w:numPr>
          <w:ilvl w:val="1"/>
          <w:numId w:val="10"/>
        </w:numPr>
        <w:rPr/>
      </w:pPr>
      <w:bookmarkStart w:id="13" w:name="retaliation"/>
      <w:r>
        <w:rPr/>
        <w:t>Retaliation</w:t>
      </w:r>
    </w:p>
    <w:p>
      <w:pPr>
        <w:pStyle w:val="Normal"/>
        <w:rPr/>
      </w:pPr>
      <w:r>
        <w:rPr/>
        <w:t>Title VII, the ADEA, and the ADA also prohibit discrimination against employees for “oppos[ing] unlawful employment practices … or mak[ing] a charge, testif[ying], assist[ing], or participat[ing] in any manner in an investigation, proceeding, or litigation” under the relevant the statute.</w:t>
      </w:r>
      <w:r>
        <w:rPr>
          <w:rStyle w:val="FootnoteReference"/>
        </w:rPr>
        <w:footnoteReference w:id="54"/>
      </w:r>
      <w:bookmarkEnd w:id="8"/>
      <w:bookmarkEnd w:id="13"/>
    </w:p>
    <w:p>
      <w:pPr>
        <w:pStyle w:val="Heading1"/>
        <w:numPr>
          <w:ilvl w:val="0"/>
          <w:numId w:val="10"/>
        </w:numPr>
        <w:rPr/>
      </w:pPr>
      <w:bookmarkStart w:id="14" w:name="procedural-issues"/>
      <w:r>
        <w:rPr/>
        <w:t>Procedural Issues</w:t>
      </w:r>
    </w:p>
    <w:p>
      <w:pPr>
        <w:pStyle w:val="Heading2"/>
        <w:numPr>
          <w:ilvl w:val="1"/>
          <w:numId w:val="10"/>
        </w:numPr>
        <w:rPr/>
      </w:pPr>
      <w:bookmarkStart w:id="15" w:name="administrative-prerequisite"/>
      <w:r>
        <w:rPr/>
        <w:t>Administrative Prerequisite</w:t>
      </w:r>
    </w:p>
    <w:p>
      <w:pPr>
        <w:pStyle w:val="Normal"/>
        <w:rPr/>
      </w:pPr>
      <w:r>
        <w:rPr/>
        <w:t>Under Title VII, the ADEA, and the ADA, the first step for asserting a discrimination claim is to file a charge with the Equal Employment Opportunities Commission (EEOC).</w:t>
      </w:r>
      <w:r>
        <w:rPr>
          <w:rStyle w:val="FootnoteReference"/>
        </w:rPr>
        <w:footnoteReference w:id="55"/>
      </w:r>
      <w:r>
        <w:rPr/>
        <w:t xml:space="preserve"> After notifying the employer (or other charged party), the agency will investigate and determine whether the charge has merit.</w:t>
      </w:r>
      <w:r>
        <w:rPr>
          <w:rStyle w:val="FootnoteReference"/>
        </w:rPr>
        <w:footnoteReference w:id="56"/>
      </w:r>
      <w:r>
        <w:rPr/>
        <w:t xml:space="preserve"> </w:t>
      </w:r>
    </w:p>
    <w:p>
      <w:pPr>
        <w:pStyle w:val="BlockText"/>
        <w:rPr/>
      </w:pPr>
      <w:r>
        <w:rPr/>
        <w:t>If the Commission determines after such investigation that there is not reasonable cause to believe that the charge is true, it shall dismiss the charge and promptly notify the person claiming to be aggrieved and the respondent of its action.</w:t>
      </w:r>
      <w:r>
        <w:rPr>
          <w:rStyle w:val="FootnoteReference"/>
        </w:rPr>
        <w:footnoteReference w:id="57"/>
      </w:r>
    </w:p>
    <w:p>
      <w:pPr>
        <w:pStyle w:val="BlockText"/>
        <w:rPr/>
      </w:pPr>
      <w:r>
        <w:rPr/>
        <w:t>If the Commission determines after such investigation that there is reasonable cause to believe that the charge is true, the Commission shall endeavor to eliminate any such alleged unlawful employment practice by informal methods of conference, conciliation, and persuasion.</w:t>
      </w:r>
      <w:r>
        <w:rPr>
          <w:rStyle w:val="FootnoteReference"/>
        </w:rPr>
        <w:footnoteReference w:id="58"/>
      </w:r>
      <w:bookmarkEnd w:id="15"/>
    </w:p>
    <w:p>
      <w:pPr>
        <w:pStyle w:val="BlockText"/>
        <w:rPr/>
      </w:pPr>
      <w:r>
        <w:rPr/>
      </w:r>
    </w:p>
    <w:p>
      <w:pPr>
        <w:pStyle w:val="Normal"/>
        <w:rPr/>
      </w:pPr>
      <w:r>
        <w:rPr/>
        <w:t xml:space="preserve">If the EEOC is unable to achieve a resolution informally, it may bring suit on behalf of the employee (who may intervene as a co-plaintiff). Alternatively, the EEOC will issue a “right-to-sue” letter enabling the employee to bring a private action in federal or state court. The employee must do so within 90 days of receiving the right-to-sue letter. </w:t>
      </w:r>
    </w:p>
    <w:p>
      <w:pPr>
        <w:pStyle w:val="Heading2"/>
        <w:numPr>
          <w:ilvl w:val="1"/>
          <w:numId w:val="10"/>
        </w:numPr>
        <w:rPr/>
      </w:pPr>
      <w:bookmarkStart w:id="16" w:name="remedies"/>
      <w:r>
        <w:rPr/>
        <w:t>Remedies</w:t>
      </w:r>
    </w:p>
    <w:p>
      <w:pPr>
        <w:pStyle w:val="Normal"/>
        <w:widowControl/>
        <w:suppressAutoHyphens w:val="true"/>
        <w:bidi w:val="0"/>
        <w:spacing w:lineRule="auto" w:line="288" w:before="0" w:after="240"/>
        <w:ind w:firstLine="720"/>
        <w:jc w:val="both"/>
        <w:rPr/>
      </w:pPr>
      <w:r>
        <w:rPr/>
        <w:t>The available remedies include declaratory and injunctive relief, reinstatement, back pay, and other equitable remedies.</w:t>
      </w:r>
      <w:r>
        <w:rPr>
          <w:rStyle w:val="FootnoteReference"/>
        </w:rPr>
        <w:footnoteReference w:id="59"/>
      </w:r>
      <w:r>
        <w:rPr/>
        <w:t xml:space="preserve"> In cases of intentional discrimination, plaintiffs may also recover compensatory and punitive damages, subject to statutory conditions and limits.</w:t>
      </w:r>
      <w:r>
        <w:rPr>
          <w:rStyle w:val="FootnoteReference"/>
        </w:rPr>
        <w:footnoteReference w:id="60"/>
      </w:r>
      <w:r>
        <w:rPr/>
        <w:t xml:space="preserve"> Courts may also award reasonable attorney’s fees and costs to the prevailing party.</w:t>
      </w:r>
      <w:r>
        <w:rPr>
          <w:rStyle w:val="FootnoteReference"/>
        </w:rPr>
        <w:footnoteReference w:id="61"/>
      </w:r>
      <w:bookmarkEnd w:id="14"/>
      <w:bookmarkEnd w:id="16"/>
    </w:p>
    <w:sectPr>
      <w:footerReference w:type="even" r:id="rId2"/>
      <w:footerReference w:type="default" r:id="rId3"/>
      <w:footnotePr>
        <w:numFmt w:val="decimal"/>
      </w:footnotePr>
      <w:type w:val="nextPage"/>
      <w:pgSz w:w="12240" w:h="15840"/>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nion">
    <w:charset w:val="01"/>
    <w:family w:val="roman"/>
    <w:pitch w:val="variable"/>
  </w:font>
  <w:font w:name="Calibri Light">
    <w:charset w:val="01"/>
    <w:family w:val="swiss"/>
    <w:pitch w:val="variable"/>
  </w:font>
  <w:font w:name="Calibri Light">
    <w:charset w:val="01"/>
    <w:family w:val="roman"/>
    <w:pitch w:val="variable"/>
  </w:font>
  <w:font w:name="Consolas">
    <w:charset w:val="01"/>
    <w:family w:val="roman"/>
    <w:pitch w:val="variable"/>
  </w:font>
  <w:font w:name="Calibri">
    <w:charset w:val="01"/>
    <w:family w:val="roman"/>
    <w:pitch w:val="variable"/>
  </w:font>
  <w:font w:name="OpenSymbol">
    <w:altName w:val="Arial Unicode MS"/>
    <w:charset w:val="02"/>
    <w:family w:val="roman"/>
    <w:pitch w:val="variable"/>
  </w:font>
  <w:font w:name="Times New Roman">
    <w:charset w:val="01"/>
    <w:family w:val="roman"/>
    <w:pitch w:val="variable"/>
  </w:font>
  <w:font w:name="Lucida Sans">
    <w:charset w:val="01"/>
    <w:family w:val="roman"/>
    <w:pitch w:val="variable"/>
  </w:font>
  <w:font w:name="Noto Sans">
    <w:charset w:val="01"/>
    <w:family w:val="roman"/>
    <w:pitch w:val="variable"/>
  </w:font>
  <w:font w:name="Liberation Sans">
    <w:altName w:val="Arial"/>
    <w:charset w:val="01"/>
    <w:family w:val="roman"/>
    <w:pitch w:val="variable"/>
  </w:font>
  <w:font w:name="Lato">
    <w:charset w:val="01"/>
    <w:family w:val="roman"/>
    <w:pitch w:val="variable"/>
  </w:font>
  <w:font w:name="OpenSymbol">
    <w:altName w:val="Arial Unicode MS"/>
    <w:charset w:val="01"/>
    <w:family w:val="roman"/>
    <w:pitch w:val="variable"/>
  </w:font>
  <w:font w:name="0">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Civil Rights Act of 1964, Title VII, 42 U.S.C. § 2000e.</w:t>
      </w:r>
    </w:p>
  </w:footnote>
  <w:footnote w:id="3">
    <w:p>
      <w:pPr>
        <w:pStyle w:val="FootnoteText"/>
        <w:rPr/>
      </w:pPr>
      <w:r>
        <w:rPr>
          <w:rStyle w:val="FootnoteCharacters"/>
        </w:rPr>
        <w:footnoteRef/>
      </w:r>
      <w:r>
        <w:rPr/>
        <w:t xml:space="preserve"> </w:t>
      </w:r>
      <w:r>
        <w:rPr/>
        <w:t>Age Discrimination in Employment Act of 1967, 29 U.S.C. § 621 (1967).</w:t>
      </w:r>
    </w:p>
  </w:footnote>
  <w:footnote w:id="4">
    <w:p>
      <w:pPr>
        <w:pStyle w:val="FootnoteText"/>
        <w:rPr/>
      </w:pPr>
      <w:r>
        <w:rPr>
          <w:rStyle w:val="FootnoteCharacters"/>
        </w:rPr>
        <w:footnoteRef/>
      </w:r>
      <w:r>
        <w:rPr/>
        <w:t xml:space="preserve"> </w:t>
      </w:r>
      <w:r>
        <w:rPr/>
        <w:t>Americans with Disabilities Act, 42 U.S.C. § 12101 (1990).</w:t>
      </w:r>
    </w:p>
  </w:footnote>
  <w:footnote w:id="5">
    <w:p>
      <w:pPr>
        <w:pStyle w:val="FootnoteText"/>
        <w:rPr/>
      </w:pPr>
      <w:r>
        <w:rPr>
          <w:rStyle w:val="FootnoteCharacters"/>
        </w:rPr>
        <w:footnoteRef/>
      </w:r>
      <w:r>
        <w:rPr/>
        <w:t xml:space="preserve"> </w:t>
      </w:r>
      <w:r>
        <w:rPr/>
        <w:t>42 U.S.C. § 2000e(f) (“an individual employed by an employer”). Title VII’s definition also applies to the Pregnant Workers Fairness Act, 42 U.S.C. § 2000gg(3)(A) (2023).</w:t>
      </w:r>
    </w:p>
  </w:footnote>
  <w:footnote w:id="6">
    <w:p>
      <w:pPr>
        <w:pStyle w:val="FootnoteText"/>
        <w:rPr/>
      </w:pPr>
      <w:r>
        <w:rPr>
          <w:rStyle w:val="FootnoteCharacters"/>
        </w:rPr>
        <w:footnoteRef/>
      </w:r>
      <w:r>
        <w:rPr/>
        <w:t xml:space="preserve"> </w:t>
      </w:r>
      <w:r>
        <w:rPr/>
        <w:t>29 U.S.C. § 630(f) (“an individual employed by any employer”).</w:t>
      </w:r>
    </w:p>
  </w:footnote>
  <w:footnote w:id="7">
    <w:p>
      <w:pPr>
        <w:pStyle w:val="FootnoteText"/>
        <w:rPr/>
      </w:pPr>
      <w:r>
        <w:rPr>
          <w:rStyle w:val="FootnoteCharacters"/>
        </w:rPr>
        <w:footnoteRef/>
      </w:r>
      <w:r>
        <w:rPr/>
        <w:t xml:space="preserve"> </w:t>
      </w:r>
      <w:r>
        <w:rPr/>
        <w:t>42 U.S.C. § 12111(4) (“an individual employed by an employer”).</w:t>
      </w:r>
    </w:p>
  </w:footnote>
  <w:footnote w:id="8">
    <w:p>
      <w:pPr>
        <w:pStyle w:val="FootnoteText"/>
        <w:rPr/>
      </w:pPr>
      <w:r>
        <w:rPr>
          <w:rStyle w:val="FootnoteCharacters"/>
        </w:rPr>
        <w:footnoteRef/>
      </w:r>
      <w:r>
        <w:rPr/>
        <w:t xml:space="preserve"> </w:t>
      </w:r>
      <w:r>
        <w:rPr>
          <w:i/>
          <w:iCs/>
        </w:rPr>
        <w:t>Clackamas Gastroenterology Associates, PC v. Wells</w:t>
      </w:r>
      <w:r>
        <w:rPr/>
        <w:t xml:space="preserve">, 538 U.S. 440, 444 (2003) (quoting </w:t>
      </w:r>
      <w:r>
        <w:rPr>
          <w:i/>
          <w:iCs/>
        </w:rPr>
        <w:t>Nationwide Mut. Ins. Co. v. Darden</w:t>
      </w:r>
      <w:r>
        <w:rPr/>
        <w:t xml:space="preserve">, 503 U.S. 318, 323 (1992)); </w:t>
      </w:r>
      <w:r>
        <w:rPr>
          <w:i/>
          <w:iCs/>
        </w:rPr>
        <w:t>Lemon v. Myers Bigel, P.A.</w:t>
      </w:r>
      <w:r>
        <w:rPr/>
        <w:t>, 985 F. 3d 392, 396 (4th Cir. 2021) (same)</w:t>
      </w:r>
    </w:p>
  </w:footnote>
  <w:footnote w:id="9">
    <w:p>
      <w:pPr>
        <w:pStyle w:val="FootnoteText"/>
        <w:rPr/>
      </w:pPr>
      <w:r>
        <w:rPr>
          <w:rStyle w:val="FootnoteCharacters"/>
        </w:rPr>
        <w:footnoteRef/>
      </w:r>
      <w:r>
        <w:rPr/>
        <w:t xml:space="preserve"> </w:t>
      </w:r>
      <w:r>
        <w:rPr/>
        <w:t xml:space="preserve">See </w:t>
      </w:r>
      <w:r>
        <w:rPr>
          <w:i/>
          <w:iCs/>
        </w:rPr>
        <w:t>Clackamas Gastroenterology Associates, PC v. Wells</w:t>
      </w:r>
      <w:r>
        <w:rPr/>
        <w:t xml:space="preserve">, </w:t>
      </w:r>
      <w:r>
        <w:rPr>
          <w:i/>
          <w:iCs/>
        </w:rPr>
        <w:t>supra</w:t>
      </w:r>
      <w:r>
        <w:rPr/>
        <w:t xml:space="preserve"> note 7 at 448–49; </w:t>
      </w:r>
      <w:r>
        <w:rPr>
          <w:i/>
          <w:iCs/>
        </w:rPr>
        <w:t>Lemon v. Myers Bigel, P.A.</w:t>
      </w:r>
      <w:r>
        <w:rPr/>
        <w:t xml:space="preserve">, </w:t>
      </w:r>
      <w:r>
        <w:rPr>
          <w:i/>
          <w:iCs/>
        </w:rPr>
        <w:t>supra</w:t>
      </w:r>
      <w:r>
        <w:rPr/>
        <w:t xml:space="preserve"> note 7 at 396–99.</w:t>
      </w:r>
    </w:p>
  </w:footnote>
  <w:footnote w:id="10">
    <w:p>
      <w:pPr>
        <w:pStyle w:val="FootnoteText"/>
        <w:rPr/>
      </w:pPr>
      <w:r>
        <w:rPr>
          <w:rStyle w:val="FootnoteCharacters"/>
        </w:rPr>
        <w:footnoteRef/>
      </w:r>
      <w:r>
        <w:rPr/>
        <w:t xml:space="preserve"> </w:t>
      </w:r>
      <w:r>
        <w:rPr/>
        <w:t>42 U.S.C. § 2000e(b); 29 U.S.C. § 630(b); 42 U.S.C. § 12111(5)(A).</w:t>
      </w:r>
    </w:p>
  </w:footnote>
  <w:footnote w:id="11">
    <w:p>
      <w:pPr>
        <w:pStyle w:val="FootnoteText"/>
        <w:rPr/>
      </w:pPr>
      <w:r>
        <w:rPr>
          <w:rStyle w:val="FootnoteCharacters"/>
        </w:rPr>
        <w:footnoteRef/>
      </w:r>
      <w:r>
        <w:rPr/>
        <w:t xml:space="preserve"> </w:t>
      </w:r>
      <w:r>
        <w:rPr/>
        <w:t>42 U.S.C. § 2000e(b). The statutory definition of employer under Title VII also applies to the Genetic Information Nondiscrimination Act of 2008, 42 U.S.C. § 2000ff(2)(B) (2008).</w:t>
      </w:r>
    </w:p>
  </w:footnote>
  <w:footnote w:id="12">
    <w:p>
      <w:pPr>
        <w:pStyle w:val="FootnoteText"/>
        <w:rPr/>
      </w:pPr>
      <w:r>
        <w:rPr>
          <w:rStyle w:val="FootnoteCharacters"/>
        </w:rPr>
        <w:footnoteRef/>
      </w:r>
      <w:r>
        <w:rPr/>
        <w:t xml:space="preserve"> </w:t>
      </w:r>
      <w:r>
        <w:rPr/>
        <w:t>42 U.S.C. § 12111(5)(A).</w:t>
      </w:r>
    </w:p>
  </w:footnote>
  <w:footnote w:id="13">
    <w:p>
      <w:pPr>
        <w:pStyle w:val="FootnoteText"/>
        <w:rPr/>
      </w:pPr>
      <w:r>
        <w:rPr>
          <w:rStyle w:val="FootnoteCharacters"/>
        </w:rPr>
        <w:footnoteRef/>
      </w:r>
      <w:r>
        <w:rPr/>
        <w:t xml:space="preserve"> </w:t>
      </w:r>
      <w:r>
        <w:rPr/>
        <w:t>29 U.S.C. § 630(b).</w:t>
      </w:r>
    </w:p>
  </w:footnote>
  <w:footnote w:id="14">
    <w:p>
      <w:pPr>
        <w:pStyle w:val="FootnoteText"/>
        <w:rPr/>
      </w:pPr>
      <w:r>
        <w:rPr>
          <w:rStyle w:val="FootnoteCharacters"/>
        </w:rPr>
        <w:footnoteRef/>
      </w:r>
      <w:r>
        <w:rPr/>
        <w:t xml:space="preserve"> </w:t>
      </w:r>
      <w:r>
        <w:rPr/>
        <w:t>42 U.S.C. § 2000e(b); 29 U.S.C. § 630(b); 42 U.S.C. § 12111(5)(A).</w:t>
      </w:r>
    </w:p>
  </w:footnote>
  <w:footnote w:id="15">
    <w:p>
      <w:pPr>
        <w:pStyle w:val="FootnoteText"/>
        <w:rPr/>
      </w:pPr>
      <w:r>
        <w:rPr>
          <w:rStyle w:val="FootnoteCharacters"/>
        </w:rPr>
        <w:footnoteRef/>
      </w:r>
      <w:r>
        <w:rPr/>
        <w:t xml:space="preserve"> </w:t>
      </w:r>
      <w:r>
        <w:rPr>
          <w:i/>
          <w:iCs/>
        </w:rPr>
        <w:t>Butler v. Drive Automotive Industries of America</w:t>
      </w:r>
      <w:r>
        <w:rPr/>
        <w:t>, 793 F. 3d 404, 408 (4th Cir. 2015).</w:t>
      </w:r>
    </w:p>
  </w:footnote>
  <w:footnote w:id="16">
    <w:p>
      <w:pPr>
        <w:pStyle w:val="FootnoteText"/>
        <w:rPr/>
      </w:pPr>
      <w:r>
        <w:rPr>
          <w:rStyle w:val="FootnoteCharacters"/>
        </w:rPr>
        <w:footnoteRef/>
      </w:r>
      <w:r>
        <w:rPr/>
        <w:t xml:space="preserve"> </w:t>
      </w:r>
      <w:r>
        <w:rPr>
          <w:i/>
          <w:iCs/>
        </w:rPr>
        <w:t>Id.</w:t>
      </w:r>
      <w:r>
        <w:rPr/>
        <w:t xml:space="preserve"> at 413–14.</w:t>
      </w:r>
    </w:p>
  </w:footnote>
  <w:footnote w:id="17">
    <w:p>
      <w:pPr>
        <w:pStyle w:val="FootnoteText"/>
        <w:rPr/>
      </w:pPr>
      <w:r>
        <w:rPr>
          <w:rStyle w:val="FootnoteCharacters"/>
        </w:rPr>
        <w:footnoteRef/>
      </w:r>
      <w:r>
        <w:rPr/>
        <w:t xml:space="preserve"> </w:t>
      </w:r>
      <w:r>
        <w:rPr>
          <w:i/>
          <w:iCs/>
        </w:rPr>
        <w:t>Id.</w:t>
      </w:r>
      <w:r>
        <w:rPr/>
        <w:t xml:space="preserve"> at 414.</w:t>
      </w:r>
    </w:p>
  </w:footnote>
  <w:footnote w:id="18">
    <w:p>
      <w:pPr>
        <w:pStyle w:val="FootnoteText"/>
        <w:rPr/>
      </w:pPr>
      <w:r>
        <w:rPr>
          <w:rStyle w:val="FootnoteCharacters"/>
        </w:rPr>
        <w:footnoteRef/>
      </w:r>
      <w:r>
        <w:rPr/>
        <w:t xml:space="preserve"> </w:t>
      </w:r>
      <w:r>
        <w:rPr>
          <w:i/>
          <w:iCs/>
        </w:rPr>
        <w:t>Id.</w:t>
      </w:r>
      <w:r>
        <w:rPr/>
        <w:t xml:space="preserve"> at 414.</w:t>
      </w:r>
    </w:p>
  </w:footnote>
  <w:footnote w:id="19">
    <w:p>
      <w:pPr>
        <w:pStyle w:val="FootnoteText"/>
        <w:rPr/>
      </w:pPr>
      <w:r>
        <w:rPr>
          <w:rStyle w:val="FootnoteCharacters"/>
        </w:rPr>
        <w:footnoteRef/>
      </w:r>
      <w:r>
        <w:rPr/>
        <w:t xml:space="preserve"> </w:t>
      </w:r>
      <w:r>
        <w:rPr/>
        <w:t>42 U.S.C. § 2000e–2.</w:t>
      </w:r>
    </w:p>
  </w:footnote>
  <w:footnote w:id="20">
    <w:p>
      <w:pPr>
        <w:pStyle w:val="FootnoteText"/>
        <w:rPr/>
      </w:pPr>
      <w:r>
        <w:rPr>
          <w:rStyle w:val="FootnoteCharacters"/>
        </w:rPr>
        <w:footnoteRef/>
      </w:r>
      <w:r>
        <w:rPr/>
        <w:t xml:space="preserve"> </w:t>
      </w:r>
      <w:r>
        <w:rPr>
          <w:i/>
          <w:iCs/>
        </w:rPr>
        <w:t>Id.</w:t>
      </w:r>
      <w:r>
        <w:rPr/>
        <w:t xml:space="preserve"> § 2000e.</w:t>
      </w:r>
    </w:p>
  </w:footnote>
  <w:footnote w:id="21">
    <w:p>
      <w:pPr>
        <w:pStyle w:val="FootnoteText"/>
        <w:rPr/>
      </w:pPr>
      <w:r>
        <w:rPr>
          <w:rStyle w:val="FootnoteCharacters"/>
        </w:rPr>
        <w:footnoteRef/>
      </w:r>
      <w:r>
        <w:rPr/>
        <w:t xml:space="preserve"> </w:t>
      </w:r>
      <w:r>
        <w:rPr/>
        <w:t>Pregnancy Discrimination Act of 1978, 42 U.S.C. § 701(k) (1978).</w:t>
      </w:r>
    </w:p>
  </w:footnote>
  <w:footnote w:id="22">
    <w:p>
      <w:pPr>
        <w:pStyle w:val="FootnoteText"/>
        <w:rPr/>
      </w:pPr>
      <w:r>
        <w:rPr>
          <w:rStyle w:val="FootnoteCharacters"/>
        </w:rPr>
        <w:footnoteRef/>
      </w:r>
      <w:r>
        <w:rPr/>
        <w:t xml:space="preserve"> </w:t>
      </w:r>
      <w:r>
        <w:rPr/>
        <w:t>29 U.S.C. § 623.</w:t>
      </w:r>
    </w:p>
  </w:footnote>
  <w:footnote w:id="23">
    <w:p>
      <w:pPr>
        <w:pStyle w:val="FootnoteText"/>
        <w:rPr/>
      </w:pPr>
      <w:r>
        <w:rPr>
          <w:rStyle w:val="FootnoteCharacters"/>
        </w:rPr>
        <w:footnoteRef/>
      </w:r>
      <w:r>
        <w:rPr/>
        <w:t xml:space="preserve"> </w:t>
      </w:r>
      <w:r>
        <w:rPr>
          <w:i/>
          <w:iCs/>
        </w:rPr>
        <w:t>Id.</w:t>
      </w:r>
      <w:r>
        <w:rPr/>
        <w:t xml:space="preserve"> § 631(a).</w:t>
      </w:r>
    </w:p>
  </w:footnote>
  <w:footnote w:id="24">
    <w:p>
      <w:pPr>
        <w:pStyle w:val="FootnoteText"/>
        <w:rPr/>
      </w:pPr>
      <w:r>
        <w:rPr>
          <w:rStyle w:val="FootnoteCharacters"/>
        </w:rPr>
        <w:footnoteRef/>
      </w:r>
      <w:r>
        <w:rPr/>
        <w:t xml:space="preserve"> </w:t>
      </w:r>
      <w:r>
        <w:rPr/>
        <w:t>42 U.S.C. § 12112.</w:t>
      </w:r>
    </w:p>
  </w:footnote>
  <w:footnote w:id="25">
    <w:p>
      <w:pPr>
        <w:pStyle w:val="FootnoteText"/>
        <w:rPr/>
      </w:pPr>
      <w:r>
        <w:rPr>
          <w:rStyle w:val="FootnoteCharacters"/>
        </w:rPr>
        <w:footnoteRef/>
      </w:r>
      <w:r>
        <w:rPr/>
        <w:t xml:space="preserve"> </w:t>
      </w:r>
      <w:r>
        <w:rPr>
          <w:i/>
          <w:iCs/>
        </w:rPr>
        <w:t>Id.</w:t>
      </w:r>
      <w:r>
        <w:rPr/>
        <w:t xml:space="preserve"> § 12111(8).</w:t>
      </w:r>
    </w:p>
  </w:footnote>
  <w:footnote w:id="26">
    <w:p>
      <w:pPr>
        <w:pStyle w:val="FootnoteText"/>
        <w:rPr/>
      </w:pPr>
      <w:r>
        <w:rPr>
          <w:rStyle w:val="FootnoteCharacters"/>
        </w:rPr>
        <w:footnoteRef/>
      </w:r>
      <w:r>
        <w:rPr/>
        <w:t xml:space="preserve"> </w:t>
      </w:r>
      <w:r>
        <w:rPr>
          <w:i/>
          <w:iCs/>
        </w:rPr>
        <w:t>Teamsters v. United States</w:t>
      </w:r>
      <w:r>
        <w:rPr/>
        <w:t>, 431 U.S. 324, 335, n.15.</w:t>
      </w:r>
    </w:p>
  </w:footnote>
  <w:footnote w:id="27">
    <w:p>
      <w:pPr>
        <w:pStyle w:val="FootnoteText"/>
        <w:rPr/>
      </w:pPr>
      <w:r>
        <w:rPr>
          <w:rStyle w:val="FootnoteCharacters"/>
        </w:rPr>
        <w:footnoteRef/>
      </w:r>
      <w:r>
        <w:rPr/>
        <w:t xml:space="preserve"> </w:t>
      </w:r>
      <w:r>
        <w:rPr>
          <w:i/>
          <w:iCs/>
        </w:rPr>
        <w:t>Hazen Paper Co. v. Biggins</w:t>
      </w:r>
      <w:r>
        <w:rPr/>
        <w:t>, 507 U.S. 604, 610 (1993).</w:t>
      </w:r>
    </w:p>
  </w:footnote>
  <w:footnote w:id="28">
    <w:p>
      <w:pPr>
        <w:pStyle w:val="FootnoteText"/>
        <w:rPr/>
      </w:pPr>
      <w:r>
        <w:rPr>
          <w:rStyle w:val="FootnoteCharacters"/>
        </w:rPr>
        <w:footnoteRef/>
      </w:r>
      <w:r>
        <w:rPr/>
        <w:t xml:space="preserve"> </w:t>
      </w:r>
      <w:r>
        <w:rPr>
          <w:i/>
          <w:iCs/>
        </w:rPr>
        <w:t>McDonnell Douglas Corp. v. Green</w:t>
      </w:r>
      <w:r>
        <w:rPr/>
        <w:t xml:space="preserve">, 411 U.S. 792, 802 (U.S 1973). The same burden of proof applies regardless of whether the plaintiff is a member of a majority or minority group. </w:t>
      </w:r>
      <w:r>
        <w:rPr>
          <w:i/>
          <w:iCs/>
        </w:rPr>
        <w:t>Ames v. Ohio Dept. of Youth Servs</w:t>
      </w:r>
      <w:r>
        <w:rPr/>
        <w:t>.,  605 U.S. 303 (2025).</w:t>
      </w:r>
    </w:p>
  </w:footnote>
  <w:footnote w:id="29">
    <w:p>
      <w:pPr>
        <w:pStyle w:val="FootnoteText"/>
        <w:rPr/>
      </w:pPr>
      <w:r>
        <w:rPr>
          <w:rStyle w:val="FootnoteCharacters"/>
        </w:rPr>
        <w:footnoteRef/>
      </w:r>
      <w:r>
        <w:rPr/>
        <w:t xml:space="preserve"> </w:t>
      </w:r>
      <w:r>
        <w:rPr>
          <w:i/>
          <w:iCs/>
        </w:rPr>
        <w:t>Teamsters v. United States</w:t>
      </w:r>
      <w:r>
        <w:rPr/>
        <w:t xml:space="preserve">, </w:t>
      </w:r>
      <w:r>
        <w:rPr>
          <w:i/>
          <w:iCs/>
        </w:rPr>
        <w:t>supra</w:t>
      </w:r>
      <w:r>
        <w:rPr/>
        <w:t xml:space="preserve"> note 25 at 335, n.15, citing </w:t>
      </w:r>
      <w:r>
        <w:rPr>
          <w:i/>
          <w:iCs/>
        </w:rPr>
        <w:t>Griggs v. Duke Power Co.</w:t>
      </w:r>
      <w:r>
        <w:rPr/>
        <w:t>, 401 U.S. 424, 430–32 (1971).</w:t>
      </w:r>
    </w:p>
  </w:footnote>
  <w:footnote w:id="30">
    <w:p>
      <w:pPr>
        <w:pStyle w:val="FootnoteText"/>
        <w:rPr/>
      </w:pPr>
      <w:r>
        <w:rPr>
          <w:rStyle w:val="FootnoteCharacters"/>
        </w:rPr>
        <w:footnoteRef/>
      </w:r>
      <w:r>
        <w:rPr/>
        <w:t xml:space="preserve"> </w:t>
      </w:r>
      <w:r>
        <w:rPr/>
        <w:t>42 U.S.C. § 2000e–2(k).</w:t>
      </w:r>
    </w:p>
  </w:footnote>
  <w:footnote w:id="31">
    <w:p>
      <w:pPr>
        <w:pStyle w:val="FootnoteText"/>
        <w:rPr/>
      </w:pPr>
      <w:r>
        <w:rPr>
          <w:rStyle w:val="FootnoteCharacters"/>
        </w:rPr>
        <w:footnoteRef/>
      </w:r>
      <w:r>
        <w:rPr/>
        <w:t xml:space="preserve"> </w:t>
      </w:r>
      <w:r>
        <w:rPr>
          <w:i/>
          <w:iCs/>
        </w:rPr>
        <w:t>Smith v. City of Jackson</w:t>
      </w:r>
      <w:r>
        <w:rPr/>
        <w:t>, 544 U.S. 228 (2005).</w:t>
      </w:r>
    </w:p>
  </w:footnote>
  <w:footnote w:id="32">
    <w:p>
      <w:pPr>
        <w:pStyle w:val="FootnoteText"/>
        <w:rPr/>
      </w:pPr>
      <w:r>
        <w:rPr>
          <w:rStyle w:val="FootnoteCharacters"/>
        </w:rPr>
        <w:footnoteRef/>
      </w:r>
      <w:r>
        <w:rPr/>
        <w:t xml:space="preserve"> </w:t>
      </w:r>
      <w:r>
        <w:rPr>
          <w:i/>
          <w:iCs/>
        </w:rPr>
        <w:t>Raytheon Co. v. Hernandez</w:t>
      </w:r>
      <w:r>
        <w:rPr/>
        <w:t>, 540 U.S. 44, 53 (2003).</w:t>
      </w:r>
    </w:p>
  </w:footnote>
  <w:footnote w:id="33">
    <w:p>
      <w:pPr>
        <w:pStyle w:val="FootnoteText"/>
        <w:rPr/>
      </w:pPr>
      <w:r>
        <w:rPr>
          <w:rStyle w:val="FootnoteCharacters"/>
        </w:rPr>
        <w:footnoteRef/>
      </w:r>
      <w:r>
        <w:rPr/>
        <w:t xml:space="preserve"> </w:t>
      </w:r>
      <w:r>
        <w:rPr/>
        <w:t>42 U.S.C. § 12112(b)(3).</w:t>
      </w:r>
    </w:p>
  </w:footnote>
  <w:footnote w:id="34">
    <w:p>
      <w:pPr>
        <w:pStyle w:val="FootnoteText"/>
        <w:rPr/>
      </w:pPr>
      <w:r>
        <w:rPr>
          <w:rStyle w:val="FootnoteCharacters"/>
        </w:rPr>
        <w:footnoteRef/>
      </w:r>
      <w:r>
        <w:rPr/>
        <w:t xml:space="preserve"> </w:t>
      </w:r>
      <w:r>
        <w:rPr>
          <w:i/>
          <w:iCs/>
        </w:rPr>
        <w:t>Id.</w:t>
      </w:r>
      <w:r>
        <w:rPr/>
        <w:t xml:space="preserve"> § 12112(b)(6).</w:t>
      </w:r>
    </w:p>
  </w:footnote>
  <w:footnote w:id="35">
    <w:p>
      <w:pPr>
        <w:pStyle w:val="FootnoteText"/>
        <w:rPr/>
      </w:pPr>
      <w:r>
        <w:rPr>
          <w:rStyle w:val="FootnoteCharacters"/>
        </w:rPr>
        <w:footnoteRef/>
      </w:r>
      <w:r>
        <w:rPr/>
        <w:t xml:space="preserve"> </w:t>
      </w:r>
      <w:r>
        <w:rPr>
          <w:i/>
          <w:iCs/>
        </w:rPr>
        <w:t>Meritor Savings Bank, FSB v. Vinson</w:t>
      </w:r>
      <w:r>
        <w:rPr/>
        <w:t xml:space="preserve">, 477 U.S. 57, 64–65 (1986); </w:t>
      </w:r>
      <w:r>
        <w:rPr>
          <w:i/>
          <w:iCs/>
        </w:rPr>
        <w:t>Burlington Industries, Inc. v. Ellerth</w:t>
      </w:r>
      <w:r>
        <w:rPr/>
        <w:t>, 524 U.S. 742, 767–68 (1998); Discrimination Because of Sex - Sexual harassment, 29 C.F.R. § 1604.11(a), n.1 (“The principles involved here continue to apply to race, color, religion or national origin.”).</w:t>
      </w:r>
    </w:p>
  </w:footnote>
  <w:footnote w:id="36">
    <w:p>
      <w:pPr>
        <w:pStyle w:val="FootnoteText"/>
        <w:rPr/>
      </w:pPr>
      <w:r>
        <w:rPr>
          <w:rStyle w:val="FootnoteCharacters"/>
        </w:rPr>
        <w:footnoteRef/>
      </w:r>
      <w:r>
        <w:rPr/>
        <w:t xml:space="preserve"> </w:t>
      </w:r>
      <w:r>
        <w:rPr/>
        <w:t>29 C.F.R. § 1604.11(a).</w:t>
      </w:r>
    </w:p>
  </w:footnote>
  <w:footnote w:id="37">
    <w:p>
      <w:pPr>
        <w:pStyle w:val="FootnoteText"/>
        <w:rPr/>
      </w:pPr>
      <w:r>
        <w:rPr>
          <w:rStyle w:val="FootnoteCharacters"/>
        </w:rPr>
        <w:footnoteRef/>
      </w:r>
      <w:r>
        <w:rPr/>
        <w:t xml:space="preserve"> </w:t>
      </w:r>
      <w:r>
        <w:rPr>
          <w:i/>
          <w:iCs/>
        </w:rPr>
        <w:t>Oncale v. Sundowner Offshore Services, Inc.</w:t>
      </w:r>
      <w:r>
        <w:rPr/>
        <w:t>, 523 U.S. 75 (1998) (holding male employee had cause of action for sexual harassment under Title VII where he was “forcibly subjected to sex-related, humiliating against against him”, “physically assaulted in a sexual manner”, and “threatened … with rape” by male supervisors).</w:t>
      </w:r>
    </w:p>
  </w:footnote>
  <w:footnote w:id="38">
    <w:p>
      <w:pPr>
        <w:pStyle w:val="FootnoteText"/>
        <w:rPr/>
      </w:pPr>
      <w:r>
        <w:rPr>
          <w:rStyle w:val="FootnoteCharacters"/>
        </w:rPr>
        <w:footnoteRef/>
      </w:r>
      <w:r>
        <w:rPr/>
        <w:t xml:space="preserve"> </w:t>
      </w:r>
      <w:r>
        <w:rPr>
          <w:i/>
          <w:iCs/>
        </w:rPr>
        <w:t>Meritor Savings Bank, FSB v. Vinson</w:t>
      </w:r>
      <w:r>
        <w:rPr/>
        <w:t xml:space="preserve">, </w:t>
      </w:r>
      <w:r>
        <w:rPr>
          <w:i/>
          <w:iCs/>
        </w:rPr>
        <w:t>supra</w:t>
      </w:r>
      <w:r>
        <w:rPr/>
        <w:t xml:space="preserve"> note 34 at 62.</w:t>
      </w:r>
    </w:p>
  </w:footnote>
  <w:footnote w:id="39">
    <w:p>
      <w:pPr>
        <w:pStyle w:val="FootnoteText"/>
        <w:rPr/>
      </w:pPr>
      <w:r>
        <w:rPr>
          <w:rStyle w:val="FootnoteCharacters"/>
        </w:rPr>
        <w:footnoteRef/>
      </w:r>
      <w:r>
        <w:rPr/>
        <w:t xml:space="preserve"> </w:t>
      </w:r>
      <w:r>
        <w:rPr>
          <w:i/>
          <w:iCs/>
        </w:rPr>
        <w:t>Harris v. Forklift Systems, Inc.</w:t>
      </w:r>
      <w:r>
        <w:rPr/>
        <w:t>, 510 U.S. 17, 21 (1993) (internal citations and quotation marks omitted).</w:t>
      </w:r>
    </w:p>
  </w:footnote>
  <w:footnote w:id="40">
    <w:p>
      <w:pPr>
        <w:pStyle w:val="FootnoteText"/>
        <w:rPr/>
      </w:pPr>
      <w:r>
        <w:rPr>
          <w:rStyle w:val="FootnoteCharacters"/>
        </w:rPr>
        <w:footnoteRef/>
      </w:r>
      <w:r>
        <w:rPr/>
        <w:t xml:space="preserve"> </w:t>
      </w:r>
      <w:r>
        <w:rPr/>
        <w:t xml:space="preserve">See </w:t>
      </w:r>
      <w:r>
        <w:rPr>
          <w:i/>
          <w:iCs/>
        </w:rPr>
        <w:t>Meritor Savings Bank, FSB v. Vinson</w:t>
      </w:r>
      <w:r>
        <w:rPr/>
        <w:t xml:space="preserve">, </w:t>
      </w:r>
      <w:r>
        <w:rPr>
          <w:i/>
          <w:iCs/>
        </w:rPr>
        <w:t>supra</w:t>
      </w:r>
      <w:r>
        <w:rPr/>
        <w:t xml:space="preserve"> note 34 at 66 (discussing hostile environment claims for race, religion, and national origin discrimination).</w:t>
      </w:r>
    </w:p>
  </w:footnote>
  <w:footnote w:id="41">
    <w:p>
      <w:pPr>
        <w:pStyle w:val="FootnoteText"/>
        <w:rPr/>
      </w:pPr>
      <w:r>
        <w:rPr>
          <w:rStyle w:val="FootnoteCharacters"/>
        </w:rPr>
        <w:footnoteRef/>
      </w:r>
      <w:r>
        <w:rPr/>
        <w:t xml:space="preserve"> </w:t>
      </w:r>
      <w:r>
        <w:rPr/>
        <w:t xml:space="preserve">Summary of Key Provisions, </w:t>
      </w:r>
      <w:r>
        <w:rPr>
          <w:smallCaps/>
        </w:rPr>
        <w:t>U.S. Equal Employment Opportunity Commission</w:t>
      </w:r>
      <w:r>
        <w:rPr/>
        <w:t xml:space="preserve">, </w:t>
      </w:r>
      <w:hyperlink r:id="rId1">
        <w:r>
          <w:rPr>
            <w:rStyle w:val="Hyperlink"/>
          </w:rPr>
          <w:t>www.eeoc.gov/summary-key-provisions-eeoc-enforcement-guidance-harassment-workplace</w:t>
        </w:r>
      </w:hyperlink>
      <w:r>
        <w:rPr/>
        <w:t xml:space="preserve"> (last visited Dec 22, 2025).</w:t>
      </w:r>
    </w:p>
  </w:footnote>
  <w:footnote w:id="42">
    <w:p>
      <w:pPr>
        <w:pStyle w:val="FootnoteText"/>
        <w:rPr/>
      </w:pPr>
      <w:r>
        <w:rPr>
          <w:rStyle w:val="FootnoteCharacters"/>
        </w:rPr>
        <w:footnoteRef/>
      </w:r>
      <w:r>
        <w:rPr/>
        <w:t xml:space="preserve"> </w:t>
      </w:r>
      <w:r>
        <w:rPr>
          <w:i/>
          <w:iCs/>
        </w:rPr>
        <w:t>Burlington Industries, Inc. v. Ellerth</w:t>
      </w:r>
      <w:r>
        <w:rPr/>
        <w:t xml:space="preserve">, </w:t>
      </w:r>
      <w:r>
        <w:rPr>
          <w:i/>
          <w:iCs/>
        </w:rPr>
        <w:t>supra</w:t>
      </w:r>
      <w:r>
        <w:rPr/>
        <w:t xml:space="preserve"> note 34 at 764–65.</w:t>
      </w:r>
    </w:p>
  </w:footnote>
  <w:footnote w:id="43">
    <w:p>
      <w:pPr>
        <w:pStyle w:val="FootnoteText"/>
        <w:rPr/>
      </w:pPr>
      <w:r>
        <w:rPr>
          <w:rStyle w:val="FootnoteCharacters"/>
        </w:rPr>
        <w:footnoteRef/>
      </w:r>
      <w:r>
        <w:rPr/>
        <w:t xml:space="preserve"> </w:t>
      </w:r>
      <w:r>
        <w:rPr>
          <w:i/>
          <w:iCs/>
        </w:rPr>
        <w:t>Bivens v. Zep, Inc.</w:t>
      </w:r>
      <w:r>
        <w:rPr/>
        <w:t xml:space="preserve">, 147 F. 4th 635, 644 (6th Cir. 2025), citing </w:t>
      </w:r>
      <w:r>
        <w:rPr>
          <w:i/>
          <w:iCs/>
        </w:rPr>
        <w:t>Burlington Industries, Inc. v. Ellerth</w:t>
      </w:r>
      <w:r>
        <w:rPr/>
        <w:t xml:space="preserve">, </w:t>
      </w:r>
      <w:r>
        <w:rPr>
          <w:i/>
          <w:iCs/>
        </w:rPr>
        <w:t>supra</w:t>
      </w:r>
      <w:r>
        <w:rPr/>
        <w:t xml:space="preserve"> note 34 at 758.</w:t>
      </w:r>
    </w:p>
  </w:footnote>
  <w:footnote w:id="44">
    <w:p>
      <w:pPr>
        <w:pStyle w:val="FootnoteText"/>
        <w:rPr/>
      </w:pPr>
      <w:r>
        <w:rPr>
          <w:rStyle w:val="FootnoteCharacters"/>
        </w:rPr>
        <w:footnoteRef/>
      </w:r>
      <w:r>
        <w:rPr/>
        <w:t xml:space="preserve"> </w:t>
      </w:r>
      <w:r>
        <w:rPr/>
        <w:t>29 C.F.R. § 1604.11(d).</w:t>
      </w:r>
    </w:p>
  </w:footnote>
  <w:footnote w:id="45">
    <w:p>
      <w:pPr>
        <w:pStyle w:val="FootnoteText"/>
        <w:rPr/>
      </w:pPr>
      <w:r>
        <w:rPr>
          <w:rStyle w:val="FootnoteCharacters"/>
        </w:rPr>
        <w:footnoteRef/>
      </w:r>
      <w:r>
        <w:rPr/>
        <w:t xml:space="preserve"> </w:t>
      </w:r>
      <w:r>
        <w:rPr>
          <w:i/>
          <w:iCs/>
        </w:rPr>
        <w:t>Bivens v. Zep, Inc.</w:t>
      </w:r>
      <w:r>
        <w:rPr/>
        <w:t xml:space="preserve">, </w:t>
      </w:r>
      <w:r>
        <w:rPr>
          <w:i/>
          <w:iCs/>
        </w:rPr>
        <w:t>supra</w:t>
      </w:r>
      <w:r>
        <w:rPr/>
        <w:t xml:space="preserve"> note 42 at 644–45.</w:t>
      </w:r>
    </w:p>
  </w:footnote>
  <w:footnote w:id="46">
    <w:p>
      <w:pPr>
        <w:pStyle w:val="FootnoteText"/>
        <w:rPr/>
      </w:pPr>
      <w:r>
        <w:rPr>
          <w:rStyle w:val="FootnoteCharacters"/>
        </w:rPr>
        <w:footnoteRef/>
      </w:r>
      <w:r>
        <w:rPr>
          <w:i/>
          <w:iCs/>
        </w:rPr>
        <w:t xml:space="preserve"> </w:t>
      </w:r>
      <w:r>
        <w:rPr>
          <w:i/>
          <w:iCs/>
        </w:rPr>
        <w:t>See, e.g., Pryor v. United Airlines</w:t>
      </w:r>
      <w:r>
        <w:rPr>
          <w:i w:val="false"/>
          <w:iCs w:val="false"/>
        </w:rPr>
        <w:t>, 791 F.3d 488 (4</w:t>
      </w:r>
      <w:r>
        <w:rPr>
          <w:i w:val="false"/>
          <w:iCs w:val="false"/>
          <w:vertAlign w:val="superscript"/>
        </w:rPr>
        <w:t>th</w:t>
      </w:r>
      <w:r>
        <w:rPr>
          <w:i w:val="false"/>
          <w:iCs w:val="false"/>
        </w:rPr>
        <w:t xml:space="preserve"> Cir. 2015); 29</w:t>
      </w:r>
      <w:r>
        <w:rPr/>
        <w:t xml:space="preserve"> C.F.R. § 1604.11(e). </w:t>
      </w:r>
    </w:p>
  </w:footnote>
  <w:footnote w:id="47">
    <w:p>
      <w:pPr>
        <w:pStyle w:val="FootnoteText"/>
        <w:rPr/>
      </w:pPr>
      <w:r>
        <w:rPr>
          <w:rStyle w:val="FootnoteCharacters"/>
        </w:rPr>
        <w:footnoteRef/>
      </w:r>
      <w:r>
        <w:rPr/>
        <w:t xml:space="preserve"> </w:t>
      </w:r>
      <w:r>
        <w:rPr>
          <w:i/>
          <w:iCs/>
        </w:rPr>
        <w:t>Bivens v. Zep, Inc.</w:t>
      </w:r>
      <w:r>
        <w:rPr/>
        <w:t xml:space="preserve">, </w:t>
      </w:r>
      <w:r>
        <w:rPr>
          <w:i/>
          <w:iCs/>
        </w:rPr>
        <w:t>supra</w:t>
      </w:r>
      <w:r>
        <w:rPr/>
        <w:t xml:space="preserve"> note 42 at 645, citing </w:t>
      </w:r>
      <w:r>
        <w:rPr>
          <w:i/>
          <w:iCs/>
        </w:rPr>
        <w:t>Dunn v. Washington County Hospital</w:t>
      </w:r>
      <w:r>
        <w:rPr/>
        <w:t xml:space="preserve">, 429 F.3d 689, 691–92 (7th Cir. 2005); </w:t>
      </w:r>
      <w:r>
        <w:rPr>
          <w:i/>
          <w:iCs/>
        </w:rPr>
        <w:t>O’Neill v. University of Pennsylvania</w:t>
      </w:r>
      <w:r>
        <w:rPr/>
        <w:t>, No. 25-1129 (E.D. Pa. Oct. 31, 2025) (granting summary judgment in favor of defendant university where plaintiff teaching assistant sued for sexual harassment by student).</w:t>
      </w:r>
    </w:p>
  </w:footnote>
  <w:footnote w:id="48">
    <w:p>
      <w:pPr>
        <w:pStyle w:val="FootnoteText"/>
        <w:rPr/>
      </w:pPr>
      <w:r>
        <w:rPr>
          <w:rStyle w:val="FootnoteCharacters"/>
        </w:rPr>
        <w:footnoteRef/>
      </w:r>
      <w:r>
        <w:rPr/>
        <w:t xml:space="preserve"> </w:t>
      </w:r>
      <w:r>
        <w:rPr/>
        <w:t>42 U.S.C. § 12112(b)(5).</w:t>
      </w:r>
    </w:p>
  </w:footnote>
  <w:footnote w:id="49">
    <w:p>
      <w:pPr>
        <w:pStyle w:val="FootnoteText"/>
        <w:rPr/>
      </w:pPr>
      <w:r>
        <w:rPr>
          <w:rStyle w:val="FootnoteCharacters"/>
        </w:rPr>
        <w:footnoteRef/>
      </w:r>
      <w:r>
        <w:rPr/>
        <w:t xml:space="preserve"> </w:t>
      </w:r>
      <w:r>
        <w:rPr>
          <w:i/>
          <w:iCs/>
        </w:rPr>
        <w:t>Id.</w:t>
      </w:r>
      <w:r>
        <w:rPr/>
        <w:t xml:space="preserve"> § 12111(9).</w:t>
      </w:r>
    </w:p>
  </w:footnote>
  <w:footnote w:id="50">
    <w:p>
      <w:pPr>
        <w:pStyle w:val="FootnoteText"/>
        <w:rPr/>
      </w:pPr>
      <w:r>
        <w:rPr>
          <w:rStyle w:val="FootnoteCharacters"/>
        </w:rPr>
        <w:footnoteRef/>
      </w:r>
      <w:r>
        <w:rPr/>
        <w:t xml:space="preserve"> </w:t>
      </w:r>
      <w:r>
        <w:rPr>
          <w:i/>
          <w:iCs/>
        </w:rPr>
        <w:t>Id.</w:t>
      </w:r>
      <w:r>
        <w:rPr/>
        <w:t xml:space="preserve"> § 12111(10).</w:t>
      </w:r>
    </w:p>
  </w:footnote>
  <w:footnote w:id="51">
    <w:p>
      <w:pPr>
        <w:pStyle w:val="FootnoteText"/>
        <w:rPr/>
      </w:pPr>
      <w:r>
        <w:rPr>
          <w:rStyle w:val="FootnoteCharacters"/>
        </w:rPr>
        <w:footnoteRef/>
      </w:r>
      <w:r>
        <w:rPr/>
        <w:t xml:space="preserve"> </w:t>
      </w:r>
      <w:r>
        <w:rPr/>
        <w:t>42 U.S.C. § 2000e(j).</w:t>
      </w:r>
    </w:p>
  </w:footnote>
  <w:footnote w:id="52">
    <w:p>
      <w:pPr>
        <w:pStyle w:val="FootnoteText"/>
        <w:rPr/>
      </w:pPr>
      <w:r>
        <w:rPr>
          <w:rStyle w:val="FootnoteCharacters"/>
        </w:rPr>
        <w:footnoteRef/>
      </w:r>
      <w:r>
        <w:rPr/>
        <w:t xml:space="preserve"> </w:t>
      </w:r>
      <w:r>
        <w:rPr>
          <w:i/>
          <w:iCs/>
        </w:rPr>
        <w:t>Groff v. DeJoy</w:t>
      </w:r>
      <w:r>
        <w:rPr/>
        <w:t>, 600 U.S. 447, 468 (2023).</w:t>
      </w:r>
    </w:p>
  </w:footnote>
  <w:footnote w:id="53">
    <w:p>
      <w:pPr>
        <w:pStyle w:val="FootnoteText"/>
        <w:rPr/>
      </w:pPr>
      <w:r>
        <w:rPr>
          <w:rStyle w:val="FootnoteCharacters"/>
        </w:rPr>
        <w:footnoteRef/>
      </w:r>
      <w:r>
        <w:rPr/>
        <w:t xml:space="preserve"> </w:t>
      </w:r>
      <w:r>
        <w:rPr/>
        <w:t xml:space="preserve">42 U.S.C. § 2000gg–1; </w:t>
      </w:r>
      <w:r>
        <w:rPr>
          <w:i/>
          <w:iCs/>
        </w:rPr>
        <w:t>Id.</w:t>
      </w:r>
      <w:r>
        <w:rPr/>
        <w:t xml:space="preserve"> § 2000gg(7) (the terms ‘reasonable accommodation’ and ‘undue hardship’ have the meanings given such terms in section 101 of the Americans with Disabilities Act of 1990 (42 U.S.C. 12111) and shall be construed as such terms are construed under such Act and as set forth in the regulations required by this chapter, including with regard to the interactive process that will typically be used to determine an appropriate reasonable accommodation.”)</w:t>
      </w:r>
    </w:p>
  </w:footnote>
  <w:footnote w:id="54">
    <w:p>
      <w:pPr>
        <w:pStyle w:val="FootnoteText"/>
        <w:rPr/>
      </w:pPr>
      <w:r>
        <w:rPr>
          <w:rStyle w:val="FootnoteCharacters"/>
        </w:rPr>
        <w:footnoteRef/>
      </w:r>
      <w:r>
        <w:rPr/>
        <w:t xml:space="preserve"> </w:t>
      </w:r>
      <w:r>
        <w:rPr/>
        <w:t>42 U.S.C. § 2000e–3(a); 29 U.S.C. § 623(d); 42 U.S.C. § 12203.</w:t>
      </w:r>
    </w:p>
  </w:footnote>
  <w:footnote w:id="55">
    <w:p>
      <w:pPr>
        <w:pStyle w:val="FootnoteText"/>
        <w:rPr/>
      </w:pPr>
      <w:r>
        <w:rPr>
          <w:rStyle w:val="FootnoteCharacters"/>
        </w:rPr>
        <w:footnoteRef/>
      </w:r>
      <w:r>
        <w:rPr/>
        <w:t xml:space="preserve"> </w:t>
      </w:r>
      <w:r>
        <w:rPr/>
        <w:t>42 U.S.C. § 2000e–5; 29 U.S.C. § 626(d); 42 U.S.C. § 12117(a) (incorporating procedures under Title VII). Alternatively, the employee may initiate their action with a state fair employment practices agency. 42 U.S.C. § 2000e–5(c). In North Carolina, the appropriate state agency is the Employment Discrimination Section of the Civil Rights Division in the North Carolina Office of Administrative Hearings. N.C.G.S. § 7A-759.</w:t>
      </w:r>
    </w:p>
  </w:footnote>
  <w:footnote w:id="56">
    <w:p>
      <w:pPr>
        <w:pStyle w:val="FootnoteText"/>
        <w:rPr/>
      </w:pPr>
      <w:r>
        <w:rPr>
          <w:rStyle w:val="FootnoteCharacters"/>
        </w:rPr>
        <w:footnoteRef/>
      </w:r>
      <w:r>
        <w:rPr/>
        <w:t xml:space="preserve"> </w:t>
      </w:r>
      <w:r>
        <w:rPr/>
        <w:t>42 U.S.C. § 2000e–5. The EEOC’s procedures for processing and investigating, and disposition of complaints are published at 29 CFR § 1614.101 et seq.</w:t>
      </w:r>
    </w:p>
  </w:footnote>
  <w:footnote w:id="57">
    <w:p>
      <w:pPr>
        <w:pStyle w:val="FootnoteText"/>
        <w:rPr/>
      </w:pPr>
      <w:r>
        <w:rPr>
          <w:rStyle w:val="FootnoteCharacters"/>
        </w:rPr>
        <w:footnoteRef/>
      </w:r>
      <w:r>
        <w:rPr/>
        <w:t xml:space="preserve"> </w:t>
      </w:r>
      <w:r>
        <w:rPr>
          <w:i/>
          <w:iCs/>
        </w:rPr>
        <w:t xml:space="preserve">42 U.S.C. </w:t>
      </w:r>
      <w:r>
        <w:rPr/>
        <w:t>§ 2000e–5.</w:t>
      </w:r>
    </w:p>
  </w:footnote>
  <w:footnote w:id="58">
    <w:p>
      <w:pPr>
        <w:pStyle w:val="FootnoteText"/>
        <w:rPr/>
      </w:pPr>
      <w:r>
        <w:rPr>
          <w:rStyle w:val="FootnoteCharacters"/>
        </w:rPr>
        <w:footnoteRef/>
      </w:r>
      <w:r>
        <w:rPr/>
        <w:t xml:space="preserve"> </w:t>
      </w:r>
      <w:r>
        <w:rPr>
          <w:i/>
          <w:iCs/>
        </w:rPr>
        <w:t>Id.</w:t>
      </w:r>
      <w:r>
        <w:rPr/>
        <w:t xml:space="preserve"> </w:t>
      </w:r>
    </w:p>
  </w:footnote>
  <w:footnote w:id="59">
    <w:p>
      <w:pPr>
        <w:pStyle w:val="FootnoteText"/>
        <w:rPr/>
      </w:pPr>
      <w:r>
        <w:rPr>
          <w:rStyle w:val="FootnoteCharacters"/>
        </w:rPr>
        <w:footnoteRef/>
      </w:r>
      <w:r>
        <w:rPr/>
        <w:t xml:space="preserve"> </w:t>
      </w:r>
      <w:r>
        <w:rPr>
          <w:i/>
          <w:iCs/>
        </w:rPr>
        <w:t>Id.</w:t>
      </w:r>
      <w:r>
        <w:rPr/>
        <w:t xml:space="preserve"> § 2000e–5(g).</w:t>
      </w:r>
    </w:p>
  </w:footnote>
  <w:footnote w:id="60">
    <w:p>
      <w:pPr>
        <w:pStyle w:val="FootnoteText"/>
        <w:rPr/>
      </w:pPr>
      <w:r>
        <w:rPr>
          <w:rStyle w:val="FootnoteCharacters"/>
        </w:rPr>
        <w:footnoteRef/>
      </w:r>
      <w:r>
        <w:rPr/>
        <w:t xml:space="preserve"> </w:t>
      </w:r>
      <w:r>
        <w:rPr/>
        <w:t>Damages in cases of intentional discrimination in employment, 42 U.S.C. § 1981a.</w:t>
      </w:r>
    </w:p>
  </w:footnote>
  <w:footnote w:id="61">
    <w:p>
      <w:pPr>
        <w:pStyle w:val="FootnoteText"/>
        <w:rPr/>
      </w:pPr>
      <w:r>
        <w:rPr>
          <w:rStyle w:val="FootnoteCharacters"/>
        </w:rPr>
        <w:footnoteRef/>
      </w:r>
      <w:r>
        <w:rPr/>
        <w:t xml:space="preserve"> </w:t>
      </w:r>
      <w:r>
        <w:rPr/>
        <w:t>42 U.S.C. § 2000e–5(k).</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5">
    <w:lvl w:ilvl="0">
      <w:start w:val="1"/>
      <w:numFmt w:val="lowerLetter"/>
      <w:lvlText w:val="%1."/>
      <w:lvlJc w:val="left"/>
      <w:pPr>
        <w:tabs>
          <w:tab w:val="num" w:pos="0"/>
        </w:tabs>
        <w:ind w:left="2160" w:hanging="360"/>
      </w:pPr>
      <w:rPr/>
    </w:lvl>
    <w:lvl w:ilvl="1">
      <w:start w:val="1"/>
      <w:numFmt w:val="lowerLetter"/>
      <w:lvlText w:val="%2."/>
      <w:lvlJc w:val="left"/>
      <w:pPr>
        <w:tabs>
          <w:tab w:val="num" w:pos="0"/>
        </w:tabs>
        <w:ind w:left="2880" w:hanging="360"/>
      </w:pPr>
      <w:rPr/>
    </w:lvl>
    <w:lvl w:ilvl="2">
      <w:start w:val="1"/>
      <w:numFmt w:val="lowerRoman"/>
      <w:lvlText w:val="%3."/>
      <w:lvlJc w:val="right"/>
      <w:pPr>
        <w:tabs>
          <w:tab w:val="num" w:pos="0"/>
        </w:tabs>
        <w:ind w:left="3600" w:hanging="180"/>
      </w:pPr>
      <w:rPr/>
    </w:lvl>
    <w:lvl w:ilvl="3">
      <w:start w:val="1"/>
      <w:numFmt w:val="decimal"/>
      <w:lvlText w:val="%4."/>
      <w:lvlJc w:val="left"/>
      <w:pPr>
        <w:tabs>
          <w:tab w:val="num" w:pos="0"/>
        </w:tabs>
        <w:ind w:left="4320" w:hanging="360"/>
      </w:pPr>
      <w:rPr/>
    </w:lvl>
    <w:lvl w:ilvl="4">
      <w:start w:val="1"/>
      <w:numFmt w:val="lowerLetter"/>
      <w:lvlText w:val="%5."/>
      <w:lvlJc w:val="left"/>
      <w:pPr>
        <w:tabs>
          <w:tab w:val="num" w:pos="0"/>
        </w:tabs>
        <w:ind w:left="5040" w:hanging="360"/>
      </w:pPr>
      <w:rPr/>
    </w:lvl>
    <w:lvl w:ilvl="5">
      <w:start w:val="1"/>
      <w:numFmt w:val="lowerRoman"/>
      <w:lvlText w:val="%6."/>
      <w:lvlJc w:val="right"/>
      <w:pPr>
        <w:tabs>
          <w:tab w:val="num" w:pos="0"/>
        </w:tabs>
        <w:ind w:left="5760" w:hanging="180"/>
      </w:pPr>
      <w:rPr/>
    </w:lvl>
    <w:lvl w:ilvl="6">
      <w:start w:val="1"/>
      <w:numFmt w:val="decimal"/>
      <w:lvlText w:val="%7."/>
      <w:lvlJc w:val="left"/>
      <w:pPr>
        <w:tabs>
          <w:tab w:val="num" w:pos="0"/>
        </w:tabs>
        <w:ind w:left="6480" w:hanging="360"/>
      </w:pPr>
      <w:rPr/>
    </w:lvl>
    <w:lvl w:ilvl="7">
      <w:start w:val="1"/>
      <w:numFmt w:val="lowerLetter"/>
      <w:lvlText w:val="%8."/>
      <w:lvlJc w:val="left"/>
      <w:pPr>
        <w:tabs>
          <w:tab w:val="num" w:pos="0"/>
        </w:tabs>
        <w:ind w:left="7200" w:hanging="360"/>
      </w:pPr>
      <w:rPr/>
    </w:lvl>
    <w:lvl w:ilvl="8">
      <w:start w:val="1"/>
      <w:numFmt w:val="lowerRoman"/>
      <w:lvlText w:val="%9."/>
      <w:lvlJc w:val="right"/>
      <w:pPr>
        <w:tabs>
          <w:tab w:val="num" w:pos="0"/>
        </w:tabs>
        <w:ind w:left="7920" w:hanging="180"/>
      </w:pPr>
      <w:rPr/>
    </w:lvl>
  </w:abstractNum>
  <w:abstractNum w:abstractNumId="6">
    <w:lvl w:ilvl="0">
      <w:start w:val="1"/>
      <w:numFmt w:val="upperRoman"/>
      <w:suff w:val="nothing"/>
      <w:lvlText w:val="CHAPTER %1"/>
      <w:lvlJc w:val="left"/>
      <w:pPr>
        <w:tabs>
          <w:tab w:val="num" w:pos="0"/>
        </w:tabs>
        <w:ind w:left="0" w:hanging="0"/>
      </w:pPr>
      <w:rPr>
        <w:b w:val="false"/>
        <w:bCs w:val="false"/>
        <w:i w:val="false"/>
        <w:iCs w:val="false"/>
        <w:caps w:val="false"/>
        <w:smallCaps w:val="false"/>
        <w:strike w:val="false"/>
        <w:dstrike w:val="false"/>
        <w:outline w:val="false"/>
        <w:shadow w:val="false"/>
        <w:emboss w:val="false"/>
        <w:imprint w:val="false"/>
        <w:vanish w:val="false"/>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
    <w:lvl w:ilvl="0">
      <w:start w:val="1"/>
      <w:numFmt w:val="decimal"/>
      <w:lvlText w:val="(%1)"/>
      <w:lvlJc w:val="left"/>
      <w:pPr>
        <w:tabs>
          <w:tab w:val="num" w:pos="0"/>
        </w:tabs>
        <w:ind w:left="1440" w:hanging="360"/>
      </w:pPr>
      <w:rPr>
        <w:rFonts w:ascii="Minion" w:hAnsi="Minion"/>
        <w:b w:val="false"/>
        <w:i w:val="false"/>
        <w:color w:val="auto"/>
        <w:sz w:val="24"/>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0">
    <w:lvl w:ilvl="0">
      <w:start w:val="1"/>
      <w:numFmt w:val="upperLetter"/>
      <w:lvlText w:val="%1."/>
      <w:lvlJc w:val="left"/>
      <w:pPr>
        <w:tabs>
          <w:tab w:val="num" w:pos="720"/>
        </w:tabs>
        <w:ind w:left="720" w:hanging="720"/>
      </w:pPr>
      <w:rPr>
        <w:rFonts w:ascii="Minion" w:hAnsi="Minion"/>
        <w:b/>
        <w:i w:val="false"/>
        <w:caps/>
        <w:color w:val="auto"/>
        <w:sz w:val="24"/>
      </w:rPr>
    </w:lvl>
    <w:lvl w:ilvl="1">
      <w:start w:val="1"/>
      <w:numFmt w:val="decimal"/>
      <w:lvlText w:val="%2."/>
      <w:lvlJc w:val="left"/>
      <w:pPr>
        <w:tabs>
          <w:tab w:val="num" w:pos="1440"/>
        </w:tabs>
        <w:ind w:left="1440" w:hanging="720"/>
      </w:pPr>
      <w:rPr>
        <w:rFonts w:ascii="Minion" w:hAnsi="Minion"/>
        <w:b/>
        <w:i w:val="false"/>
        <w:color w:val="auto"/>
        <w:sz w:val="24"/>
      </w:rPr>
    </w:lvl>
    <w:lvl w:ilvl="2">
      <w:start w:val="1"/>
      <w:numFmt w:val="lowerLetter"/>
      <w:lvlText w:val="%3."/>
      <w:lvlJc w:val="left"/>
      <w:pPr>
        <w:tabs>
          <w:tab w:val="num" w:pos="2160"/>
        </w:tabs>
        <w:ind w:left="2160" w:hanging="720"/>
      </w:pPr>
      <w:rPr>
        <w:rFonts w:ascii="Minion" w:hAnsi="Minion"/>
        <w:b/>
        <w:i w:val="false"/>
        <w:color w:val="auto"/>
        <w:sz w:val="24"/>
      </w:rPr>
    </w:lvl>
    <w:lvl w:ilvl="3">
      <w:start w:val="1"/>
      <w:numFmt w:val="decimal"/>
      <w:lvlText w:val="(%4)"/>
      <w:lvlJc w:val="left"/>
      <w:pPr>
        <w:tabs>
          <w:tab w:val="num" w:pos="2880"/>
        </w:tabs>
        <w:ind w:left="2880" w:hanging="720"/>
      </w:pPr>
      <w:rPr>
        <w:rFonts w:ascii="Minion" w:hAnsi="Minion"/>
        <w:b/>
        <w:i w:val="false"/>
        <w:color w:val="auto"/>
        <w:sz w:val="24"/>
      </w:rPr>
    </w:lvl>
    <w:lvl w:ilvl="4">
      <w:start w:val="1"/>
      <w:numFmt w:val="lowerLetter"/>
      <w:lvlText w:val="(%5)"/>
      <w:lvlJc w:val="left"/>
      <w:pPr>
        <w:tabs>
          <w:tab w:val="num" w:pos="3600"/>
        </w:tabs>
        <w:ind w:left="3600" w:hanging="720"/>
      </w:pPr>
      <w:rPr>
        <w:rFonts w:ascii="Minion" w:hAnsi="Minion"/>
        <w:b/>
        <w:i w:val="false"/>
        <w:color w:val="auto"/>
        <w:sz w:val="24"/>
      </w:rPr>
    </w:lvl>
    <w:lvl w:ilvl="5">
      <w:start w:val="1"/>
      <w:numFmt w:val="lowerRoman"/>
      <w:lvlText w:val="%6."/>
      <w:lvlJc w:val="right"/>
      <w:pPr>
        <w:tabs>
          <w:tab w:val="num" w:pos="4320"/>
        </w:tabs>
        <w:ind w:left="4320" w:hanging="720"/>
      </w:pPr>
      <w:rPr/>
    </w:lvl>
    <w:lvl w:ilvl="6">
      <w:start w:val="1"/>
      <w:numFmt w:val="decimal"/>
      <w:lvlText w:val="%7."/>
      <w:lvlJc w:val="left"/>
      <w:pPr>
        <w:tabs>
          <w:tab w:val="num" w:pos="5040"/>
        </w:tabs>
        <w:ind w:left="5040" w:hanging="720"/>
      </w:pPr>
      <w:rPr/>
    </w:lvl>
    <w:lvl w:ilvl="7">
      <w:start w:val="1"/>
      <w:numFmt w:val="lowerLetter"/>
      <w:lvlText w:val="%8."/>
      <w:lvlJc w:val="left"/>
      <w:pPr>
        <w:tabs>
          <w:tab w:val="num" w:pos="5760"/>
        </w:tabs>
        <w:ind w:left="5760" w:hanging="720"/>
      </w:pPr>
      <w:rPr/>
    </w:lvl>
    <w:lvl w:ilvl="8">
      <w:start w:val="1"/>
      <w:numFmt w:val="lowerRoman"/>
      <w:lvlText w:val="%9."/>
      <w:lvlJc w:val="right"/>
      <w:pPr>
        <w:tabs>
          <w:tab w:val="num" w:pos="6480"/>
        </w:tabs>
        <w:ind w:left="6480" w:hanging="720"/>
      </w:pPr>
      <w:rPr/>
    </w:lvl>
  </w:abstractNum>
  <w:abstractNum w:abstractNumId="11">
    <w:lvl w:ilvl="0">
      <w:start w:val="1"/>
      <w:numFmt w:val="decimal"/>
      <w:lvlText w:val="(%1)"/>
      <w:lvlJc w:val="left"/>
      <w:pPr>
        <w:tabs>
          <w:tab w:val="num" w:pos="1440"/>
        </w:tabs>
        <w:ind w:left="1440" w:hanging="720"/>
      </w:pPr>
      <w:rPr>
        <w:rFonts w:ascii="Minion" w:hAnsi="Minion"/>
        <w:b w:val="false"/>
        <w:i w:val="false"/>
        <w:caps w:val="false"/>
        <w:smallCaps w:val="false"/>
        <w:strike w:val="false"/>
        <w:dstrike w:val="false"/>
        <w:vanish w:val="false"/>
        <w:color w:val="auto"/>
        <w:position w:val="0"/>
        <w:sz w:val="24"/>
        <w:vertAlign w:val="baseline"/>
      </w:rPr>
    </w:lvl>
    <w:lvl w:ilvl="1">
      <w:start w:val="1"/>
      <w:numFmt w:val="lowerLetter"/>
      <w:lvlText w:val="(%2)"/>
      <w:lvlJc w:val="left"/>
      <w:pPr>
        <w:tabs>
          <w:tab w:val="num" w:pos="2160"/>
        </w:tabs>
        <w:ind w:left="2160" w:hanging="720"/>
      </w:pPr>
      <w:rPr>
        <w:rFonts w:ascii="Minion" w:hAnsi="Minion"/>
        <w:b w:val="false"/>
        <w:i w:val="false"/>
        <w:caps w:val="false"/>
        <w:smallCaps w:val="false"/>
        <w:strike w:val="false"/>
        <w:dstrike w:val="false"/>
        <w:vanish w:val="false"/>
        <w:color w:val="auto"/>
        <w:position w:val="0"/>
        <w:sz w:val="24"/>
        <w:vertAlign w:val="baseline"/>
      </w:rPr>
    </w:lvl>
    <w:lvl w:ilvl="2">
      <w:start w:val="1"/>
      <w:numFmt w:val="bullet"/>
      <w:lvlText w:val=""/>
      <w:lvlJc w:val="left"/>
      <w:pPr>
        <w:tabs>
          <w:tab w:val="num" w:pos="2880"/>
        </w:tabs>
        <w:ind w:left="2880" w:hanging="720"/>
      </w:pPr>
      <w:rPr>
        <w:rFonts w:ascii="Symbol" w:hAnsi="Symbol" w:cs="Symbol" w:hint="default"/>
        <w:b w:val="false"/>
        <w:i w:val="false"/>
        <w:caps w:val="false"/>
        <w:smallCaps w:val="false"/>
        <w:strike w:val="false"/>
        <w:dstrike w:val="false"/>
        <w:vanish w:val="false"/>
        <w:color w:val="auto"/>
        <w:position w:val="0"/>
        <w:sz w:val="24"/>
        <w:vertAlign w:val="baseline"/>
      </w:rPr>
    </w:lvl>
    <w:lvl w:ilvl="3">
      <w:start w:val="1"/>
      <w:numFmt w:val="lowerRoman"/>
      <w:lvlText w:val="(%4)"/>
      <w:lvlJc w:val="left"/>
      <w:pPr>
        <w:tabs>
          <w:tab w:val="num" w:pos="3600"/>
        </w:tabs>
        <w:ind w:left="3600" w:hanging="720"/>
      </w:pPr>
      <w:rPr>
        <w:rFonts w:ascii="Minion" w:hAnsi="Minion"/>
        <w:b w:val="false"/>
        <w:i w:val="false"/>
        <w:caps w:val="false"/>
        <w:smallCaps w:val="false"/>
        <w:strike w:val="false"/>
        <w:dstrike w:val="false"/>
        <w:vanish w:val="false"/>
        <w:color w:val="auto"/>
        <w:position w:val="0"/>
        <w:sz w:val="24"/>
        <w:vertAlign w:val="baseline"/>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12">
    <w:lvl w:ilvl="0">
      <w:start w:val="1"/>
      <w:numFmt w:val="decimal"/>
      <w:lvlText w:val="(%1)"/>
      <w:lvlJc w:val="left"/>
      <w:pPr>
        <w:tabs>
          <w:tab w:val="num" w:pos="0"/>
        </w:tabs>
        <w:ind w:left="1080" w:hanging="360"/>
      </w:pPr>
      <w:rPr>
        <w:rFonts w:ascii="Minion" w:hAnsi="Minion"/>
        <w:b w:val="false"/>
        <w:i w:val="false"/>
        <w:caps w:val="false"/>
        <w:smallCaps w:val="false"/>
        <w:strike w:val="false"/>
        <w:dstrike w:val="false"/>
        <w:vanish w:val="false"/>
        <w:color w:val="auto"/>
        <w:position w:val="0"/>
        <w:sz w:val="24"/>
        <w:vertAlign w:val="baseline"/>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3">
    <w:lvl w:ilvl="0">
      <w:start w:val="1"/>
      <w:numFmt w:val="lowerLetter"/>
      <w:lvlText w:val="(%1)"/>
      <w:lvlJc w:val="left"/>
      <w:pPr>
        <w:tabs>
          <w:tab w:val="num" w:pos="0"/>
        </w:tabs>
        <w:ind w:left="1440" w:hanging="360"/>
      </w:pPr>
      <w:rPr>
        <w:rFonts w:ascii="Minion" w:hAnsi="Minion"/>
        <w:b w:val="false"/>
        <w:i w:val="false"/>
        <w:caps w:val="false"/>
        <w:smallCaps w:val="false"/>
        <w:strike w:val="false"/>
        <w:dstrike w:val="false"/>
        <w:vanish w:val="false"/>
        <w:color w:val="auto"/>
        <w:position w:val="0"/>
        <w:sz w:val="24"/>
        <w:vertAlign w:val="baseline"/>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4">
    <w:lvl w:ilvl="0">
      <w:start w:val="1"/>
      <w:numFmt w:val="lowerRoman"/>
      <w:lvlText w:val="(%1)"/>
      <w:lvlJc w:val="left"/>
      <w:pPr>
        <w:tabs>
          <w:tab w:val="num" w:pos="0"/>
        </w:tabs>
        <w:ind w:left="1800" w:hanging="360"/>
      </w:pPr>
      <w:rPr>
        <w:rFonts w:ascii="Minion" w:hAnsi="Minion"/>
        <w:b w:val="false"/>
        <w:i w:val="false"/>
        <w:caps w:val="false"/>
        <w:smallCaps w:val="false"/>
        <w:strike w:val="false"/>
        <w:dstrike w:val="false"/>
        <w:vanish w:val="false"/>
        <w:color w:val="auto"/>
        <w:position w:val="0"/>
        <w:sz w:val="24"/>
        <w:vertAlign w:val="baseline"/>
      </w:rPr>
    </w:lvl>
    <w:lvl w:ilvl="1">
      <w:start w:val="1"/>
      <w:numFmt w:val="lowerLetter"/>
      <w:lvlText w:val="%2."/>
      <w:lvlJc w:val="left"/>
      <w:pPr>
        <w:tabs>
          <w:tab w:val="num" w:pos="0"/>
        </w:tabs>
        <w:ind w:left="2520" w:hanging="360"/>
      </w:pPr>
      <w:rPr/>
    </w:lvl>
    <w:lvl w:ilvl="2">
      <w:start w:val="1"/>
      <w:numFmt w:val="lowerRoman"/>
      <w:lvlText w:val="%3."/>
      <w:lvlJc w:val="right"/>
      <w:pPr>
        <w:tabs>
          <w:tab w:val="num" w:pos="0"/>
        </w:tabs>
        <w:ind w:left="3240" w:hanging="180"/>
      </w:pPr>
      <w:rPr/>
    </w:lvl>
    <w:lvl w:ilvl="3">
      <w:start w:val="1"/>
      <w:numFmt w:val="decimal"/>
      <w:lvlText w:val="%4."/>
      <w:lvlJc w:val="left"/>
      <w:pPr>
        <w:tabs>
          <w:tab w:val="num" w:pos="0"/>
        </w:tabs>
        <w:ind w:left="3960" w:hanging="360"/>
      </w:pPr>
      <w:rPr/>
    </w:lvl>
    <w:lvl w:ilvl="4">
      <w:start w:val="1"/>
      <w:numFmt w:val="lowerLetter"/>
      <w:lvlText w:val="%5."/>
      <w:lvlJc w:val="left"/>
      <w:pPr>
        <w:tabs>
          <w:tab w:val="num" w:pos="0"/>
        </w:tabs>
        <w:ind w:left="4680" w:hanging="360"/>
      </w:pPr>
      <w:rPr/>
    </w:lvl>
    <w:lvl w:ilvl="5">
      <w:start w:val="1"/>
      <w:numFmt w:val="lowerRoman"/>
      <w:lvlText w:val="%6."/>
      <w:lvlJc w:val="right"/>
      <w:pPr>
        <w:tabs>
          <w:tab w:val="num" w:pos="0"/>
        </w:tabs>
        <w:ind w:left="5400" w:hanging="180"/>
      </w:pPr>
      <w:rPr/>
    </w:lvl>
    <w:lvl w:ilvl="6">
      <w:start w:val="1"/>
      <w:numFmt w:val="decimal"/>
      <w:lvlText w:val="%7."/>
      <w:lvlJc w:val="left"/>
      <w:pPr>
        <w:tabs>
          <w:tab w:val="num" w:pos="0"/>
        </w:tabs>
        <w:ind w:left="6120" w:hanging="360"/>
      </w:pPr>
      <w:rPr/>
    </w:lvl>
    <w:lvl w:ilvl="7">
      <w:start w:val="1"/>
      <w:numFmt w:val="lowerLetter"/>
      <w:lvlText w:val="%8."/>
      <w:lvlJc w:val="left"/>
      <w:pPr>
        <w:tabs>
          <w:tab w:val="num" w:pos="0"/>
        </w:tabs>
        <w:ind w:left="6840" w:hanging="360"/>
      </w:pPr>
      <w:rPr/>
    </w:lvl>
    <w:lvl w:ilvl="8">
      <w:start w:val="1"/>
      <w:numFmt w:val="lowerRoman"/>
      <w:lvlText w:val="%9."/>
      <w:lvlJc w:val="right"/>
      <w:pPr>
        <w:tabs>
          <w:tab w:val="num" w:pos="0"/>
        </w:tabs>
        <w:ind w:left="7560" w:hanging="180"/>
      </w:pPr>
      <w:rPr/>
    </w:lvl>
  </w:abstractNum>
  <w:abstractNum w:abstractNumId="15">
    <w:lvl w:ilvl="0">
      <w:start w:val="1"/>
      <w:numFmt w:val="bullet"/>
      <w:lvlText w:val=""/>
      <w:lvlJc w:val="left"/>
      <w:pPr>
        <w:tabs>
          <w:tab w:val="num" w:pos="227"/>
        </w:tabs>
        <w:ind w:left="360" w:hanging="360"/>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SystemFonts/>
  <w:defaultTabStop w:val="643"/>
  <w:autoHyphenation w:val="true"/>
  <w:hyphenationZone w:val="360"/>
  <w:evenAndOddHeaders/>
  <w:footnotePr>
    <w:numFmt w:val="decimal"/>
    <w:footnote w:id="0"/>
    <w:footnote w:id="1"/>
  </w:footnotePr>
  <w:compat>
    <w:doNotExpandShiftReturn/>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nion" w:hAnsi="Minion" w:eastAsia="Calibri" w:cs="" w:cstheme="minorBidi" w:eastAsiaTheme="minorHAnsi"/>
        <w:sz w:val="24"/>
        <w:szCs w:val="24"/>
        <w:lang w:val="en-US" w:eastAsia="en-US" w:bidi="ar-SA"/>
      </w:rPr>
    </w:rPrDefault>
    <w:pPrDefault>
      <w:pPr>
        <w:suppressAutoHyphens w:val="true"/>
      </w:pPr>
    </w:pPrDefault>
  </w:docDefaults>
  <w:latentStyles w:defLockedState="1" w:defUIPriority="0" w:defSemiHidden="0" w:defUnhideWhenUsed="0" w:defQFormat="0" w:count="371">
    <w:lsdException w:name="Normal" w:locked="0" w:qFormat="1"/>
    <w:lsdException w:name="heading 1" w:locked="0" w:qFormat="1"/>
    <w:lsdException w:name="heading 2" w:locked="0" w:qFormat="1"/>
    <w:lsdException w:name="heading 3" w:locked="0" w:qFormat="1"/>
    <w:lsdException w:name="heading 4" w:locked="0" w:qFormat="1"/>
    <w:lsdException w:name="heading 5" w:locked="0" w:semiHidden="1" w:unhideWhenUsed="1"/>
    <w:lsdException w:name="heading 6" w:locked="0" w:semiHidden="1" w:unhideWhenUsed="1"/>
    <w:lsdException w:name="heading 7" w:semiHidden="1" w:unhideWhenUsed="1"/>
    <w:lsdException w:name="heading 8"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1" w:semiHidden="1" w:unhideWhenUsed="1" w:qFormat="1"/>
    <w:lsdException w:name="toc 2" w:locked="0" w:uiPriority="1" w:semiHidden="1" w:unhideWhenUsed="1" w:qFormat="1"/>
    <w:lsdException w:name="toc 3" w:locked="0" w:uiPriority="1" w:semiHidden="1" w:unhideWhenUsed="1" w:qFormat="1"/>
    <w:lsdException w:name="toc 4" w:locked="0" w:uiPriority="1"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uiPriority="99" w:semiHidden="1" w:unhideWhenUsed="1"/>
    <w:lsdException w:name="annotation text" w:semiHidden="1" w:unhideWhenUsed="1"/>
    <w:lsdException w:name="header" w:semiHidden="1" w:unhideWhenUsed="1"/>
    <w:lsdException w:name="footer" w:locked="0" w:uiPriority="99"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lsdException w:name="endnote reference" w:semiHidden="1" w:unhideWhenUsed="1"/>
    <w:lsdException w:name="endnote text" w:uiPriority="99" w:semiHidden="1" w:unhideWhenUsed="1" w:qFormat="1"/>
    <w:lsdException w:name="table of authorities" w:semiHidden="1" w:unhideWhenUsed="1"/>
    <w:lsdException w:name="macro" w:locked="0" w:semiHidden="1" w:unhideWhenUsed="1"/>
    <w:lsdException w:name="toa heading" w:semiHidden="1" w:unhideWhenUsed="1"/>
    <w:lsdException w:name="List" w:locked="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locked="0" w:uiPriority="1" w:semiHidden="1" w:unhideWhenUsed="1"/>
    <w:lsdException w:name="Body Text" w:locked="0" w:semiHidden="1" w:unhideWhenUsed="1" w:qFormat="1"/>
    <w:lsdException w:name="Body Text Indent" w:locked="0"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0" w:semiHidden="1" w:unhideWhenUsed="1" w:qFormat="1"/>
    <w:lsdException w:name="Body Text Indent 3" w:locked="0" w:semiHidden="1" w:unhideWhenUsed="1" w:qFormat="1"/>
    <w:lsdException w:name="Hyperlink" w:locked="0" w:uiPriority="99" w:semiHidden="1" w:unhideWhenUsed="1"/>
    <w:lsdException w:name="FollowedHyperlink" w:semiHidden="1" w:unhideWhenUsed="1"/>
    <w:lsdException w:name="Strong" w:uiPriority="22"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locked="0" w:uiPriority="99" w:semiHidden="1" w:unhideWhenUsed="1"/>
    <w:lsdException w:name="HTML Bottom of Form" w:locked="0" w:uiPriority="99"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uiPriority="99" w:semiHidden="1" w:unhideWhenUsed="1"/>
    <w:lsdException w:name="annotation subject" w:semiHidden="1" w:unhideWhenUsed="1"/>
    <w:lsdException w:name="No List" w:locked="0"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uiPriority="99" w:semiHidden="1" w:unhideWhenUsed="1"/>
    <w:lsdException w:name="Table Simple 2" w:uiPriority="99" w:semiHidden="1" w:unhideWhenUsed="1"/>
    <w:lsdException w:name="Table Simple 3" w:uiPriority="99" w:semiHidden="1" w:unhideWhenUsed="1"/>
    <w:lsdException w:name="Table Classic 1" w:uiPriority="99" w:semiHidden="1" w:unhideWhenUsed="1"/>
    <w:lsdException w:name="Table Classic 2" w:uiPriority="99" w:semiHidden="1" w:unhideWhenUsed="1"/>
    <w:lsdException w:name="Table Classic 3" w:uiPriority="99" w:semiHidden="1" w:unhideWhenUsed="1"/>
    <w:lsdException w:name="Table Classic 4" w:uiPriority="99" w:semiHidden="1" w:unhideWhenUsed="1"/>
    <w:lsdException w:name="Table Colorful 1" w:uiPriority="99" w:semiHidden="1" w:unhideWhenUsed="1"/>
    <w:lsdException w:name="Table Colorful 2" w:uiPriority="99" w:semiHidden="1" w:unhideWhenUsed="1"/>
    <w:lsdException w:name="Table Colorful 3" w:uiPriority="99" w:semiHidden="1" w:unhideWhenUsed="1"/>
    <w:lsdException w:name="Table Columns 1" w:uiPriority="99" w:semiHidden="1" w:unhideWhenUsed="1"/>
    <w:lsdException w:name="Table Columns 2" w:uiPriority="99" w:semiHidden="1" w:unhideWhenUsed="1"/>
    <w:lsdException w:name="Table Columns 3" w:uiPriority="99" w:semiHidden="1" w:unhideWhenUsed="1"/>
    <w:lsdException w:name="Table Columns 4" w:uiPriority="99" w:semiHidden="1" w:unhideWhenUsed="1"/>
    <w:lsdException w:name="Table Columns 5" w:uiPriority="99" w:semiHidden="1" w:unhideWhenUsed="1"/>
    <w:lsdException w:name="Table Grid 1" w:uiPriority="99" w:semiHidden="1" w:unhideWhenUsed="1"/>
    <w:lsdException w:name="Table Grid 2" w:uiPriority="99" w:semiHidden="1" w:unhideWhenUsed="1"/>
    <w:lsdException w:name="Table Grid 3" w:uiPriority="99" w:semiHidden="1" w:unhideWhenUsed="1"/>
    <w:lsdException w:name="Table Grid 4" w:uiPriority="99" w:semiHidden="1" w:unhideWhenUsed="1"/>
    <w:lsdException w:name="Table Grid 5" w:uiPriority="99" w:semiHidden="1" w:unhideWhenUsed="1"/>
    <w:lsdException w:name="Table Grid 6" w:uiPriority="99" w:semiHidden="1" w:unhideWhenUsed="1"/>
    <w:lsdException w:name="Table Grid 7" w:uiPriority="99" w:semiHidden="1" w:unhideWhenUsed="1"/>
    <w:lsdException w:name="Table Grid 8" w:uiPriority="99" w:semiHidden="1" w:unhideWhenUsed="1"/>
    <w:lsdException w:name="Table List 1" w:uiPriority="99" w:semiHidden="1" w:unhideWhenUsed="1"/>
    <w:lsdException w:name="Table List 2" w:uiPriority="99" w:semiHidden="1" w:unhideWhenUsed="1"/>
    <w:lsdException w:name="Table List 3" w:uiPriority="99" w:semiHidden="1" w:unhideWhenUsed="1"/>
    <w:lsdException w:name="Table List 4" w:uiPriority="99" w:semiHidden="1" w:unhideWhenUsed="1"/>
    <w:lsdException w:name="Table List 5" w:uiPriority="99" w:semiHidden="1" w:unhideWhenUsed="1"/>
    <w:lsdException w:name="Table List 6" w:uiPriority="99" w:semiHidden="1" w:unhideWhenUsed="1"/>
    <w:lsdException w:name="Table List 7" w:uiPriority="99" w:semiHidden="1" w:unhideWhenUsed="1"/>
    <w:lsdException w:name="Table List 8" w:uiPriority="99" w:semiHidden="1" w:unhideWhenUsed="1"/>
    <w:lsdException w:name="Table 3D effects 1" w:uiPriority="99" w:semiHidden="1" w:unhideWhenUsed="1"/>
    <w:lsdException w:name="Table 3D effects 2" w:uiPriority="99" w:semiHidden="1" w:unhideWhenUsed="1"/>
    <w:lsdException w:name="Table 3D effects 3" w:uiPriority="99" w:semiHidden="1" w:unhideWhenUsed="1"/>
    <w:lsdException w:name="Table Contemporary" w:uiPriority="99" w:semiHidden="1" w:unhideWhenUsed="1"/>
    <w:lsdException w:name="Table Elegant" w:uiPriority="99" w:semiHidden="1" w:unhideWhenUsed="1"/>
    <w:lsdException w:name="Table Professional" w:uiPriority="99" w:semiHidden="1" w:unhideWhenUsed="1"/>
    <w:lsdException w:name="Table Subtle 1" w:uiPriority="99" w:semiHidden="1" w:unhideWhenUsed="1"/>
    <w:lsdException w:name="Table Subtle 2" w:uiPriority="99" w:semiHidden="1" w:unhideWhenUsed="1"/>
    <w:lsdException w:name="Table Web 1" w:uiPriority="99" w:semiHidden="1" w:unhideWhenUsed="1"/>
    <w:lsdException w:name="Table Web 2" w:uiPriority="99" w:semiHidden="1" w:unhideWhenUsed="1"/>
    <w:lsdException w:name="Table Web 3" w:uiPriority="99" w:semiHidden="1" w:unhideWhenUsed="1"/>
    <w:lsdException w:name="Balloon Text" w:semiHidden="1" w:unhideWhenUsed="1"/>
    <w:lsdException w:name="Table Grid" w:uiPriority="39"/>
    <w:lsdException w:name="Table Theme" w:uiPriority="99"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emiHidden/>
    <w:qFormat/>
    <w:rsid w:val="00696653"/>
    <w:pPr>
      <w:widowControl/>
      <w:suppressAutoHyphens w:val="true"/>
      <w:bidi w:val="0"/>
      <w:spacing w:lineRule="auto" w:line="288" w:before="0" w:after="240"/>
      <w:ind w:firstLine="720"/>
      <w:jc w:val="both"/>
    </w:pPr>
    <w:rPr>
      <w:rFonts w:ascii="Minion" w:hAnsi="Minion" w:eastAsia="Calibri" w:cs="" w:cstheme="minorBidi" w:eastAsiaTheme="minorHAnsi"/>
      <w:color w:val="auto"/>
      <w:kern w:val="0"/>
      <w:sz w:val="24"/>
      <w:szCs w:val="24"/>
      <w:lang w:val="en-US" w:eastAsia="en-US" w:bidi="ar-SA"/>
    </w:rPr>
  </w:style>
  <w:style w:type="paragraph" w:styleId="Heading1">
    <w:name w:val="heading 1"/>
    <w:basedOn w:val="Normal"/>
    <w:next w:val="BodyText"/>
    <w:link w:val="Heading1Char"/>
    <w:qFormat/>
    <w:rsid w:val="009542ba"/>
    <w:pPr>
      <w:keepNext w:val="true"/>
      <w:keepLines/>
      <w:numPr>
        <w:ilvl w:val="0"/>
        <w:numId w:val="10"/>
      </w:numPr>
      <w:jc w:val="left"/>
      <w:outlineLvl w:val="0"/>
    </w:pPr>
    <w:rPr>
      <w:rFonts w:eastAsia="Times New Roman" w:cs="Times New Roman"/>
      <w:b/>
      <w:caps/>
      <w:color w:val="auto"/>
      <w:u w:val="none" w:color="000000"/>
    </w:rPr>
  </w:style>
  <w:style w:type="paragraph" w:styleId="Heading2">
    <w:name w:val="heading 2"/>
    <w:basedOn w:val="Heading1"/>
    <w:next w:val="BodyText"/>
    <w:link w:val="Heading2Char"/>
    <w:qFormat/>
    <w:rsid w:val="009542ba"/>
    <w:pPr>
      <w:numPr>
        <w:ilvl w:val="1"/>
        <w:numId w:val="10"/>
      </w:numPr>
      <w:outlineLvl w:val="1"/>
    </w:pPr>
    <w:rPr>
      <w:rFonts w:eastAsia="" w:cs="" w:cstheme="majorBidi" w:eastAsiaTheme="majorEastAsia"/>
      <w:caps w:val="false"/>
      <w:smallCaps w:val="false"/>
      <w:szCs w:val="26"/>
    </w:rPr>
  </w:style>
  <w:style w:type="paragraph" w:styleId="Heading3">
    <w:name w:val="heading 3"/>
    <w:basedOn w:val="Heading2"/>
    <w:next w:val="BodyText"/>
    <w:link w:val="Heading3Char"/>
    <w:qFormat/>
    <w:rsid w:val="009542ba"/>
    <w:pPr>
      <w:numPr>
        <w:ilvl w:val="2"/>
        <w:numId w:val="10"/>
      </w:numPr>
      <w:tabs>
        <w:tab w:val="clear" w:pos="643"/>
        <w:tab w:val="left" w:pos="1440" w:leader="none"/>
      </w:tabs>
      <w:outlineLvl w:val="2"/>
    </w:pPr>
    <w:rPr>
      <w:color w:val="auto"/>
    </w:rPr>
  </w:style>
  <w:style w:type="paragraph" w:styleId="Heading4">
    <w:name w:val="heading 4"/>
    <w:basedOn w:val="Heading3"/>
    <w:next w:val="BodyText"/>
    <w:link w:val="Heading4Char"/>
    <w:qFormat/>
    <w:rsid w:val="009542ba"/>
    <w:pPr>
      <w:tabs>
        <w:tab w:val="clear" w:pos="1440"/>
        <w:tab w:val="left" w:pos="2160" w:leader="none"/>
      </w:tabs>
      <w:outlineLvl w:val="3"/>
    </w:pPr>
    <w:rPr>
      <w:iCs/>
    </w:rPr>
  </w:style>
  <w:style w:type="paragraph" w:styleId="Heading5">
    <w:name w:val="heading 5"/>
    <w:basedOn w:val="Heading4"/>
    <w:next w:val="BodyText"/>
    <w:link w:val="Heading5Char"/>
    <w:qFormat/>
    <w:rsid w:val="009542ba"/>
    <w:pPr>
      <w:numPr>
        <w:ilvl w:val="4"/>
        <w:numId w:val="10"/>
      </w:numPr>
      <w:tabs>
        <w:tab w:val="clear" w:pos="2160"/>
        <w:tab w:val="left" w:pos="2880" w:leader="none"/>
      </w:tabs>
      <w:outlineLvl w:val="4"/>
    </w:pPr>
    <w:rPr/>
  </w:style>
  <w:style w:type="paragraph" w:styleId="Heading6">
    <w:name w:val="heading 6"/>
    <w:basedOn w:val="ChapterNumber"/>
    <w:next w:val="ChapterName"/>
    <w:link w:val="Heading6Char"/>
    <w:qFormat/>
    <w:rsid w:val="002445c9"/>
    <w:pPr>
      <w:numPr>
        <w:ilvl w:val="0"/>
        <w:numId w:val="6"/>
      </w:numPr>
      <w:outlineLvl w:val="5"/>
    </w:pPr>
    <w:rPr/>
  </w:style>
  <w:style w:type="paragraph" w:styleId="Heading7">
    <w:name w:val="heading 7"/>
    <w:basedOn w:val="ChapterNumber"/>
    <w:next w:val="ChapterName"/>
    <w:link w:val="Heading7Char"/>
    <w:semiHidden/>
    <w:qFormat/>
    <w:locked/>
    <w:rsid w:val="002e7eea"/>
    <w:pPr>
      <w:outlineLvl w:val="6"/>
    </w:pPr>
    <w:rPr>
      <w:u w:val="none"/>
    </w:rPr>
  </w:style>
  <w:style w:type="paragraph" w:styleId="Heading8">
    <w:name w:val="heading 8"/>
    <w:basedOn w:val="Heading7"/>
    <w:next w:val="Normal"/>
    <w:link w:val="Heading8Char"/>
    <w:semiHidden/>
    <w:qFormat/>
    <w:locked/>
    <w:rsid w:val="00b5325c"/>
    <w:pPr>
      <w:keepNext w:val="true"/>
      <w:keepLines/>
      <w:spacing w:before="40" w:after="0"/>
      <w:outlineLvl w:val="7"/>
    </w:pPr>
    <w:rPr>
      <w:rFonts w:ascii="Calibri Light" w:hAnsi="Calibri Light" w:eastAsia="" w:cs="" w:asciiTheme="majorHAnsi" w:cstheme="majorBidi" w:eastAsiaTheme="majorEastAsia" w:hAnsiTheme="majorHAnsi"/>
      <w:color w:val="auto"/>
      <w:sz w:val="21"/>
      <w:szCs w:val="21"/>
    </w:rPr>
  </w:style>
  <w:style w:type="paragraph" w:styleId="Heading9">
    <w:name w:val="heading 9"/>
    <w:basedOn w:val="Heading8"/>
    <w:next w:val="Normal"/>
    <w:link w:val="Heading9Char"/>
    <w:uiPriority w:val="9"/>
    <w:semiHidden/>
    <w:qFormat/>
    <w:locked/>
    <w:rsid w:val="00b5325c"/>
    <w:pPr>
      <w:keepNext w:val="true"/>
      <w:keepLines/>
      <w:spacing w:before="40" w:after="0"/>
      <w:outlineLvl w:val="8"/>
    </w:pPr>
    <w:rPr>
      <w:rFonts w:ascii="Calibri Light" w:hAnsi="Calibri Light" w:eastAsia="" w:cs="" w:asciiTheme="majorHAnsi" w:cstheme="majorBidi" w:eastAsiaTheme="majorEastAsia" w:hAnsiTheme="majorHAnsi"/>
      <w:i/>
      <w:iCs/>
      <w:color w:val="auto"/>
      <w:sz w:val="21"/>
      <w:szCs w:val="21"/>
    </w:rPr>
  </w:style>
  <w:style w:type="character" w:styleId="DefaultParagraphFont" w:default="1">
    <w:name w:val="Default Paragraph Font"/>
    <w:uiPriority w:val="1"/>
    <w:unhideWhenUsed/>
    <w:qFormat/>
    <w:rPr/>
  </w:style>
  <w:style w:type="character" w:styleId="FooterChar" w:customStyle="1">
    <w:name w:val="Footer Char"/>
    <w:basedOn w:val="DefaultParagraphFont"/>
    <w:link w:val="Footer"/>
    <w:uiPriority w:val="99"/>
    <w:semiHidden/>
    <w:qFormat/>
    <w:rsid w:val="00e40f12"/>
    <w:rPr>
      <w:b/>
      <w:color w:themeColor="background1" w:themeShade="80" w:val="808080"/>
    </w:rPr>
  </w:style>
  <w:style w:type="character" w:styleId="ChapterNumberChar" w:customStyle="1">
    <w:name w:val="Chapter Number Char"/>
    <w:basedOn w:val="DefaultParagraphFont"/>
    <w:link w:val="ChapterNumber"/>
    <w:semiHidden/>
    <w:qFormat/>
    <w:rsid w:val="00e40f12"/>
    <w:rPr>
      <w:b/>
      <w:caps/>
      <w:sz w:val="28"/>
      <w:u w:val="single"/>
    </w:rPr>
  </w:style>
  <w:style w:type="character" w:styleId="ChapterNameChar" w:customStyle="1">
    <w:name w:val="Chapter Name Char"/>
    <w:basedOn w:val="DefaultParagraphFont"/>
    <w:link w:val="ChapterName"/>
    <w:qFormat/>
    <w:rsid w:val="00e40f12"/>
    <w:rPr>
      <w:b/>
      <w:sz w:val="28"/>
    </w:rPr>
  </w:style>
  <w:style w:type="character" w:styleId="SpeakerName-CityChar" w:customStyle="1">
    <w:name w:val="Speaker Name - City Char"/>
    <w:basedOn w:val="DefaultParagraphFont"/>
    <w:link w:val="SpeakerName-City"/>
    <w:qFormat/>
    <w:rsid w:val="00696653"/>
    <w:rPr>
      <w:i/>
    </w:rPr>
  </w:style>
  <w:style w:type="character" w:styleId="TableofContentsChar" w:customStyle="1">
    <w:name w:val="Table of Contents Char"/>
    <w:basedOn w:val="DefaultParagraphFont"/>
    <w:link w:val="TableofContents"/>
    <w:semiHidden/>
    <w:qFormat/>
    <w:rsid w:val="00e40f12"/>
    <w:rPr/>
  </w:style>
  <w:style w:type="character" w:styleId="Heading1Char" w:customStyle="1">
    <w:name w:val="Heading 1 Char"/>
    <w:basedOn w:val="DefaultParagraphFont"/>
    <w:link w:val="Heading1"/>
    <w:qFormat/>
    <w:rsid w:val="009542ba"/>
    <w:rPr>
      <w:rFonts w:eastAsia="Times New Roman" w:cs="Times New Roman"/>
      <w:b/>
      <w:caps/>
      <w:color w:val="000000"/>
      <w:u w:val="none" w:color="000000"/>
    </w:rPr>
  </w:style>
  <w:style w:type="character" w:styleId="Heading2Char" w:customStyle="1">
    <w:name w:val="Heading 2 Char"/>
    <w:basedOn w:val="DefaultParagraphFont"/>
    <w:link w:val="Heading2"/>
    <w:qFormat/>
    <w:rsid w:val="009542ba"/>
    <w:rPr>
      <w:rFonts w:eastAsia="" w:cs="" w:cstheme="majorBidi" w:eastAsiaTheme="majorEastAsia"/>
      <w:b/>
      <w:color w:val="000000"/>
      <w:szCs w:val="26"/>
      <w:u w:val="none" w:color="000000"/>
    </w:rPr>
  </w:style>
  <w:style w:type="character" w:styleId="Heading3Char" w:customStyle="1">
    <w:name w:val="Heading 3 Char"/>
    <w:basedOn w:val="DefaultParagraphFont"/>
    <w:link w:val="Heading3"/>
    <w:qFormat/>
    <w:rsid w:val="009542ba"/>
    <w:rPr>
      <w:rFonts w:eastAsia="" w:cs="" w:cstheme="majorBidi" w:eastAsiaTheme="majorEastAsia"/>
      <w:b/>
      <w:szCs w:val="26"/>
      <w:u w:val="none" w:color="000000"/>
    </w:rPr>
  </w:style>
  <w:style w:type="character" w:styleId="Heading4Char" w:customStyle="1">
    <w:name w:val="Heading 4 Char"/>
    <w:basedOn w:val="DefaultParagraphFont"/>
    <w:link w:val="Heading4"/>
    <w:qFormat/>
    <w:rsid w:val="009542ba"/>
    <w:rPr>
      <w:rFonts w:eastAsia="" w:cs="" w:cstheme="majorBidi" w:eastAsiaTheme="majorEastAsia"/>
      <w:b/>
      <w:iCs/>
      <w:szCs w:val="26"/>
      <w:u w:val="none" w:color="000000"/>
    </w:rPr>
  </w:style>
  <w:style w:type="character" w:styleId="Heading5Char" w:customStyle="1">
    <w:name w:val="Heading 5 Char"/>
    <w:basedOn w:val="DefaultParagraphFont"/>
    <w:link w:val="Heading5"/>
    <w:qFormat/>
    <w:rsid w:val="009542ba"/>
    <w:rPr>
      <w:rFonts w:eastAsia="" w:cs="" w:cstheme="majorBidi" w:eastAsiaTheme="majorEastAsia"/>
      <w:b/>
      <w:iCs/>
      <w:szCs w:val="26"/>
      <w:u w:val="none" w:color="000000"/>
    </w:rPr>
  </w:style>
  <w:style w:type="character" w:styleId="Heading6Char" w:customStyle="1">
    <w:name w:val="Heading 6 Char"/>
    <w:basedOn w:val="DefaultParagraphFont"/>
    <w:link w:val="Heading6"/>
    <w:qFormat/>
    <w:rsid w:val="002445c9"/>
    <w:rPr>
      <w:b/>
      <w:caps/>
      <w:sz w:val="28"/>
      <w:u w:val="single"/>
    </w:rPr>
  </w:style>
  <w:style w:type="character" w:styleId="BodyTextChar" w:customStyle="1">
    <w:name w:val="Body Text Char"/>
    <w:basedOn w:val="DefaultParagraphFont"/>
    <w:qFormat/>
    <w:rsid w:val="009542ba"/>
    <w:rPr>
      <w:kern w:val="2"/>
    </w:rPr>
  </w:style>
  <w:style w:type="character" w:styleId="Hyperlink">
    <w:name w:val="Hyperlink"/>
    <w:basedOn w:val="DefaultParagraphFont"/>
    <w:uiPriority w:val="99"/>
    <w:semiHidden/>
    <w:rsid w:val="00d5796f"/>
    <w:rPr>
      <w:color w:themeColor="hyperlink" w:val="0563C1"/>
      <w:u w:val="single"/>
    </w:rPr>
  </w:style>
  <w:style w:type="character" w:styleId="FootnoteTextChar" w:customStyle="1">
    <w:name w:val="Footnote Text Char"/>
    <w:basedOn w:val="DefaultParagraphFont"/>
    <w:link w:val="FootnoteText"/>
    <w:uiPriority w:val="99"/>
    <w:semiHidden/>
    <w:qFormat/>
    <w:rsid w:val="00e40f12"/>
    <w:rPr>
      <w:sz w:val="20"/>
      <w:szCs w:val="20"/>
    </w:rPr>
  </w:style>
  <w:style w:type="character" w:styleId="Heading7Char" w:customStyle="1">
    <w:name w:val="Heading 7 Char"/>
    <w:basedOn w:val="DefaultParagraphFont"/>
    <w:link w:val="Heading7"/>
    <w:semiHidden/>
    <w:qFormat/>
    <w:rsid w:val="00f72aa5"/>
    <w:rPr>
      <w:b/>
      <w:caps/>
      <w:sz w:val="28"/>
    </w:rPr>
  </w:style>
  <w:style w:type="character" w:styleId="Heading8Char" w:customStyle="1">
    <w:name w:val="Heading 8 Char"/>
    <w:basedOn w:val="DefaultParagraphFont"/>
    <w:link w:val="Heading8"/>
    <w:semiHidden/>
    <w:qFormat/>
    <w:rsid w:val="00f72aa5"/>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e40f12"/>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MacroTextChar" w:customStyle="1">
    <w:name w:val="Macro Text Char"/>
    <w:basedOn w:val="DefaultParagraphFont"/>
    <w:link w:val="MacroText"/>
    <w:semiHidden/>
    <w:qFormat/>
    <w:rsid w:val="00260da5"/>
    <w:rPr>
      <w:rFonts w:ascii="Consolas" w:hAnsi="Consolas" w:cs="Consolas"/>
      <w:sz w:val="20"/>
      <w:szCs w:val="20"/>
    </w:rPr>
  </w:style>
  <w:style w:type="character" w:styleId="FootnoteCharactersuser">
    <w:name w:val="Footnote Characters (user)"/>
    <w:semiHidden/>
    <w:unhideWhenUsed/>
    <w:qFormat/>
    <w:locked/>
    <w:rsid w:val="00d56b78"/>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aseLawChar" w:customStyle="1">
    <w:name w:val="CaseLaw Char"/>
    <w:basedOn w:val="DefaultParagraphFont"/>
    <w:link w:val="CaseLaw"/>
    <w:semiHidden/>
    <w:qFormat/>
    <w:rsid w:val="00e40f12"/>
    <w:rPr>
      <w:i/>
    </w:rPr>
  </w:style>
  <w:style w:type="character" w:styleId="BodyTextIndentChar" w:customStyle="1">
    <w:name w:val="Body Text Indent Char"/>
    <w:basedOn w:val="DefaultParagraphFont"/>
    <w:qFormat/>
    <w:rsid w:val="00206092"/>
    <w:rPr/>
  </w:style>
  <w:style w:type="character" w:styleId="BodyTextIndent2Char" w:customStyle="1">
    <w:name w:val="Body Text Indent 2 Char"/>
    <w:basedOn w:val="DefaultParagraphFont"/>
    <w:link w:val="BodyTextIndent2"/>
    <w:qFormat/>
    <w:rsid w:val="00206092"/>
    <w:rPr/>
  </w:style>
  <w:style w:type="character" w:styleId="BodyTextIndent3Char" w:customStyle="1">
    <w:name w:val="Body Text Indent 3 Char"/>
    <w:basedOn w:val="DefaultParagraphFont"/>
    <w:link w:val="BodyTextIndent3"/>
    <w:qFormat/>
    <w:rsid w:val="00206092"/>
    <w:rPr>
      <w:kern w:val="2"/>
      <w:szCs w:val="16"/>
    </w:rPr>
  </w:style>
  <w:style w:type="character" w:styleId="BodyTextFirstIndentChar" w:customStyle="1">
    <w:name w:val="Body Text First Indent Char"/>
    <w:basedOn w:val="BodyTextChar"/>
    <w:semiHidden/>
    <w:qFormat/>
    <w:rsid w:val="00e40f12"/>
    <w:rPr>
      <w:kern w:val="2"/>
    </w:rPr>
  </w:style>
  <w:style w:type="character" w:styleId="HeaderChar" w:customStyle="1">
    <w:name w:val="Header Char"/>
    <w:basedOn w:val="DefaultParagraphFont"/>
    <w:link w:val="Header"/>
    <w:semiHidden/>
    <w:qFormat/>
    <w:rsid w:val="00f72aa5"/>
    <w:rPr/>
  </w:style>
  <w:style w:type="character" w:styleId="Strong">
    <w:name w:val="Strong"/>
    <w:basedOn w:val="DefaultParagraphFont"/>
    <w:uiPriority w:val="22"/>
    <w:semiHidden/>
    <w:qFormat/>
    <w:locked/>
    <w:rsid w:val="000430bc"/>
    <w:rPr>
      <w:b/>
      <w:bCs/>
    </w:rPr>
  </w:style>
  <w:style w:type="character" w:styleId="TitleChar" w:customStyle="1">
    <w:name w:val="Title Char"/>
    <w:basedOn w:val="DefaultParagraphFont"/>
    <w:link w:val="Title"/>
    <w:semiHidden/>
    <w:qFormat/>
    <w:rsid w:val="00e40f12"/>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semiHidden/>
    <w:qFormat/>
    <w:rsid w:val="00a45473"/>
    <w:rPr>
      <w:rFonts w:ascii="Calibri" w:hAnsi="Calibri" w:eastAsia="" w:asciiTheme="minorHAnsi" w:eastAsiaTheme="minorEastAsia" w:hAnsiTheme="minorHAnsi"/>
      <w:color w:themeColor="text1" w:themeTint="a5" w:val="5A5A5A"/>
      <w:spacing w:val="15"/>
      <w:sz w:val="22"/>
      <w:szCs w:val="22"/>
    </w:rPr>
  </w:style>
  <w:style w:type="character" w:styleId="BodyTextFirstIndent2Char" w:customStyle="1">
    <w:name w:val="Body Text First Indent 2 Char"/>
    <w:basedOn w:val="BodyTextIndentChar"/>
    <w:link w:val="BodyTextFirstIndent2"/>
    <w:semiHidden/>
    <w:qFormat/>
    <w:rsid w:val="00e40f12"/>
    <w:rPr/>
  </w:style>
  <w:style w:type="character" w:styleId="ChapterTitlePage-ChTitleChar" w:customStyle="1">
    <w:name w:val="Chapter Title Page - Ch. Title Char"/>
    <w:basedOn w:val="DefaultParagraphFont"/>
    <w:link w:val="ChapterTitlePage-ChTitle"/>
    <w:semiHidden/>
    <w:qFormat/>
    <w:rsid w:val="00e40f12"/>
    <w:rPr>
      <w:rFonts w:eastAsia="Calibri" w:cs="Times New Roman"/>
      <w:color w:val="404040"/>
      <w:sz w:val="60"/>
      <w:szCs w:val="60"/>
    </w:rPr>
  </w:style>
  <w:style w:type="character" w:styleId="ChapterTitlePage-SpeakerInfoChar" w:customStyle="1">
    <w:name w:val="Chapter Title Page - Speaker Info Char"/>
    <w:basedOn w:val="DefaultParagraphFont"/>
    <w:link w:val="ChapterTitlePage-SpeakerInfo"/>
    <w:semiHidden/>
    <w:qFormat/>
    <w:rsid w:val="00e40f12"/>
    <w:rPr>
      <w:rFonts w:eastAsia="Calibri" w:cs="Times New Roman"/>
      <w:i/>
      <w:color w:val="404040"/>
      <w:sz w:val="40"/>
      <w:szCs w:val="22"/>
    </w:rPr>
  </w:style>
  <w:style w:type="character" w:styleId="PlaceholderText">
    <w:name w:val="Placeholder Text"/>
    <w:basedOn w:val="DefaultParagraphFont"/>
    <w:semiHidden/>
    <w:qFormat/>
    <w:locked/>
    <w:rsid w:val="00ed6a56"/>
    <w:rPr>
      <w:color w:val="808080"/>
    </w:rPr>
  </w:style>
  <w:style w:type="character" w:styleId="NumberedListChar" w:customStyle="1">
    <w:name w:val="Numbered List Char"/>
    <w:basedOn w:val="DefaultParagraphFont"/>
    <w:link w:val="NumberedList"/>
    <w:semiHidden/>
    <w:qFormat/>
    <w:rsid w:val="00e40f12"/>
    <w:rPr/>
  </w:style>
  <w:style w:type="character" w:styleId="SpeakerInfo-ChTitlePageChar" w:customStyle="1">
    <w:name w:val="Speaker Info - Ch Title Page Char"/>
    <w:basedOn w:val="DefaultParagraphFont"/>
    <w:link w:val="SpeakerInfo-ChTitlePage"/>
    <w:semiHidden/>
    <w:qFormat/>
    <w:rsid w:val="00e40f12"/>
    <w:rPr>
      <w:rFonts w:eastAsia="Calibri" w:cs="Times New Roman"/>
      <w:i/>
      <w:color w:val="404040"/>
      <w:sz w:val="40"/>
      <w:szCs w:val="22"/>
    </w:rPr>
  </w:style>
  <w:style w:type="character" w:styleId="BodyText2Char" w:customStyle="1">
    <w:name w:val="Body Text 2 Char"/>
    <w:basedOn w:val="DefaultParagraphFont"/>
    <w:link w:val="BodyText2"/>
    <w:qFormat/>
    <w:rsid w:val="00f64273"/>
    <w:rPr/>
  </w:style>
  <w:style w:type="character" w:styleId="BodyText3Char" w:customStyle="1">
    <w:name w:val="Body Text 3 Char"/>
    <w:basedOn w:val="DefaultParagraphFont"/>
    <w:link w:val="BodyText3"/>
    <w:qFormat/>
    <w:rsid w:val="00e40f12"/>
    <w:rPr>
      <w:szCs w:val="16"/>
    </w:rPr>
  </w:style>
  <w:style w:type="character" w:styleId="BodyText4Char" w:customStyle="1">
    <w:name w:val="Body Text 4 Char"/>
    <w:basedOn w:val="BodyTextChar"/>
    <w:link w:val="BodyText4"/>
    <w:semiHidden/>
    <w:qFormat/>
    <w:rsid w:val="00e40f12"/>
    <w:rPr>
      <w:kern w:val="2"/>
    </w:rPr>
  </w:style>
  <w:style w:type="character" w:styleId="EndnoteTextChar" w:customStyle="1">
    <w:name w:val="Endnote Text Char"/>
    <w:basedOn w:val="DefaultParagraphFont"/>
    <w:link w:val="EndnoteText"/>
    <w:uiPriority w:val="99"/>
    <w:semiHidden/>
    <w:qFormat/>
    <w:rsid w:val="00102f27"/>
    <w:rPr>
      <w:rFonts w:eastAsia="" w:eastAsiaTheme="minorEastAsia"/>
      <w:sz w:val="20"/>
      <w:szCs w:val="20"/>
    </w:rPr>
  </w:style>
  <w:style w:type="character" w:styleId="NumberedParagraph-Level3Char" w:customStyle="1">
    <w:name w:val="Numbered Paragraph - Level 3 Char"/>
    <w:basedOn w:val="BodyTextChar"/>
    <w:link w:val="NumberedParagraph-Level3"/>
    <w:semiHidden/>
    <w:qFormat/>
    <w:rsid w:val="00e40f12"/>
    <w:rPr>
      <w:kern w:val="2"/>
    </w:rPr>
  </w:style>
  <w:style w:type="character" w:styleId="3b-ParagraphOutlineChar" w:customStyle="1">
    <w:name w:val="3b - Paragraph Outline Char"/>
    <w:basedOn w:val="BodyTextChar"/>
    <w:link w:val="3b-ParagraphOutline"/>
    <w:qFormat/>
    <w:rsid w:val="00f64273"/>
    <w:rPr>
      <w:kern w:val="2"/>
    </w:rPr>
  </w:style>
  <w:style w:type="character" w:styleId="1b-ListChar" w:customStyle="1">
    <w:name w:val="1b - List Char"/>
    <w:basedOn w:val="BodyTextChar"/>
    <w:link w:val="1b-List"/>
    <w:qFormat/>
    <w:rsid w:val="00c26eda"/>
    <w:rPr>
      <w:kern w:val="2"/>
    </w:rPr>
  </w:style>
  <w:style w:type="character" w:styleId="2b-ListChar" w:customStyle="1">
    <w:name w:val="2b - List Char"/>
    <w:basedOn w:val="1b-ListChar"/>
    <w:link w:val="2b-List"/>
    <w:qFormat/>
    <w:rsid w:val="001954e6"/>
    <w:rPr>
      <w:kern w:val="2"/>
    </w:rPr>
  </w:style>
  <w:style w:type="character" w:styleId="3b-ListChar" w:customStyle="1">
    <w:name w:val="3b - List Char"/>
    <w:basedOn w:val="BodyTextIndent2Char"/>
    <w:link w:val="3b-List"/>
    <w:qFormat/>
    <w:rsid w:val="001954e6"/>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Minion" w:hAnsi="Minion" w:eastAsia="Noto Sans CJK SC" w:cs="Lucida Sans"/>
      <w:sz w:val="28"/>
      <w:szCs w:val="28"/>
    </w:rPr>
  </w:style>
  <w:style w:type="paragraph" w:styleId="BodyText">
    <w:name w:val="Body Text"/>
    <w:basedOn w:val="Normal"/>
    <w:link w:val="BodyTextChar"/>
    <w:qFormat/>
    <w:rsid w:val="009542ba"/>
    <w:pPr/>
    <w:rPr>
      <w:kern w:val="2"/>
    </w:rPr>
  </w:style>
  <w:style w:type="paragraph" w:styleId="List">
    <w:name w:val="List"/>
    <w:basedOn w:val="Normal"/>
    <w:semiHidden/>
    <w:qFormat/>
    <w:rsid w:val="00f72aa5"/>
    <w:pPr>
      <w:numPr>
        <w:ilvl w:val="0"/>
        <w:numId w:val="15"/>
      </w:numPr>
      <w:spacing w:before="0" w:after="115"/>
      <w:ind w:hanging="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link w:val="FooterChar"/>
    <w:uiPriority w:val="99"/>
    <w:semiHidden/>
    <w:qFormat/>
    <w:rsid w:val="00c16ea7"/>
    <w:pPr>
      <w:pBdr>
        <w:top w:val="single" w:sz="2" w:space="8" w:color="000000"/>
      </w:pBdr>
      <w:spacing w:lineRule="auto" w:line="240" w:before="0" w:after="0"/>
      <w:ind w:hanging="0"/>
    </w:pPr>
    <w:rPr>
      <w:b/>
      <w:color w:themeColor="background1" w:themeShade="80" w:val="808080"/>
    </w:rPr>
  </w:style>
  <w:style w:type="paragraph" w:styleId="ChapterNumber" w:customStyle="1">
    <w:name w:val="Chapter Number"/>
    <w:basedOn w:val="Normal"/>
    <w:next w:val="ChapterName"/>
    <w:link w:val="ChapterNumberChar"/>
    <w:semiHidden/>
    <w:qFormat/>
    <w:rsid w:val="00b5325c"/>
    <w:pPr>
      <w:spacing w:lineRule="auto" w:line="240" w:before="0" w:after="40"/>
      <w:ind w:hanging="0"/>
      <w:jc w:val="center"/>
    </w:pPr>
    <w:rPr>
      <w:b/>
      <w:caps/>
      <w:sz w:val="28"/>
      <w:u w:val="single"/>
    </w:rPr>
  </w:style>
  <w:style w:type="paragraph" w:styleId="ChapterName" w:customStyle="1">
    <w:name w:val="Chapter Name"/>
    <w:basedOn w:val="Normal"/>
    <w:next w:val="SpeakerName-City"/>
    <w:link w:val="ChapterNameChar"/>
    <w:qFormat/>
    <w:rsid w:val="00b5325c"/>
    <w:pPr>
      <w:spacing w:lineRule="auto" w:line="240"/>
      <w:ind w:hanging="0"/>
      <w:jc w:val="center"/>
    </w:pPr>
    <w:rPr>
      <w:b/>
      <w:sz w:val="28"/>
    </w:rPr>
  </w:style>
  <w:style w:type="paragraph" w:styleId="SpeakerName-City" w:customStyle="1">
    <w:name w:val="Speaker Name - City"/>
    <w:basedOn w:val="Normal"/>
    <w:next w:val="Normal"/>
    <w:link w:val="SpeakerName-CityChar"/>
    <w:qFormat/>
    <w:rsid w:val="00d474f7"/>
    <w:pPr>
      <w:spacing w:before="0" w:after="480"/>
      <w:ind w:hanging="0"/>
      <w:jc w:val="center"/>
    </w:pPr>
    <w:rPr>
      <w:i/>
    </w:rPr>
  </w:style>
  <w:style w:type="paragraph" w:styleId="TableofContents" w:customStyle="1">
    <w:name w:val="Table of Contents"/>
    <w:basedOn w:val="Normal"/>
    <w:link w:val="TableofContentsChar"/>
    <w:semiHidden/>
    <w:qFormat/>
    <w:rsid w:val="007116a7"/>
    <w:pPr>
      <w:tabs>
        <w:tab w:val="clear" w:pos="643"/>
        <w:tab w:val="left" w:pos="0" w:leader="none"/>
        <w:tab w:val="left" w:pos="720" w:leader="none"/>
        <w:tab w:val="left" w:pos="1440" w:leader="none"/>
        <w:tab w:val="right" w:pos="8640" w:leader="dot"/>
      </w:tabs>
      <w:spacing w:before="0" w:after="20"/>
      <w:ind w:hanging="0"/>
    </w:pPr>
    <w:rPr/>
  </w:style>
  <w:style w:type="paragraph" w:styleId="ListParagraph">
    <w:name w:val="List Paragraph"/>
    <w:basedOn w:val="Normal"/>
    <w:uiPriority w:val="1"/>
    <w:semiHidden/>
    <w:qFormat/>
    <w:rsid w:val="003021fd"/>
    <w:pPr>
      <w:spacing w:before="0" w:after="240"/>
      <w:ind w:hanging="0" w:left="1440"/>
      <w:contextualSpacing/>
    </w:pPr>
    <w:rPr/>
  </w:style>
  <w:style w:type="paragraph" w:styleId="TOC1">
    <w:name w:val="toc 1"/>
    <w:basedOn w:val="Normal"/>
    <w:next w:val="Normal"/>
    <w:uiPriority w:val="1"/>
    <w:semiHidden/>
    <w:qFormat/>
    <w:rsid w:val="003021fd"/>
    <w:pPr>
      <w:numPr>
        <w:ilvl w:val="0"/>
        <w:numId w:val="3"/>
      </w:numPr>
      <w:spacing w:before="0" w:after="0"/>
      <w:ind w:hanging="720"/>
    </w:pPr>
    <w:rPr/>
  </w:style>
  <w:style w:type="paragraph" w:styleId="BlockQuote" w:customStyle="1">
    <w:name w:val="Block Quote"/>
    <w:basedOn w:val="Normal"/>
    <w:next w:val="BodyText"/>
    <w:semiHidden/>
    <w:qFormat/>
    <w:rsid w:val="00021df8"/>
    <w:pPr>
      <w:ind w:hanging="0" w:left="720" w:right="720"/>
    </w:pPr>
    <w:rPr/>
  </w:style>
  <w:style w:type="paragraph" w:styleId="FootnoteText">
    <w:name w:val="footnote text"/>
    <w:basedOn w:val="Normal"/>
    <w:link w:val="FootnoteTextChar"/>
    <w:uiPriority w:val="99"/>
    <w:semiHidden/>
    <w:rsid w:val="00102f27"/>
    <w:pPr>
      <w:spacing w:lineRule="auto" w:line="240" w:before="0" w:after="0"/>
      <w:ind w:hanging="0"/>
    </w:pPr>
    <w:rPr>
      <w:sz w:val="20"/>
      <w:szCs w:val="20"/>
    </w:rPr>
  </w:style>
  <w:style w:type="paragraph" w:styleId="MacroText">
    <w:name w:val="macro"/>
    <w:link w:val="MacroTextChar"/>
    <w:semiHidden/>
    <w:unhideWhenUsed/>
    <w:qFormat/>
    <w:rsid w:val="00260da5"/>
    <w:pPr>
      <w:widowControl/>
      <w:tabs>
        <w:tab w:val="clear" w:pos="643"/>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88" w:before="0" w:after="0"/>
      <w:ind w:firstLine="720"/>
      <w:jc w:val="both"/>
    </w:pPr>
    <w:rPr>
      <w:rFonts w:ascii="Consolas" w:hAnsi="Consolas" w:eastAsia="Calibri" w:cs="Consolas" w:eastAsiaTheme="minorHAnsi"/>
      <w:color w:val="auto"/>
      <w:kern w:val="0"/>
      <w:sz w:val="20"/>
      <w:szCs w:val="20"/>
      <w:lang w:val="en-US" w:eastAsia="en-US" w:bidi="ar-SA"/>
    </w:rPr>
  </w:style>
  <w:style w:type="paragraph" w:styleId="TOC2">
    <w:name w:val="toc 2"/>
    <w:basedOn w:val="Normal"/>
    <w:next w:val="Normal"/>
    <w:uiPriority w:val="1"/>
    <w:semiHidden/>
    <w:qFormat/>
    <w:rsid w:val="003021fd"/>
    <w:pPr>
      <w:numPr>
        <w:ilvl w:val="0"/>
        <w:numId w:val="4"/>
      </w:numPr>
      <w:spacing w:before="0" w:after="0"/>
      <w:ind w:hanging="720"/>
    </w:pPr>
    <w:rPr/>
  </w:style>
  <w:style w:type="paragraph" w:styleId="TOC3">
    <w:name w:val="toc 3"/>
    <w:basedOn w:val="Normal"/>
    <w:next w:val="Normal"/>
    <w:uiPriority w:val="1"/>
    <w:semiHidden/>
    <w:qFormat/>
    <w:rsid w:val="003021fd"/>
    <w:pPr>
      <w:numPr>
        <w:ilvl w:val="0"/>
        <w:numId w:val="5"/>
      </w:numPr>
      <w:spacing w:before="0" w:after="0"/>
      <w:ind w:hanging="720"/>
    </w:pPr>
    <w:rPr/>
  </w:style>
  <w:style w:type="paragraph" w:styleId="CaseLaw" w:customStyle="1">
    <w:name w:val="CaseLaw"/>
    <w:basedOn w:val="Normal"/>
    <w:next w:val="Normal"/>
    <w:link w:val="CaseLawChar"/>
    <w:semiHidden/>
    <w:qFormat/>
    <w:rsid w:val="00cf33c0"/>
    <w:pPr/>
    <w:rPr>
      <w:i/>
    </w:rPr>
  </w:style>
  <w:style w:type="paragraph" w:styleId="BodyTextIndent">
    <w:name w:val="Body Text Indent"/>
    <w:basedOn w:val="BodyText"/>
    <w:link w:val="BodyTextIndentChar"/>
    <w:qFormat/>
    <w:rsid w:val="00206092"/>
    <w:pPr/>
    <w:rPr>
      <w:kern w:val="0"/>
    </w:rPr>
  </w:style>
  <w:style w:type="paragraph" w:styleId="BodyTextIndent2">
    <w:name w:val="Body Text Indent 2"/>
    <w:basedOn w:val="BodyText"/>
    <w:link w:val="BodyTextIndent2Char"/>
    <w:qFormat/>
    <w:rsid w:val="00206092"/>
    <w:pPr>
      <w:ind w:firstLine="1440"/>
    </w:pPr>
    <w:rPr>
      <w:kern w:val="0"/>
    </w:rPr>
  </w:style>
  <w:style w:type="paragraph" w:styleId="BodyTextIndent3">
    <w:name w:val="Body Text Indent 3"/>
    <w:basedOn w:val="BodyTextIndent2"/>
    <w:link w:val="BodyTextIndent3Char"/>
    <w:qFormat/>
    <w:rsid w:val="00206092"/>
    <w:pPr>
      <w:ind w:firstLine="2160"/>
    </w:pPr>
    <w:rPr>
      <w:kern w:val="2"/>
      <w:szCs w:val="16"/>
    </w:rPr>
  </w:style>
  <w:style w:type="paragraph" w:styleId="BodyTextFirstIndent">
    <w:name w:val="Body Text First Indent"/>
    <w:basedOn w:val="BodyText"/>
    <w:link w:val="BodyTextFirstIndentChar"/>
    <w:semiHidden/>
    <w:locked/>
    <w:rsid w:val="00f72aa5"/>
    <w:pPr/>
    <w:rPr/>
  </w:style>
  <w:style w:type="paragraph" w:styleId="Header">
    <w:name w:val="header"/>
    <w:basedOn w:val="Normal"/>
    <w:link w:val="HeaderChar"/>
    <w:semiHidden/>
    <w:locked/>
    <w:rsid w:val="00b6147f"/>
    <w:pPr>
      <w:tabs>
        <w:tab w:val="clear" w:pos="643"/>
        <w:tab w:val="center" w:pos="4680" w:leader="none"/>
        <w:tab w:val="right" w:pos="9360" w:leader="none"/>
      </w:tabs>
      <w:spacing w:lineRule="auto" w:line="240" w:before="0" w:after="0"/>
    </w:pPr>
    <w:rPr/>
  </w:style>
  <w:style w:type="paragraph" w:styleId="BlockText">
    <w:name w:val="Block Text"/>
    <w:basedOn w:val="Normal"/>
    <w:semiHidden/>
    <w:qFormat/>
    <w:locked/>
    <w:rsid w:val="00f72aa5"/>
    <w:pPr>
      <w:spacing w:before="0" w:after="86"/>
      <w:ind w:hanging="0" w:left="720" w:right="720"/>
    </w:pPr>
    <w:rPr>
      <w:rFonts w:eastAsia="" w:eastAsiaTheme="minorEastAsia"/>
      <w:iCs/>
      <w:sz w:val="22"/>
    </w:rPr>
  </w:style>
  <w:style w:type="paragraph" w:styleId="NormalWeb">
    <w:name w:val="Normal (Web)"/>
    <w:basedOn w:val="Normal"/>
    <w:uiPriority w:val="99"/>
    <w:semiHidden/>
    <w:unhideWhenUsed/>
    <w:qFormat/>
    <w:locked/>
    <w:rsid w:val="000430bc"/>
    <w:pPr>
      <w:spacing w:lineRule="auto" w:line="240"/>
      <w:ind w:hanging="0"/>
      <w:jc w:val="left"/>
    </w:pPr>
    <w:rPr>
      <w:rFonts w:ascii="Times New Roman" w:hAnsi="Times New Roman" w:eastAsia="Times New Roman" w:cs="Times New Roman"/>
    </w:rPr>
  </w:style>
  <w:style w:type="paragraph" w:styleId="List2">
    <w:name w:val="List 2"/>
    <w:basedOn w:val="Normal"/>
    <w:semiHidden/>
    <w:qFormat/>
    <w:locked/>
    <w:rsid w:val="00dc54c8"/>
    <w:pPr>
      <w:numPr>
        <w:ilvl w:val="0"/>
        <w:numId w:val="9"/>
      </w:numPr>
      <w:spacing w:before="0" w:after="240"/>
      <w:contextualSpacing/>
    </w:pPr>
    <w:rPr/>
  </w:style>
  <w:style w:type="paragraph" w:styleId="Title">
    <w:name w:val="Title"/>
    <w:basedOn w:val="Normal"/>
    <w:next w:val="SpeakerName-City"/>
    <w:link w:val="TitleChar"/>
    <w:semiHidden/>
    <w:qFormat/>
    <w:locked/>
    <w:rsid w:val="00a45473"/>
    <w:pPr>
      <w:spacing w:lineRule="auto" w:line="240" w:before="0" w:after="245"/>
      <w:ind w:hanging="0"/>
      <w:contextualSpacing/>
      <w:jc w:val="center"/>
    </w:pPr>
    <w:rPr>
      <w:rFonts w:ascii="Minion" w:hAnsi="Minion" w:eastAsia="" w:cs="" w:cstheme="majorBidi" w:eastAsiaTheme="majorEastAsia"/>
      <w:b/>
      <w:spacing w:val="0"/>
      <w:kern w:val="0"/>
      <w:sz w:val="28"/>
      <w:szCs w:val="56"/>
    </w:rPr>
  </w:style>
  <w:style w:type="paragraph" w:styleId="Subtitle">
    <w:name w:val="Subtitle"/>
    <w:basedOn w:val="Normal"/>
    <w:next w:val="Normal"/>
    <w:link w:val="SubtitleChar"/>
    <w:semiHidden/>
    <w:unhideWhenUsed/>
    <w:qFormat/>
    <w:locked/>
    <w:rsid w:val="00a45473"/>
    <w:pPr>
      <w:spacing w:before="0" w:after="160"/>
      <w:ind w:firstLine="720"/>
    </w:pPr>
    <w:rPr>
      <w:rFonts w:ascii="Calibri" w:hAnsi="Calibri" w:eastAsia="" w:asciiTheme="minorHAnsi" w:eastAsiaTheme="minorEastAsia" w:hAnsiTheme="minorHAnsi"/>
      <w:color w:val="auto"/>
      <w:spacing w:val="16"/>
      <w:sz w:val="22"/>
      <w:szCs w:val="22"/>
    </w:rPr>
  </w:style>
  <w:style w:type="paragraph" w:styleId="BodyTextFirstIndent2">
    <w:name w:val="Body Text First Indent 2"/>
    <w:basedOn w:val="BodyTextIndent"/>
    <w:link w:val="BodyTextFirstIndent2Char"/>
    <w:semiHidden/>
    <w:qFormat/>
    <w:locked/>
    <w:rsid w:val="00f72aa5"/>
    <w:pPr/>
    <w:rPr/>
  </w:style>
  <w:style w:type="paragraph" w:styleId="TOC4">
    <w:name w:val="toc 4"/>
    <w:basedOn w:val="Normal"/>
    <w:uiPriority w:val="1"/>
    <w:semiHidden/>
    <w:qFormat/>
    <w:rsid w:val="00f72aa5"/>
    <w:pPr>
      <w:widowControl w:val="false"/>
      <w:spacing w:before="0" w:after="0"/>
      <w:ind w:hanging="720" w:left="2880"/>
      <w:jc w:val="left"/>
    </w:pPr>
    <w:rPr>
      <w:rFonts w:eastAsia="Times New Roman" w:cs="Times New Roman"/>
      <w:bCs/>
    </w:rPr>
  </w:style>
  <w:style w:type="paragraph" w:styleId="TableParagraph" w:customStyle="1">
    <w:name w:val="Table Paragraph"/>
    <w:basedOn w:val="Normal"/>
    <w:uiPriority w:val="1"/>
    <w:semiHidden/>
    <w:qFormat/>
    <w:rsid w:val="00f72aa5"/>
    <w:pPr>
      <w:spacing w:before="0" w:after="0"/>
      <w:ind w:hanging="0"/>
      <w:jc w:val="left"/>
    </w:pPr>
    <w:rPr>
      <w:rFonts w:eastAsia="Times New Roman" w:cs="Times New Roman"/>
      <w:szCs w:val="22"/>
    </w:rPr>
  </w:style>
  <w:style w:type="paragraph" w:styleId="ChapterTitlePage-ChTitle" w:customStyle="1">
    <w:name w:val="Chapter Title Page - Ch. Title"/>
    <w:basedOn w:val="Normal"/>
    <w:link w:val="ChapterTitlePage-ChTitleChar"/>
    <w:semiHidden/>
    <w:qFormat/>
    <w:rsid w:val="007a077b"/>
    <w:pPr>
      <w:spacing w:lineRule="auto" w:line="259" w:before="0" w:after="1800"/>
      <w:ind w:hanging="0"/>
      <w:jc w:val="center"/>
    </w:pPr>
    <w:rPr>
      <w:rFonts w:eastAsia="Calibri" w:cs="Times New Roman"/>
      <w:color w:val="auto"/>
      <w:sz w:val="60"/>
      <w:szCs w:val="60"/>
    </w:rPr>
  </w:style>
  <w:style w:type="paragraph" w:styleId="ChapterTitlePage-SpeakerInfo" w:customStyle="1">
    <w:name w:val="Chapter Title Page - Speaker Info"/>
    <w:basedOn w:val="Normal"/>
    <w:link w:val="ChapterTitlePage-SpeakerInfoChar"/>
    <w:semiHidden/>
    <w:qFormat/>
    <w:rsid w:val="007a077b"/>
    <w:pPr>
      <w:spacing w:lineRule="auto" w:line="259" w:before="0" w:after="0"/>
      <w:ind w:hanging="0"/>
      <w:jc w:val="center"/>
    </w:pPr>
    <w:rPr>
      <w:rFonts w:eastAsia="Calibri" w:cs="Times New Roman"/>
      <w:i/>
      <w:color w:val="auto"/>
      <w:sz w:val="40"/>
      <w:szCs w:val="22"/>
    </w:rPr>
  </w:style>
  <w:style w:type="paragraph" w:styleId="ListBullet2">
    <w:name w:val="List Bullet 2"/>
    <w:basedOn w:val="Normal"/>
    <w:semiHidden/>
    <w:locked/>
    <w:rsid w:val="00f72aa5"/>
    <w:pPr>
      <w:spacing w:before="0" w:after="240"/>
      <w:ind w:hanging="0"/>
      <w:contextualSpacing/>
    </w:pPr>
    <w:rPr/>
  </w:style>
  <w:style w:type="paragraph" w:styleId="ListBullet3">
    <w:name w:val="List Bullet 3"/>
    <w:basedOn w:val="Normal"/>
    <w:semiHidden/>
    <w:unhideWhenUsed/>
    <w:locked/>
    <w:rsid w:val="00035a8d"/>
    <w:pPr>
      <w:numPr>
        <w:ilvl w:val="0"/>
        <w:numId w:val="7"/>
      </w:numPr>
      <w:spacing w:before="0" w:after="240"/>
      <w:contextualSpacing/>
    </w:pPr>
    <w:rPr/>
  </w:style>
  <w:style w:type="paragraph" w:styleId="NumberedList" w:customStyle="1">
    <w:name w:val="Numbered List"/>
    <w:basedOn w:val="List3"/>
    <w:link w:val="NumberedListChar"/>
    <w:semiHidden/>
    <w:qFormat/>
    <w:rsid w:val="00f72c24"/>
    <w:pPr>
      <w:numPr>
        <w:ilvl w:val="0"/>
        <w:numId w:val="8"/>
      </w:numPr>
      <w:ind w:left="2160"/>
    </w:pPr>
    <w:rPr/>
  </w:style>
  <w:style w:type="paragraph" w:styleId="List3">
    <w:name w:val="List 3"/>
    <w:basedOn w:val="Normal"/>
    <w:semiHidden/>
    <w:unhideWhenUsed/>
    <w:qFormat/>
    <w:locked/>
    <w:rsid w:val="00f377b5"/>
    <w:pPr>
      <w:spacing w:before="0" w:after="240"/>
      <w:ind w:hanging="720" w:left="1440"/>
      <w:contextualSpacing/>
    </w:pPr>
    <w:rPr/>
  </w:style>
  <w:style w:type="paragraph" w:styleId="SpeakerInfo-ChTitlePage" w:customStyle="1">
    <w:name w:val="Speaker Info - Ch Title Page"/>
    <w:basedOn w:val="Normal"/>
    <w:link w:val="SpeakerInfo-ChTitlePageChar"/>
    <w:semiHidden/>
    <w:qFormat/>
    <w:rsid w:val="00134a1d"/>
    <w:pPr>
      <w:spacing w:before="0" w:after="0"/>
      <w:ind w:hanging="0" w:left="720" w:right="720"/>
      <w:jc w:val="center"/>
    </w:pPr>
    <w:rPr>
      <w:rFonts w:eastAsia="Calibri" w:cs="Times New Roman"/>
      <w:i/>
      <w:color w:val="auto"/>
      <w:sz w:val="40"/>
      <w:szCs w:val="22"/>
    </w:rPr>
  </w:style>
  <w:style w:type="paragraph" w:styleId="BodyText2">
    <w:name w:val="Body Text 2"/>
    <w:basedOn w:val="Normal"/>
    <w:link w:val="BodyText2Char"/>
    <w:qFormat/>
    <w:locked/>
    <w:rsid w:val="00e40f12"/>
    <w:pPr>
      <w:spacing w:before="0" w:after="240"/>
      <w:ind w:hanging="0"/>
      <w:contextualSpacing/>
    </w:pPr>
    <w:rPr/>
  </w:style>
  <w:style w:type="paragraph" w:styleId="BodyText3">
    <w:name w:val="Body Text 3"/>
    <w:basedOn w:val="Normal"/>
    <w:link w:val="BodyText3Char"/>
    <w:qFormat/>
    <w:locked/>
    <w:rsid w:val="00f64273"/>
    <w:pPr>
      <w:tabs>
        <w:tab w:val="clear" w:pos="643"/>
        <w:tab w:val="left" w:pos="2160" w:leader="none"/>
      </w:tabs>
      <w:spacing w:before="0" w:after="240"/>
      <w:ind w:hanging="720" w:left="2160"/>
      <w:contextualSpacing/>
    </w:pPr>
    <w:rPr>
      <w:szCs w:val="16"/>
    </w:rPr>
  </w:style>
  <w:style w:type="paragraph" w:styleId="BodyText4" w:customStyle="1">
    <w:name w:val="Body Text 4"/>
    <w:basedOn w:val="BodyText"/>
    <w:link w:val="BodyText4Char"/>
    <w:semiHidden/>
    <w:qFormat/>
    <w:rsid w:val="00102f27"/>
    <w:pPr>
      <w:spacing w:before="0" w:after="240"/>
      <w:ind w:hanging="0"/>
      <w:contextualSpacing/>
    </w:pPr>
    <w:rPr/>
  </w:style>
  <w:style w:type="paragraph" w:styleId="EndnoteText">
    <w:name w:val="endnote text"/>
    <w:basedOn w:val="Normal"/>
    <w:link w:val="EndnoteTextChar"/>
    <w:uiPriority w:val="99"/>
    <w:semiHidden/>
    <w:unhideWhenUsed/>
    <w:qFormat/>
    <w:locked/>
    <w:rsid w:val="00102f27"/>
    <w:pPr>
      <w:spacing w:lineRule="auto" w:line="240" w:before="0" w:after="0"/>
      <w:ind w:hanging="0"/>
    </w:pPr>
    <w:rPr>
      <w:rFonts w:eastAsia="" w:eastAsiaTheme="minorEastAsia"/>
      <w:sz w:val="20"/>
      <w:szCs w:val="20"/>
    </w:rPr>
  </w:style>
  <w:style w:type="paragraph" w:styleId="NumberedParagraph-Level3" w:customStyle="1">
    <w:name w:val="Numbered Paragraph - Level 3"/>
    <w:basedOn w:val="BodyText"/>
    <w:link w:val="NumberedParagraph-Level3Char"/>
    <w:semiHidden/>
    <w:qFormat/>
    <w:rsid w:val="00f64273"/>
    <w:pPr>
      <w:spacing w:before="0" w:after="240"/>
      <w:ind w:hanging="0"/>
      <w:contextualSpacing/>
    </w:pPr>
    <w:rPr/>
  </w:style>
  <w:style w:type="paragraph" w:styleId="3b-ParagraphOutline" w:customStyle="1">
    <w:name w:val="3b - Paragraph Outline"/>
    <w:basedOn w:val="BodyText"/>
    <w:link w:val="3b-ParagraphOutlineChar"/>
    <w:qFormat/>
    <w:rsid w:val="00e40f12"/>
    <w:pPr>
      <w:numPr>
        <w:ilvl w:val="3"/>
        <w:numId w:val="11"/>
      </w:numPr>
      <w:spacing w:before="0" w:after="240"/>
      <w:contextualSpacing/>
    </w:pPr>
    <w:rPr/>
  </w:style>
  <w:style w:type="paragraph" w:styleId="1b-List" w:customStyle="1">
    <w:name w:val="1b - List"/>
    <w:basedOn w:val="BodyText"/>
    <w:link w:val="1b-ListChar"/>
    <w:qFormat/>
    <w:rsid w:val="00c26eda"/>
    <w:pPr>
      <w:numPr>
        <w:ilvl w:val="0"/>
        <w:numId w:val="12"/>
      </w:numPr>
    </w:pPr>
    <w:rPr/>
  </w:style>
  <w:style w:type="paragraph" w:styleId="2b-List" w:customStyle="1">
    <w:name w:val="2b - List"/>
    <w:basedOn w:val="1b-List"/>
    <w:link w:val="2b-ListChar"/>
    <w:qFormat/>
    <w:rsid w:val="001954e6"/>
    <w:pPr>
      <w:numPr>
        <w:ilvl w:val="0"/>
        <w:numId w:val="13"/>
      </w:numPr>
      <w:ind w:left="1800"/>
    </w:pPr>
    <w:rPr/>
  </w:style>
  <w:style w:type="paragraph" w:styleId="3b-List" w:customStyle="1">
    <w:name w:val="3b - List"/>
    <w:basedOn w:val="BodyTextIndent2"/>
    <w:link w:val="3b-ListChar"/>
    <w:qFormat/>
    <w:rsid w:val="001954e6"/>
    <w:pPr>
      <w:numPr>
        <w:ilvl w:val="0"/>
        <w:numId w:val="14"/>
      </w:numPr>
      <w:ind w:left="2520"/>
    </w:pPr>
    <w:rPr/>
  </w:style>
  <w:style w:type="paragraph" w:styleId="ListBullet">
    <w:name w:val="List Bullet"/>
    <w:basedOn w:val="List"/>
    <w:pPr>
      <w:spacing w:before="0" w:after="120"/>
      <w:ind w:hanging="360" w:left="360"/>
      <w:contextualSpacing w:val="false"/>
    </w:pPr>
    <w:rPr/>
  </w:style>
  <w:style w:type="paragraph" w:styleId="Compact">
    <w:name w:val="Compact"/>
    <w:basedOn w:val="BodyText"/>
    <w:qFormat/>
    <w:pPr>
      <w:numPr>
        <w:ilvl w:val="0"/>
        <w:numId w:val="1"/>
      </w:numPr>
      <w:spacing w:lineRule="auto" w:line="240" w:before="0" w:after="245"/>
      <w:contextualSpacing/>
      <w:jc w:val="left"/>
      <w:outlineLvl w:val="0"/>
    </w:pPr>
    <w:rPr/>
  </w:style>
  <w:style w:type="paragraph" w:styleId="Comment">
    <w:name w:val="Comment"/>
    <w:basedOn w:val="Normal"/>
    <w:qFormat/>
    <w:pPr/>
    <w:rPr>
      <w:sz w:val="20"/>
      <w:szCs w:val="20"/>
    </w:rPr>
  </w:style>
  <w:style w:type="paragraph" w:styleId="Heading10">
    <w:name w:val="Heading 10"/>
    <w:basedOn w:val="Heading9"/>
    <w:next w:val="BodyText"/>
    <w:qFormat/>
    <w:pPr>
      <w:numPr>
        <w:ilvl w:val="8"/>
        <w:numId w:val="2"/>
      </w:numPr>
      <w:spacing w:before="60" w:after="60"/>
    </w:pPr>
    <w:rPr>
      <w:b/>
      <w:bCs/>
      <w:sz w:val="18"/>
      <w:szCs w:val="18"/>
    </w:rPr>
  </w:style>
  <w:style w:type="paragraph" w:styleId="SourceCode" w:customStyle="1">
    <w:name w:val="Source Code"/>
    <w:basedOn w:val="Normal"/>
    <w:qFormat/>
    <w:pPr/>
    <w:rPr/>
  </w:style>
  <w:style w:type="paragraph" w:styleId="DefaultDrawingStyle">
    <w:name w:val="Default Drawing Style"/>
    <w:qFormat/>
    <w:pPr>
      <w:widowControl/>
      <w:suppressAutoHyphens w:val="true"/>
      <w:bidi w:val="0"/>
      <w:spacing w:lineRule="atLeast" w:line="200" w:before="0" w:after="0"/>
      <w:jc w:val="left"/>
    </w:pPr>
    <w:rPr>
      <w:rFonts w:ascii="Lucida Sans" w:hAnsi="Lucida Sans" w:eastAsia="Lucida Sans" w:cs="Lato"/>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Lucida Sans" w:hAnsi="Lucida Sans"/>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Lucida Sans" w:hAnsi="Lucida Sans"/>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left"/>
    </w:pPr>
    <w:rPr>
      <w:rFonts w:ascii="Liberation Sans" w:hAnsi="Liberation Sans" w:eastAsia="Lucida Sans" w:cs="Lato"/>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tabs>
        <w:tab w:val="left" w:pos="643" w:leader="none"/>
      </w:tabs>
      <w:suppressAutoHyphens w:val="true"/>
      <w:bidi w:val="0"/>
      <w:spacing w:before="283" w:after="0"/>
      <w:jc w:val="left"/>
    </w:pPr>
    <w:rPr>
      <w:rFonts w:ascii="Lucida Sans" w:hAnsi="Lucida Sans" w:eastAsia="Lucida Sans" w:cs="Lato"/>
      <w:b w:val="false"/>
      <w:i w:val="false"/>
      <w:caps w:val="false"/>
      <w:smallCaps w:val="false"/>
      <w:strike w:val="false"/>
      <w:dstrike w:val="false"/>
      <w:outline w:val="false"/>
      <w:shadow w:val="false"/>
      <w:color w:val="auto"/>
      <w:spacing w:val="0"/>
      <w:kern w:val="2"/>
      <w:sz w:val="56"/>
      <w:szCs w:val="24"/>
      <w:u w:val="none"/>
      <w:em w:val="none"/>
      <w:lang w:val="en-US" w:eastAsia="en-US" w:bidi="ar-SA"/>
    </w:rPr>
  </w:style>
  <w:style w:type="paragraph" w:styleId="DefaultLTGliederung2">
    <w:name w:val="Default~LT~Gliederung 2"/>
    <w:basedOn w:val="DefaultLTGliederung1"/>
    <w:qFormat/>
    <w:pPr>
      <w:spacing w:before="227" w:after="0"/>
    </w:pPr>
    <w:rPr>
      <w:rFonts w:ascii="Lucida Sans" w:hAnsi="Lucida Sans"/>
      <w:b w:val="false"/>
      <w:i w:val="false"/>
      <w:caps w:val="false"/>
      <w:smallCaps w:val="false"/>
      <w:strike w:val="false"/>
      <w:dstrike w:val="false"/>
      <w:outline w:val="false"/>
      <w:shadow w:val="false"/>
      <w:color w:val="auto"/>
      <w:spacing w:val="0"/>
      <w:kern w:val="2"/>
      <w:sz w:val="48"/>
      <w:u w:val="none"/>
      <w:em w:val="none"/>
    </w:rPr>
  </w:style>
  <w:style w:type="paragraph" w:styleId="DefaultLTGliederung3">
    <w:name w:val="Default~LT~Gliederung 3"/>
    <w:basedOn w:val="DefaultLTGliederung2"/>
    <w:qFormat/>
    <w:pPr>
      <w:spacing w:before="170"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4">
    <w:name w:val="Default~LT~Gliederung 4"/>
    <w:basedOn w:val="DefaultLTGliederung3"/>
    <w:qFormat/>
    <w:pPr>
      <w:spacing w:before="113" w:after="0"/>
    </w:pPr>
    <w:rPr>
      <w:rFonts w:ascii="Lucida Sans" w:hAnsi="Lucida Sans"/>
      <w:b w:val="false"/>
      <w:i w:val="false"/>
      <w:caps w:val="false"/>
      <w:smallCaps w:val="false"/>
      <w:strike w:val="false"/>
      <w:dstrike w:val="false"/>
      <w:outline w:val="false"/>
      <w:shadow w:val="false"/>
      <w:color w:val="auto"/>
      <w:spacing w:val="0"/>
      <w:kern w:val="2"/>
      <w:sz w:val="36"/>
      <w:u w:val="none"/>
      <w:em w:val="none"/>
    </w:rPr>
  </w:style>
  <w:style w:type="paragraph" w:styleId="DefaultLTGliederung5">
    <w:name w:val="Default~LT~Gliederung 5"/>
    <w:basedOn w:val="DefaultLTGliederung4"/>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suppressAutoHyphens w:val="true"/>
      <w:bidi w:val="0"/>
      <w:spacing w:before="0" w:after="0"/>
      <w:jc w:val="center"/>
    </w:pPr>
    <w:rPr>
      <w:rFonts w:ascii="Lucida Sans" w:hAnsi="Lucida Sans" w:eastAsia="Lucida Sans" w:cs="Lato"/>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LTUntertitel">
    <w:name w:val="Default~LT~Untertitel"/>
    <w:qFormat/>
    <w:pPr>
      <w:widowControl/>
      <w:suppressAutoHyphens w:val="true"/>
      <w:bidi w:val="0"/>
      <w:spacing w:before="0" w:after="0"/>
      <w:jc w:val="center"/>
    </w:pPr>
    <w:rPr>
      <w:rFonts w:ascii="Lucida Sans" w:hAnsi="Lucida Sans" w:eastAsia="Lucida Sans" w:cs="Lato"/>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LTNotizen">
    <w:name w:val="Default~LT~Notizen"/>
    <w:qFormat/>
    <w:pPr>
      <w:widowControl/>
      <w:suppressAutoHyphens w:val="true"/>
      <w:bidi w:val="0"/>
      <w:spacing w:before="0" w:after="0"/>
      <w:ind w:hanging="340" w:left="340"/>
      <w:jc w:val="left"/>
    </w:pPr>
    <w:rPr>
      <w:rFonts w:ascii="Lucida Sans" w:hAnsi="Lucida Sans" w:eastAsia="Lucida Sans" w:cs="Lato"/>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LTHintergrundobjekte">
    <w:name w:val="Default~LT~Hintergrundobjekte"/>
    <w:qFormat/>
    <w:pPr>
      <w:widowControl/>
      <w:suppressAutoHyphens w:val="true"/>
      <w:bidi w:val="0"/>
      <w:spacing w:before="0" w:after="0"/>
      <w:jc w:val="left"/>
    </w:pPr>
    <w:rPr>
      <w:rFonts w:ascii="Lato" w:hAnsi="Lato" w:eastAsia="Lucida Sans" w:cs="Lato"/>
      <w:color w:val="auto"/>
      <w:kern w:val="2"/>
      <w:sz w:val="24"/>
      <w:szCs w:val="24"/>
      <w:lang w:val="en-US" w:eastAsia="en-US" w:bidi="ar-SA"/>
    </w:rPr>
  </w:style>
  <w:style w:type="paragraph" w:styleId="DefaultLTHintergrund">
    <w:name w:val="Default~LT~Hintergrund"/>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default">
    <w:name w:val="default"/>
    <w:qFormat/>
    <w:pPr>
      <w:widowControl/>
      <w:suppressAutoHyphens w:val="true"/>
      <w:bidi w:val="0"/>
      <w:spacing w:before="0" w:after="0"/>
      <w:jc w:val="left"/>
    </w:pPr>
    <w:rPr>
      <w:rFonts w:ascii="Lucida Sans" w:hAnsi="Lucida Sans" w:eastAsia="Lucida Sans" w:cs="Lato"/>
      <w:color w:val="auto"/>
      <w:kern w:val="2"/>
      <w:sz w:val="36"/>
      <w:szCs w:val="24"/>
      <w:lang w:val="en-US" w:eastAsia="en-US" w:bidi="ar-SA"/>
    </w:rPr>
  </w:style>
  <w:style w:type="paragraph" w:styleId="bg-none">
    <w:name w:val="bg-none"/>
    <w:basedOn w:val="default"/>
    <w:qFormat/>
    <w:pPr/>
    <w:rPr>
      <w:rFonts w:ascii="Lucida Sans" w:hAnsi="Lucida Sans"/>
      <w:color w:val="auto"/>
      <w:kern w:val="2"/>
      <w:sz w:val="36"/>
    </w:rPr>
  </w:style>
  <w:style w:type="paragraph" w:styleId="gray">
    <w:name w:val="gray"/>
    <w:basedOn w:val="default"/>
    <w:qFormat/>
    <w:pPr/>
    <w:rPr>
      <w:rFonts w:ascii="Lucida Sans" w:hAnsi="Lucida Sans"/>
      <w:color w:val="auto"/>
      <w:kern w:val="2"/>
      <w:sz w:val="36"/>
    </w:rPr>
  </w:style>
  <w:style w:type="paragraph" w:styleId="dark-gray">
    <w:name w:val="dark-gray"/>
    <w:basedOn w:val="default"/>
    <w:qFormat/>
    <w:pPr/>
    <w:rPr>
      <w:rFonts w:ascii="Lucida Sans" w:hAnsi="Lucida Sans"/>
      <w:color w:val="auto"/>
      <w:kern w:val="2"/>
      <w:sz w:val="36"/>
    </w:rPr>
  </w:style>
  <w:style w:type="paragraph" w:styleId="black">
    <w:name w:val="black"/>
    <w:basedOn w:val="default"/>
    <w:qFormat/>
    <w:pPr/>
    <w:rPr>
      <w:rFonts w:ascii="Lucida Sans" w:hAnsi="Lucida Sans"/>
      <w:color w:val="FFFFFF"/>
      <w:kern w:val="2"/>
      <w:sz w:val="36"/>
    </w:rPr>
  </w:style>
  <w:style w:type="paragraph" w:styleId="black-with-border">
    <w:name w:val="black-with-border"/>
    <w:basedOn w:val="default"/>
    <w:qFormat/>
    <w:pPr/>
    <w:rPr>
      <w:rFonts w:ascii="Lucida Sans" w:hAnsi="Lucida Sans"/>
      <w:color w:val="FFFFFF"/>
      <w:kern w:val="2"/>
      <w:sz w:val="36"/>
    </w:rPr>
  </w:style>
  <w:style w:type="paragraph" w:styleId="gray-with-border">
    <w:name w:val="gray-with-border"/>
    <w:basedOn w:val="default"/>
    <w:qFormat/>
    <w:pPr/>
    <w:rPr>
      <w:rFonts w:ascii="Lucida Sans" w:hAnsi="Lucida Sans"/>
      <w:color w:val="auto"/>
      <w:kern w:val="2"/>
      <w:sz w:val="36"/>
    </w:rPr>
  </w:style>
  <w:style w:type="paragraph" w:styleId="white">
    <w:name w:val="white"/>
    <w:basedOn w:val="default"/>
    <w:qFormat/>
    <w:pPr/>
    <w:rPr>
      <w:rFonts w:ascii="Lucida Sans" w:hAnsi="Lucida Sans"/>
      <w:color w:val="auto"/>
      <w:kern w:val="2"/>
      <w:sz w:val="36"/>
    </w:rPr>
  </w:style>
  <w:style w:type="paragraph" w:styleId="white-with-border">
    <w:name w:val="white-with-border"/>
    <w:basedOn w:val="default"/>
    <w:qFormat/>
    <w:pPr/>
    <w:rPr>
      <w:rFonts w:ascii="Lucida Sans" w:hAnsi="Lucida Sans"/>
      <w:color w:val="auto"/>
      <w:kern w:val="2"/>
      <w:sz w:val="36"/>
    </w:rPr>
  </w:style>
  <w:style w:type="paragraph" w:styleId="blue-title">
    <w:name w:val="blue-title"/>
    <w:basedOn w:val="default"/>
    <w:qFormat/>
    <w:pPr/>
    <w:rPr>
      <w:rFonts w:ascii="Lucida Sans" w:hAnsi="Lucida Sans"/>
      <w:color w:val="FFFFFF"/>
      <w:kern w:val="2"/>
      <w:sz w:val="36"/>
    </w:rPr>
  </w:style>
  <w:style w:type="paragraph" w:styleId="blue-title-with-border">
    <w:name w:val="blue-title-with-border"/>
    <w:basedOn w:val="default"/>
    <w:qFormat/>
    <w:pPr/>
    <w:rPr>
      <w:rFonts w:ascii="Lucida Sans" w:hAnsi="Lucida Sans"/>
      <w:color w:val="FFFFFF"/>
      <w:kern w:val="2"/>
      <w:sz w:val="36"/>
    </w:rPr>
  </w:style>
  <w:style w:type="paragraph" w:styleId="blue-banded">
    <w:name w:val="blue-banded"/>
    <w:basedOn w:val="default"/>
    <w:qFormat/>
    <w:pPr/>
    <w:rPr>
      <w:rFonts w:ascii="Lucida Sans" w:hAnsi="Lucida Sans"/>
      <w:color w:val="auto"/>
      <w:kern w:val="2"/>
      <w:sz w:val="36"/>
    </w:rPr>
  </w:style>
  <w:style w:type="paragraph" w:styleId="blue-normal">
    <w:name w:val="blue-normal"/>
    <w:basedOn w:val="default"/>
    <w:qFormat/>
    <w:pPr/>
    <w:rPr>
      <w:rFonts w:ascii="Lucida Sans" w:hAnsi="Lucida Sans"/>
      <w:color w:val="auto"/>
      <w:kern w:val="2"/>
      <w:sz w:val="36"/>
    </w:rPr>
  </w:style>
  <w:style w:type="paragraph" w:styleId="orange-title">
    <w:name w:val="orange-title"/>
    <w:basedOn w:val="default"/>
    <w:qFormat/>
    <w:pPr/>
    <w:rPr>
      <w:rFonts w:ascii="Lucida Sans" w:hAnsi="Lucida Sans"/>
      <w:color w:val="FFFFFF"/>
      <w:kern w:val="2"/>
      <w:sz w:val="36"/>
    </w:rPr>
  </w:style>
  <w:style w:type="paragraph" w:styleId="orange-title-with-border">
    <w:name w:val="orange-title-with-border"/>
    <w:basedOn w:val="default"/>
    <w:qFormat/>
    <w:pPr/>
    <w:rPr>
      <w:rFonts w:ascii="Lucida Sans" w:hAnsi="Lucida Sans"/>
      <w:color w:val="FFFFFF"/>
      <w:kern w:val="2"/>
      <w:sz w:val="36"/>
    </w:rPr>
  </w:style>
  <w:style w:type="paragraph" w:styleId="orange-banded">
    <w:name w:val="orange-banded"/>
    <w:basedOn w:val="default"/>
    <w:qFormat/>
    <w:pPr/>
    <w:rPr>
      <w:rFonts w:ascii="Lucida Sans" w:hAnsi="Lucida Sans"/>
      <w:color w:val="auto"/>
      <w:kern w:val="2"/>
      <w:sz w:val="36"/>
    </w:rPr>
  </w:style>
  <w:style w:type="paragraph" w:styleId="orange-normal">
    <w:name w:val="orange-normal"/>
    <w:basedOn w:val="default"/>
    <w:qFormat/>
    <w:pPr/>
    <w:rPr>
      <w:rFonts w:ascii="Lucida Sans" w:hAnsi="Lucida Sans"/>
      <w:color w:val="auto"/>
      <w:kern w:val="2"/>
      <w:sz w:val="36"/>
    </w:rPr>
  </w:style>
  <w:style w:type="paragraph" w:styleId="teal-title">
    <w:name w:val="teal-title"/>
    <w:basedOn w:val="default"/>
    <w:qFormat/>
    <w:pPr/>
    <w:rPr>
      <w:rFonts w:ascii="Lucida Sans" w:hAnsi="Lucida Sans"/>
      <w:color w:val="FFFFFF"/>
      <w:kern w:val="2"/>
      <w:sz w:val="36"/>
    </w:rPr>
  </w:style>
  <w:style w:type="paragraph" w:styleId="teal-title-with-border">
    <w:name w:val="teal-title-with-border"/>
    <w:basedOn w:val="default"/>
    <w:qFormat/>
    <w:pPr/>
    <w:rPr>
      <w:rFonts w:ascii="Lucida Sans" w:hAnsi="Lucida Sans"/>
      <w:color w:val="FFFFFF"/>
      <w:kern w:val="2"/>
      <w:sz w:val="36"/>
    </w:rPr>
  </w:style>
  <w:style w:type="paragraph" w:styleId="teal-banded">
    <w:name w:val="teal-banded"/>
    <w:basedOn w:val="default"/>
    <w:qFormat/>
    <w:pPr/>
    <w:rPr>
      <w:rFonts w:ascii="Lucida Sans" w:hAnsi="Lucida Sans"/>
      <w:color w:val="auto"/>
      <w:kern w:val="2"/>
      <w:sz w:val="36"/>
    </w:rPr>
  </w:style>
  <w:style w:type="paragraph" w:styleId="teal-normal">
    <w:name w:val="teal-normal"/>
    <w:basedOn w:val="default"/>
    <w:qFormat/>
    <w:pPr/>
    <w:rPr>
      <w:rFonts w:ascii="Lucida Sans" w:hAnsi="Lucida Sans"/>
      <w:color w:val="auto"/>
      <w:kern w:val="2"/>
      <w:sz w:val="36"/>
    </w:rPr>
  </w:style>
  <w:style w:type="paragraph" w:styleId="magenta-title">
    <w:name w:val="magenta-title"/>
    <w:basedOn w:val="default"/>
    <w:qFormat/>
    <w:pPr/>
    <w:rPr>
      <w:rFonts w:ascii="Lucida Sans" w:hAnsi="Lucida Sans"/>
      <w:color w:val="FFFFFF"/>
      <w:kern w:val="2"/>
      <w:sz w:val="36"/>
    </w:rPr>
  </w:style>
  <w:style w:type="paragraph" w:styleId="magenta-title-with-border">
    <w:name w:val="magenta-title-with-border"/>
    <w:basedOn w:val="default"/>
    <w:qFormat/>
    <w:pPr/>
    <w:rPr>
      <w:rFonts w:ascii="Lucida Sans" w:hAnsi="Lucida Sans"/>
      <w:color w:val="FFFFFF"/>
      <w:kern w:val="2"/>
      <w:sz w:val="36"/>
    </w:rPr>
  </w:style>
  <w:style w:type="paragraph" w:styleId="magenta-banded">
    <w:name w:val="magenta-banded"/>
    <w:basedOn w:val="default"/>
    <w:qFormat/>
    <w:pPr/>
    <w:rPr>
      <w:rFonts w:ascii="Lucida Sans" w:hAnsi="Lucida Sans"/>
      <w:color w:val="auto"/>
      <w:kern w:val="2"/>
      <w:sz w:val="36"/>
    </w:rPr>
  </w:style>
  <w:style w:type="paragraph" w:styleId="magenta-normal">
    <w:name w:val="magenta-normal"/>
    <w:basedOn w:val="default"/>
    <w:qFormat/>
    <w:pPr/>
    <w:rPr>
      <w:rFonts w:ascii="Lucida Sans" w:hAnsi="Lucida Sans"/>
      <w:color w:val="auto"/>
      <w:kern w:val="2"/>
      <w:sz w:val="36"/>
    </w:rPr>
  </w:style>
  <w:style w:type="paragraph" w:styleId="Backgroundobjects">
    <w:name w:val="Background objects"/>
    <w:qFormat/>
    <w:pPr>
      <w:widowControl/>
      <w:suppressAutoHyphens w:val="true"/>
      <w:bidi w:val="0"/>
      <w:spacing w:before="0" w:after="0"/>
      <w:jc w:val="left"/>
    </w:pPr>
    <w:rPr>
      <w:rFonts w:ascii="Lato" w:hAnsi="Lato" w:eastAsia="Lucida Sans" w:cs="Lato"/>
      <w:color w:val="auto"/>
      <w:kern w:val="2"/>
      <w:sz w:val="24"/>
      <w:szCs w:val="24"/>
      <w:lang w:val="en-US" w:eastAsia="en-US" w:bidi="ar-SA"/>
    </w:rPr>
  </w:style>
  <w:style w:type="paragraph" w:styleId="Background">
    <w:name w:val="Background"/>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Notes">
    <w:name w:val="Notes"/>
    <w:qFormat/>
    <w:pPr>
      <w:widowControl/>
      <w:suppressAutoHyphens w:val="true"/>
      <w:bidi w:val="0"/>
      <w:spacing w:before="0" w:after="0"/>
      <w:ind w:hanging="340" w:left="340"/>
      <w:jc w:val="left"/>
    </w:pPr>
    <w:rPr>
      <w:rFonts w:ascii="Lucida Sans" w:hAnsi="Lucida Sans" w:eastAsia="Lucida Sans" w:cs="Lato"/>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tabs>
        <w:tab w:val="left" w:pos="643" w:leader="none"/>
      </w:tabs>
      <w:suppressAutoHyphens w:val="true"/>
      <w:bidi w:val="0"/>
      <w:spacing w:before="283" w:after="0"/>
      <w:jc w:val="left"/>
    </w:pPr>
    <w:rPr>
      <w:rFonts w:ascii="Lucida Sans" w:hAnsi="Lucida Sans" w:eastAsia="Lucida Sans" w:cs="Lato"/>
      <w:b w:val="false"/>
      <w:i w:val="false"/>
      <w:caps w:val="false"/>
      <w:smallCaps w:val="false"/>
      <w:strike w:val="false"/>
      <w:dstrike w:val="false"/>
      <w:outline w:val="false"/>
      <w:shadow w:val="false"/>
      <w:color w:val="auto"/>
      <w:spacing w:val="0"/>
      <w:kern w:val="2"/>
      <w:sz w:val="56"/>
      <w:szCs w:val="24"/>
      <w:u w:val="none"/>
      <w:em w:val="none"/>
      <w:lang w:val="en-US" w:eastAsia="en-US" w:bidi="ar-SA"/>
    </w:rPr>
  </w:style>
  <w:style w:type="paragraph" w:styleId="Outline2">
    <w:name w:val="Outline 2"/>
    <w:basedOn w:val="Outline1"/>
    <w:qFormat/>
    <w:pPr>
      <w:spacing w:before="227" w:after="0"/>
    </w:pPr>
    <w:rPr>
      <w:rFonts w:ascii="Lucida Sans" w:hAnsi="Lucida Sans"/>
      <w:b w:val="false"/>
      <w:i w:val="false"/>
      <w:caps w:val="false"/>
      <w:smallCaps w:val="false"/>
      <w:strike w:val="false"/>
      <w:dstrike w:val="false"/>
      <w:outline w:val="false"/>
      <w:shadow w:val="false"/>
      <w:color w:val="auto"/>
      <w:spacing w:val="0"/>
      <w:kern w:val="2"/>
      <w:sz w:val="48"/>
      <w:u w:val="none"/>
      <w:em w:val="none"/>
    </w:rPr>
  </w:style>
  <w:style w:type="paragraph" w:styleId="Outline3">
    <w:name w:val="Outline 3"/>
    <w:basedOn w:val="Outline2"/>
    <w:qFormat/>
    <w:pPr>
      <w:spacing w:before="170"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Outline4">
    <w:name w:val="Outline 4"/>
    <w:basedOn w:val="Outline3"/>
    <w:qFormat/>
    <w:pPr>
      <w:spacing w:before="113" w:after="0"/>
    </w:pPr>
    <w:rPr>
      <w:rFonts w:ascii="Lucida Sans" w:hAnsi="Lucida Sans"/>
      <w:b w:val="false"/>
      <w:i w:val="false"/>
      <w:caps w:val="false"/>
      <w:smallCaps w:val="false"/>
      <w:strike w:val="false"/>
      <w:dstrike w:val="false"/>
      <w:outline w:val="false"/>
      <w:shadow w:val="false"/>
      <w:color w:val="auto"/>
      <w:spacing w:val="0"/>
      <w:kern w:val="2"/>
      <w:sz w:val="36"/>
      <w:u w:val="none"/>
      <w:em w:val="none"/>
    </w:rPr>
  </w:style>
  <w:style w:type="paragraph" w:styleId="Outline5">
    <w:name w:val="Outline 5"/>
    <w:basedOn w:val="Outline4"/>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Lucida Sans" w:hAnsi="Lucida Sans"/>
      <w:b w:val="false"/>
      <w:i w:val="false"/>
      <w:caps w:val="false"/>
      <w:smallCaps w:val="false"/>
      <w:strike w:val="false"/>
      <w:dstrike w:val="false"/>
      <w:outline w:val="false"/>
      <w:shadow w:val="false"/>
      <w:color w:val="auto"/>
      <w:spacing w:val="0"/>
      <w:kern w:val="2"/>
      <w:sz w:val="40"/>
      <w:u w:val="none"/>
      <w:em w:val="none"/>
    </w:rPr>
  </w:style>
  <w:style w:type="paragraph" w:styleId="ListLabel1531">
    <w:name w:val="ListLabel 15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521">
    <w:name w:val="ListLabel 15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511">
    <w:name w:val="ListLabel 15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501">
    <w:name w:val="ListLabel 15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491">
    <w:name w:val="ListLabel 14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481">
    <w:name w:val="ListLabel 14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471">
    <w:name w:val="ListLabel 14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461">
    <w:name w:val="ListLabel 14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451">
    <w:name w:val="ListLabel 14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441">
    <w:name w:val="ListLabel 144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431">
    <w:name w:val="ListLabel 143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421">
    <w:name w:val="ListLabel 142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411">
    <w:name w:val="ListLabel 141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401">
    <w:name w:val="ListLabel 140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91">
    <w:name w:val="ListLabel 139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81">
    <w:name w:val="ListLabel 138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71">
    <w:name w:val="ListLabel 137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61">
    <w:name w:val="ListLabel 136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51">
    <w:name w:val="ListLabel 135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41">
    <w:name w:val="ListLabel 134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31">
    <w:name w:val="ListLabel 133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21">
    <w:name w:val="ListLabel 132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11">
    <w:name w:val="ListLabel 131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301">
    <w:name w:val="ListLabel 130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291">
    <w:name w:val="ListLabel 129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281">
    <w:name w:val="ListLabel 128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271">
    <w:name w:val="ListLabel 127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261">
    <w:name w:val="ListLabel 12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251">
    <w:name w:val="ListLabel 12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241">
    <w:name w:val="ListLabel 12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231">
    <w:name w:val="ListLabel 12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221">
    <w:name w:val="ListLabel 12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211">
    <w:name w:val="ListLabel 12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201">
    <w:name w:val="ListLabel 12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91">
    <w:name w:val="ListLabel 11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81">
    <w:name w:val="ListLabel 1181"/>
    <w:qFormat/>
    <w:pPr>
      <w:widowControl/>
      <w:suppressAutoHyphens w:val="true"/>
      <w:bidi w:val="0"/>
      <w:spacing w:before="0" w:after="0"/>
      <w:jc w:val="left"/>
    </w:pPr>
    <w:rPr>
      <w:rFonts w:ascii="Minion" w:hAnsi="Minion" w:eastAsia="Lucida Sans" w:cs="Lato"/>
      <w:b w:val="false"/>
      <w:i w:val="false"/>
      <w:caps w:val="false"/>
      <w:smallCaps w:val="false"/>
      <w:strike w:val="false"/>
      <w:dstrike w:val="false"/>
      <w:color w:val="auto"/>
      <w:kern w:val="0"/>
      <w:sz w:val="24"/>
      <w:szCs w:val="24"/>
      <w:lang w:val="en-US" w:eastAsia="en-US" w:bidi="ar-SA"/>
    </w:rPr>
  </w:style>
  <w:style w:type="paragraph" w:styleId="ListLabel1171">
    <w:name w:val="ListLabel 11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61">
    <w:name w:val="ListLabel 11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51">
    <w:name w:val="ListLabel 11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41">
    <w:name w:val="ListLabel 11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31">
    <w:name w:val="ListLabel 11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21">
    <w:name w:val="ListLabel 11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11">
    <w:name w:val="ListLabel 11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01">
    <w:name w:val="ListLabel 11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91">
    <w:name w:val="ListLabel 1091"/>
    <w:qFormat/>
    <w:pPr>
      <w:widowControl/>
      <w:suppressAutoHyphens w:val="true"/>
      <w:bidi w:val="0"/>
      <w:spacing w:before="0" w:after="0"/>
      <w:jc w:val="left"/>
    </w:pPr>
    <w:rPr>
      <w:rFonts w:ascii="Minion" w:hAnsi="Minion" w:eastAsia="Lucida Sans" w:cs="Lato"/>
      <w:b w:val="false"/>
      <w:i w:val="false"/>
      <w:caps w:val="false"/>
      <w:smallCaps w:val="false"/>
      <w:strike w:val="false"/>
      <w:dstrike w:val="false"/>
      <w:color w:val="auto"/>
      <w:kern w:val="0"/>
      <w:sz w:val="24"/>
      <w:szCs w:val="24"/>
      <w:lang w:val="en-US" w:eastAsia="en-US" w:bidi="ar-SA"/>
    </w:rPr>
  </w:style>
  <w:style w:type="paragraph" w:styleId="ListLabel1081">
    <w:name w:val="ListLabel 10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71">
    <w:name w:val="ListLabel 10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61">
    <w:name w:val="ListLabel 10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51">
    <w:name w:val="ListLabel 10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41">
    <w:name w:val="ListLabel 10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31">
    <w:name w:val="ListLabel 10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21">
    <w:name w:val="ListLabel 10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11">
    <w:name w:val="ListLabel 10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01">
    <w:name w:val="ListLabel 1001"/>
    <w:qFormat/>
    <w:pPr>
      <w:widowControl/>
      <w:suppressAutoHyphens w:val="true"/>
      <w:bidi w:val="0"/>
      <w:spacing w:before="0" w:after="0"/>
      <w:jc w:val="left"/>
    </w:pPr>
    <w:rPr>
      <w:rFonts w:ascii="Minion" w:hAnsi="Minion" w:eastAsia="Lucida Sans" w:cs="Lato"/>
      <w:b w:val="false"/>
      <w:i w:val="false"/>
      <w:caps w:val="false"/>
      <w:smallCaps w:val="false"/>
      <w:strike w:val="false"/>
      <w:dstrike w:val="false"/>
      <w:color w:val="auto"/>
      <w:kern w:val="0"/>
      <w:sz w:val="24"/>
      <w:szCs w:val="24"/>
      <w:lang w:val="en-US" w:eastAsia="en-US" w:bidi="ar-SA"/>
    </w:rPr>
  </w:style>
  <w:style w:type="paragraph" w:styleId="ListLabel991">
    <w:name w:val="ListLabel 9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981">
    <w:name w:val="ListLabel 9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971">
    <w:name w:val="ListLabel 9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961">
    <w:name w:val="ListLabel 9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951">
    <w:name w:val="ListLabel 9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941">
    <w:name w:val="ListLabel 941"/>
    <w:qFormat/>
    <w:pPr>
      <w:widowControl/>
      <w:suppressAutoHyphens w:val="true"/>
      <w:bidi w:val="0"/>
      <w:spacing w:before="0" w:after="0"/>
      <w:jc w:val="left"/>
    </w:pPr>
    <w:rPr>
      <w:rFonts w:ascii="Minion" w:hAnsi="Minion" w:eastAsia="Lucida Sans" w:cs="Lato"/>
      <w:b w:val="false"/>
      <w:i w:val="false"/>
      <w:caps w:val="false"/>
      <w:smallCaps w:val="false"/>
      <w:strike w:val="false"/>
      <w:dstrike w:val="false"/>
      <w:color w:val="auto"/>
      <w:kern w:val="0"/>
      <w:sz w:val="24"/>
      <w:szCs w:val="24"/>
      <w:lang w:val="en-US" w:eastAsia="en-US" w:bidi="ar-SA"/>
    </w:rPr>
  </w:style>
  <w:style w:type="paragraph" w:styleId="ListLabel931">
    <w:name w:val="ListLabel 931"/>
    <w:qFormat/>
    <w:pPr>
      <w:widowControl/>
      <w:suppressAutoHyphens w:val="true"/>
      <w:bidi w:val="0"/>
      <w:spacing w:before="0" w:after="0"/>
      <w:jc w:val="left"/>
    </w:pPr>
    <w:rPr>
      <w:rFonts w:ascii="Symbol" w:hAnsi="Symbol" w:eastAsia="Lucida Sans" w:cs="Lato"/>
      <w:b w:val="false"/>
      <w:i w:val="false"/>
      <w:caps w:val="false"/>
      <w:smallCaps w:val="false"/>
      <w:strike w:val="false"/>
      <w:dstrike w:val="false"/>
      <w:color w:val="auto"/>
      <w:kern w:val="0"/>
      <w:sz w:val="24"/>
      <w:szCs w:val="24"/>
      <w:lang w:val="en-US" w:eastAsia="en-US" w:bidi="ar-SA"/>
    </w:rPr>
  </w:style>
  <w:style w:type="paragraph" w:styleId="ListLabel921">
    <w:name w:val="ListLabel 921"/>
    <w:qFormat/>
    <w:pPr>
      <w:widowControl/>
      <w:suppressAutoHyphens w:val="true"/>
      <w:bidi w:val="0"/>
      <w:spacing w:before="0" w:after="0"/>
      <w:jc w:val="left"/>
    </w:pPr>
    <w:rPr>
      <w:rFonts w:ascii="Minion" w:hAnsi="Minion" w:eastAsia="Lucida Sans" w:cs="Lato"/>
      <w:b w:val="false"/>
      <w:i w:val="false"/>
      <w:caps w:val="false"/>
      <w:smallCaps w:val="false"/>
      <w:strike w:val="false"/>
      <w:dstrike w:val="false"/>
      <w:color w:val="auto"/>
      <w:kern w:val="0"/>
      <w:sz w:val="24"/>
      <w:szCs w:val="24"/>
      <w:lang w:val="en-US" w:eastAsia="en-US" w:bidi="ar-SA"/>
    </w:rPr>
  </w:style>
  <w:style w:type="paragraph" w:styleId="ListLabel911">
    <w:name w:val="ListLabel 911"/>
    <w:qFormat/>
    <w:pPr>
      <w:widowControl/>
      <w:suppressAutoHyphens w:val="true"/>
      <w:bidi w:val="0"/>
      <w:spacing w:before="0" w:after="0"/>
      <w:jc w:val="left"/>
    </w:pPr>
    <w:rPr>
      <w:rFonts w:ascii="Minion" w:hAnsi="Minion" w:eastAsia="Lucida Sans" w:cs="Lato"/>
      <w:b w:val="false"/>
      <w:i w:val="false"/>
      <w:caps w:val="false"/>
      <w:smallCaps w:val="false"/>
      <w:strike w:val="false"/>
      <w:dstrike w:val="false"/>
      <w:color w:val="auto"/>
      <w:kern w:val="0"/>
      <w:sz w:val="24"/>
      <w:szCs w:val="24"/>
      <w:lang w:val="en-US" w:eastAsia="en-US" w:bidi="ar-SA"/>
    </w:rPr>
  </w:style>
  <w:style w:type="paragraph" w:styleId="ListLabel901">
    <w:name w:val="ListLabel 9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891">
    <w:name w:val="ListLabel 8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881">
    <w:name w:val="ListLabel 8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871">
    <w:name w:val="ListLabel 8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861">
    <w:name w:val="ListLabel 861"/>
    <w:qFormat/>
    <w:pPr>
      <w:widowControl/>
      <w:suppressAutoHyphens w:val="true"/>
      <w:bidi w:val="0"/>
      <w:spacing w:before="0" w:after="0"/>
      <w:jc w:val="left"/>
    </w:pPr>
    <w:rPr>
      <w:rFonts w:ascii="Minion" w:hAnsi="Minion" w:eastAsia="Lucida Sans" w:cs="Lato"/>
      <w:b/>
      <w:i w:val="false"/>
      <w:color w:val="auto"/>
      <w:kern w:val="0"/>
      <w:sz w:val="24"/>
      <w:szCs w:val="24"/>
      <w:lang w:val="en-US" w:eastAsia="en-US" w:bidi="ar-SA"/>
    </w:rPr>
  </w:style>
  <w:style w:type="paragraph" w:styleId="ListLabel851">
    <w:name w:val="ListLabel 851"/>
    <w:qFormat/>
    <w:pPr>
      <w:widowControl/>
      <w:suppressAutoHyphens w:val="true"/>
      <w:bidi w:val="0"/>
      <w:spacing w:before="0" w:after="0"/>
      <w:jc w:val="left"/>
    </w:pPr>
    <w:rPr>
      <w:rFonts w:ascii="Minion" w:hAnsi="Minion" w:eastAsia="Lucida Sans" w:cs="Lato"/>
      <w:b/>
      <w:i w:val="false"/>
      <w:color w:val="auto"/>
      <w:kern w:val="0"/>
      <w:sz w:val="24"/>
      <w:szCs w:val="24"/>
      <w:lang w:val="en-US" w:eastAsia="en-US" w:bidi="ar-SA"/>
    </w:rPr>
  </w:style>
  <w:style w:type="paragraph" w:styleId="ListLabel841">
    <w:name w:val="ListLabel 841"/>
    <w:qFormat/>
    <w:pPr>
      <w:widowControl/>
      <w:suppressAutoHyphens w:val="true"/>
      <w:bidi w:val="0"/>
      <w:spacing w:before="0" w:after="0"/>
      <w:jc w:val="left"/>
    </w:pPr>
    <w:rPr>
      <w:rFonts w:ascii="Minion" w:hAnsi="Minion" w:eastAsia="Lucida Sans" w:cs="Lato"/>
      <w:b/>
      <w:i w:val="false"/>
      <w:color w:val="auto"/>
      <w:kern w:val="0"/>
      <w:sz w:val="24"/>
      <w:szCs w:val="24"/>
      <w:lang w:val="en-US" w:eastAsia="en-US" w:bidi="ar-SA"/>
    </w:rPr>
  </w:style>
  <w:style w:type="paragraph" w:styleId="ListLabel831">
    <w:name w:val="ListLabel 831"/>
    <w:qFormat/>
    <w:pPr>
      <w:widowControl/>
      <w:suppressAutoHyphens w:val="true"/>
      <w:bidi w:val="0"/>
      <w:spacing w:before="0" w:after="0"/>
      <w:jc w:val="left"/>
    </w:pPr>
    <w:rPr>
      <w:rFonts w:ascii="Minion" w:hAnsi="Minion" w:eastAsia="Lucida Sans" w:cs="Lato"/>
      <w:b/>
      <w:i w:val="false"/>
      <w:color w:val="auto"/>
      <w:kern w:val="0"/>
      <w:sz w:val="24"/>
      <w:szCs w:val="24"/>
      <w:lang w:val="en-US" w:eastAsia="en-US" w:bidi="ar-SA"/>
    </w:rPr>
  </w:style>
  <w:style w:type="paragraph" w:styleId="ListLabel821">
    <w:name w:val="ListLabel 821"/>
    <w:qFormat/>
    <w:pPr>
      <w:widowControl/>
      <w:suppressAutoHyphens w:val="true"/>
      <w:bidi w:val="0"/>
      <w:spacing w:before="0" w:after="0"/>
      <w:jc w:val="left"/>
    </w:pPr>
    <w:rPr>
      <w:rFonts w:ascii="Minion" w:hAnsi="Minion" w:eastAsia="Lucida Sans" w:cs="Lato"/>
      <w:b/>
      <w:i w:val="false"/>
      <w:caps/>
      <w:color w:val="auto"/>
      <w:kern w:val="0"/>
      <w:sz w:val="24"/>
      <w:szCs w:val="24"/>
      <w:lang w:val="en-US" w:eastAsia="en-US" w:bidi="ar-SA"/>
    </w:rPr>
  </w:style>
  <w:style w:type="paragraph" w:styleId="ListLabel811">
    <w:name w:val="ListLabel 8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801">
    <w:name w:val="ListLabel 8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91">
    <w:name w:val="ListLabel 7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81">
    <w:name w:val="ListLabel 7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71">
    <w:name w:val="ListLabel 7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61">
    <w:name w:val="ListLabel 7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51">
    <w:name w:val="ListLabel 7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41">
    <w:name w:val="ListLabel 7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31">
    <w:name w:val="ListLabel 731"/>
    <w:qFormat/>
    <w:pPr>
      <w:widowControl/>
      <w:suppressAutoHyphens w:val="true"/>
      <w:bidi w:val="0"/>
      <w:spacing w:before="0" w:after="0"/>
      <w:jc w:val="left"/>
    </w:pPr>
    <w:rPr>
      <w:rFonts w:ascii="Minion" w:hAnsi="Minion" w:eastAsia="Lucida Sans" w:cs="Lato"/>
      <w:b w:val="false"/>
      <w:i w:val="false"/>
      <w:color w:val="auto"/>
      <w:kern w:val="0"/>
      <w:sz w:val="24"/>
      <w:szCs w:val="24"/>
      <w:lang w:val="en-US" w:eastAsia="en-US" w:bidi="ar-SA"/>
    </w:rPr>
  </w:style>
  <w:style w:type="paragraph" w:styleId="ListLabel721">
    <w:name w:val="ListLabel 7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11">
    <w:name w:val="ListLabel 7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701">
    <w:name w:val="ListLabel 7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91">
    <w:name w:val="ListLabel 6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81">
    <w:name w:val="ListLabel 6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71">
    <w:name w:val="ListLabel 6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61">
    <w:name w:val="ListLabel 6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51">
    <w:name w:val="ListLabel 6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41">
    <w:name w:val="ListLabel 6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31">
    <w:name w:val="ListLabel 6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21">
    <w:name w:val="ListLabel 6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11">
    <w:name w:val="ListLabel 6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601">
    <w:name w:val="ListLabel 6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91">
    <w:name w:val="ListLabel 5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81">
    <w:name w:val="ListLabel 5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71">
    <w:name w:val="ListLabel 5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61">
    <w:name w:val="ListLabel 5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51">
    <w:name w:val="ListLabel 551"/>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541">
    <w:name w:val="ListLabel 5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31">
    <w:name w:val="ListLabel 5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21">
    <w:name w:val="ListLabel 5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11">
    <w:name w:val="ListLabel 5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501">
    <w:name w:val="ListLabel 5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91">
    <w:name w:val="ListLabel 4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81">
    <w:name w:val="ListLabel 4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71">
    <w:name w:val="ListLabel 4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61">
    <w:name w:val="ListLabel 461"/>
    <w:qFormat/>
    <w:pPr>
      <w:widowControl/>
      <w:suppressAutoHyphens w:val="true"/>
      <w:bidi w:val="0"/>
      <w:spacing w:before="0" w:after="0"/>
      <w:jc w:val="left"/>
    </w:pPr>
    <w:rPr>
      <w:rFonts w:ascii="Liberation Serif" w:hAnsi="Liberation Serif" w:eastAsia="Lucida Sans" w:cs="Lato"/>
      <w:b w:val="false"/>
      <w:i w:val="false"/>
      <w:caps w:val="false"/>
      <w:smallCaps w:val="false"/>
      <w:strike w:val="false"/>
      <w:dstrike w:val="false"/>
      <w:outline w:val="false"/>
      <w:shadow w:val="false"/>
      <w:color w:val="auto"/>
      <w:spacing w:val="0"/>
      <w:kern w:val="0"/>
      <w:sz w:val="24"/>
      <w:szCs w:val="24"/>
      <w:u w:val="none"/>
      <w:em w:val="none"/>
      <w:lang w:val="en-US" w:eastAsia="en-US" w:bidi="ar-SA"/>
    </w:rPr>
  </w:style>
  <w:style w:type="paragraph" w:styleId="ListLabel451">
    <w:name w:val="ListLabel 4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41">
    <w:name w:val="ListLabel 4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31">
    <w:name w:val="ListLabel 4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21">
    <w:name w:val="ListLabel 4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11">
    <w:name w:val="ListLabel 4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401">
    <w:name w:val="ListLabel 4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91">
    <w:name w:val="ListLabel 3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81">
    <w:name w:val="ListLabel 3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71">
    <w:name w:val="ListLabel 3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61">
    <w:name w:val="ListLabel 3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51">
    <w:name w:val="ListLabel 3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41">
    <w:name w:val="ListLabel 3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31">
    <w:name w:val="ListLabel 3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21">
    <w:name w:val="ListLabel 3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11">
    <w:name w:val="ListLabel 3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301">
    <w:name w:val="ListLabel 3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91">
    <w:name w:val="ListLabel 2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81">
    <w:name w:val="ListLabel 2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71">
    <w:name w:val="ListLabel 2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61">
    <w:name w:val="ListLabel 2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51">
    <w:name w:val="ListLabel 25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41">
    <w:name w:val="ListLabel 24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31">
    <w:name w:val="ListLabel 23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21">
    <w:name w:val="ListLabel 22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11">
    <w:name w:val="ListLabel 21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201">
    <w:name w:val="ListLabel 20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91">
    <w:name w:val="ListLabel 19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81">
    <w:name w:val="ListLabel 18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71">
    <w:name w:val="ListLabel 17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61">
    <w:name w:val="ListLabel 16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54">
    <w:name w:val="ListLabel 154"/>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410">
    <w:name w:val="ListLabel 1410"/>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310">
    <w:name w:val="ListLabel 1310"/>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210">
    <w:name w:val="ListLabel 1210"/>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110">
    <w:name w:val="ListLabel 1110"/>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1010">
    <w:name w:val="ListLabel 1010"/>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ListLabel910">
    <w:name w:val="ListLabel 9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810">
    <w:name w:val="ListLabel 8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710">
    <w:name w:val="ListLabel 7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610">
    <w:name w:val="ListLabel 6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510">
    <w:name w:val="ListLabel 5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410">
    <w:name w:val="ListLabel 4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310">
    <w:name w:val="ListLabel 3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210">
    <w:name w:val="ListLabel 210"/>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ListLabel155">
    <w:name w:val="ListLabel 155"/>
    <w:qFormat/>
    <w:pPr>
      <w:widowControl/>
      <w:suppressAutoHyphens w:val="true"/>
      <w:bidi w:val="0"/>
      <w:spacing w:before="0" w:after="0"/>
      <w:jc w:val="left"/>
    </w:pPr>
    <w:rPr>
      <w:rFonts w:ascii="Symbol" w:hAnsi="Symbol" w:eastAsia="Lucida Sans" w:cs="Lato"/>
      <w:color w:val="auto"/>
      <w:kern w:val="0"/>
      <w:sz w:val="24"/>
      <w:szCs w:val="24"/>
      <w:lang w:val="en-US" w:eastAsia="en-US" w:bidi="ar-SA"/>
    </w:rPr>
  </w:style>
  <w:style w:type="paragraph" w:styleId="EndnoteSymbol">
    <w:name w:val="Endnote Symbol"/>
    <w:qFormat/>
    <w:pPr>
      <w:widowControl/>
      <w:suppressAutoHyphens w:val="true"/>
      <w:bidi w:val="0"/>
      <w:spacing w:before="0" w:after="0"/>
      <w:jc w:val="left"/>
    </w:pPr>
    <w:rPr>
      <w:rFonts w:ascii="Liberation Serif" w:hAnsi="Liberation Serif" w:eastAsia="Lucida Sans" w:cs="Lato"/>
      <w:color w:val="auto"/>
      <w:kern w:val="0"/>
      <w:sz w:val="24"/>
      <w:szCs w:val="24"/>
      <w:vertAlign w:val="superscript"/>
      <w:lang w:val="en-US" w:eastAsia="en-US" w:bidi="ar-SA"/>
    </w:rPr>
  </w:style>
  <w:style w:type="paragraph" w:styleId="EndnoteCharacters1">
    <w:name w:val="Endnote Characters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NormalTok1">
    <w:name w:val="NormalTok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ErrorTok1">
    <w:name w:val="ErrorTok1"/>
    <w:qFormat/>
    <w:pPr>
      <w:widowControl/>
      <w:suppressAutoHyphens w:val="true"/>
      <w:bidi w:val="0"/>
      <w:spacing w:before="0" w:after="0"/>
      <w:jc w:val="left"/>
    </w:pPr>
    <w:rPr>
      <w:rFonts w:ascii="Liberation Serif" w:hAnsi="Liberation Serif" w:eastAsia="Lucida Sans" w:cs="Lato"/>
      <w:b/>
      <w:color w:val="FF0000"/>
      <w:kern w:val="0"/>
      <w:sz w:val="24"/>
      <w:szCs w:val="24"/>
      <w:lang w:val="en-US" w:eastAsia="en-US" w:bidi="ar-SA"/>
    </w:rPr>
  </w:style>
  <w:style w:type="paragraph" w:styleId="AlertTok1">
    <w:name w:val="AlertTok1"/>
    <w:qFormat/>
    <w:pPr>
      <w:widowControl/>
      <w:suppressAutoHyphens w:val="true"/>
      <w:bidi w:val="0"/>
      <w:spacing w:before="0" w:after="0"/>
      <w:jc w:val="left"/>
    </w:pPr>
    <w:rPr>
      <w:rFonts w:ascii="Liberation Serif" w:hAnsi="Liberation Serif" w:eastAsia="Lucida Sans" w:cs="Lato"/>
      <w:b/>
      <w:color w:val="FF0000"/>
      <w:kern w:val="0"/>
      <w:sz w:val="24"/>
      <w:szCs w:val="24"/>
      <w:lang w:val="en-US" w:eastAsia="en-US" w:bidi="ar-SA"/>
    </w:rPr>
  </w:style>
  <w:style w:type="paragraph" w:styleId="WarningTok1">
    <w:name w:val="WarningTok1"/>
    <w:qFormat/>
    <w:pPr>
      <w:widowControl/>
      <w:suppressAutoHyphens w:val="true"/>
      <w:bidi w:val="0"/>
      <w:spacing w:before="0" w:after="0"/>
      <w:jc w:val="left"/>
    </w:pPr>
    <w:rPr>
      <w:rFonts w:ascii="Liberation Serif" w:hAnsi="Liberation Serif" w:eastAsia="Lucida Sans" w:cs="Lato"/>
      <w:b/>
      <w:i/>
      <w:color w:val="60A0B0"/>
      <w:kern w:val="0"/>
      <w:sz w:val="24"/>
      <w:szCs w:val="24"/>
      <w:lang w:val="en-US" w:eastAsia="en-US" w:bidi="ar-SA"/>
    </w:rPr>
  </w:style>
  <w:style w:type="paragraph" w:styleId="InformationTok1">
    <w:name w:val="InformationTok1"/>
    <w:qFormat/>
    <w:pPr>
      <w:widowControl/>
      <w:suppressAutoHyphens w:val="true"/>
      <w:bidi w:val="0"/>
      <w:spacing w:before="0" w:after="0"/>
      <w:jc w:val="left"/>
    </w:pPr>
    <w:rPr>
      <w:rFonts w:ascii="Liberation Serif" w:hAnsi="Liberation Serif" w:eastAsia="Lucida Sans" w:cs="Lato"/>
      <w:b/>
      <w:i/>
      <w:color w:val="60A0B0"/>
      <w:kern w:val="0"/>
      <w:sz w:val="24"/>
      <w:szCs w:val="24"/>
      <w:lang w:val="en-US" w:eastAsia="en-US" w:bidi="ar-SA"/>
    </w:rPr>
  </w:style>
  <w:style w:type="paragraph" w:styleId="RegionMarkerTok1">
    <w:name w:val="RegionMarkerTok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AttributeTok1">
    <w:name w:val="AttributeTok1"/>
    <w:qFormat/>
    <w:pPr>
      <w:widowControl/>
      <w:suppressAutoHyphens w:val="true"/>
      <w:bidi w:val="0"/>
      <w:spacing w:before="0" w:after="0"/>
      <w:jc w:val="left"/>
    </w:pPr>
    <w:rPr>
      <w:rFonts w:ascii="Liberation Serif" w:hAnsi="Liberation Serif" w:eastAsia="Lucida Sans" w:cs="Lato"/>
      <w:color w:val="7D9029"/>
      <w:kern w:val="0"/>
      <w:sz w:val="24"/>
      <w:szCs w:val="24"/>
      <w:lang w:val="en-US" w:eastAsia="en-US" w:bidi="ar-SA"/>
    </w:rPr>
  </w:style>
  <w:style w:type="paragraph" w:styleId="PreprocessorTok1">
    <w:name w:val="PreprocessorTok1"/>
    <w:qFormat/>
    <w:pPr>
      <w:widowControl/>
      <w:suppressAutoHyphens w:val="true"/>
      <w:bidi w:val="0"/>
      <w:spacing w:before="0" w:after="0"/>
      <w:jc w:val="left"/>
    </w:pPr>
    <w:rPr>
      <w:rFonts w:ascii="Liberation Serif" w:hAnsi="Liberation Serif" w:eastAsia="Lucida Sans" w:cs="Lato"/>
      <w:color w:val="BC7A00"/>
      <w:kern w:val="0"/>
      <w:sz w:val="24"/>
      <w:szCs w:val="24"/>
      <w:lang w:val="en-US" w:eastAsia="en-US" w:bidi="ar-SA"/>
    </w:rPr>
  </w:style>
  <w:style w:type="paragraph" w:styleId="ExtensionTok1">
    <w:name w:val="ExtensionTok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BuiltInTok1">
    <w:name w:val="BuiltInTok1"/>
    <w:qFormat/>
    <w:pPr>
      <w:widowControl/>
      <w:suppressAutoHyphens w:val="true"/>
      <w:bidi w:val="0"/>
      <w:spacing w:before="0" w:after="0"/>
      <w:jc w:val="left"/>
    </w:pPr>
    <w:rPr>
      <w:rFonts w:ascii="Liberation Serif" w:hAnsi="Liberation Serif" w:eastAsia="Lucida Sans" w:cs="Lato"/>
      <w:color w:val="008000"/>
      <w:kern w:val="0"/>
      <w:sz w:val="24"/>
      <w:szCs w:val="24"/>
      <w:lang w:val="en-US" w:eastAsia="en-US" w:bidi="ar-SA"/>
    </w:rPr>
  </w:style>
  <w:style w:type="paragraph" w:styleId="OperatorTok1">
    <w:name w:val="OperatorTok1"/>
    <w:qFormat/>
    <w:pPr>
      <w:widowControl/>
      <w:suppressAutoHyphens w:val="true"/>
      <w:bidi w:val="0"/>
      <w:spacing w:before="0" w:after="0"/>
      <w:jc w:val="left"/>
    </w:pPr>
    <w:rPr>
      <w:rFonts w:ascii="Liberation Serif" w:hAnsi="Liberation Serif" w:eastAsia="Lucida Sans" w:cs="Lato"/>
      <w:color w:val="666666"/>
      <w:kern w:val="0"/>
      <w:sz w:val="24"/>
      <w:szCs w:val="24"/>
      <w:lang w:val="en-US" w:eastAsia="en-US" w:bidi="ar-SA"/>
    </w:rPr>
  </w:style>
  <w:style w:type="paragraph" w:styleId="ControlFlowTok1">
    <w:name w:val="ControlFlowTok1"/>
    <w:qFormat/>
    <w:pPr>
      <w:widowControl/>
      <w:suppressAutoHyphens w:val="true"/>
      <w:bidi w:val="0"/>
      <w:spacing w:before="0" w:after="0"/>
      <w:jc w:val="left"/>
    </w:pPr>
    <w:rPr>
      <w:rFonts w:ascii="Liberation Serif" w:hAnsi="Liberation Serif" w:eastAsia="Lucida Sans" w:cs="Lato"/>
      <w:b/>
      <w:color w:val="007020"/>
      <w:kern w:val="0"/>
      <w:sz w:val="24"/>
      <w:szCs w:val="24"/>
      <w:lang w:val="en-US" w:eastAsia="en-US" w:bidi="ar-SA"/>
    </w:rPr>
  </w:style>
  <w:style w:type="paragraph" w:styleId="VariableTok1">
    <w:name w:val="VariableTok1"/>
    <w:qFormat/>
    <w:pPr>
      <w:widowControl/>
      <w:suppressAutoHyphens w:val="true"/>
      <w:bidi w:val="0"/>
      <w:spacing w:before="0" w:after="0"/>
      <w:jc w:val="left"/>
    </w:pPr>
    <w:rPr>
      <w:rFonts w:ascii="Liberation Serif" w:hAnsi="Liberation Serif" w:eastAsia="Lucida Sans" w:cs="Lato"/>
      <w:color w:val="19177C"/>
      <w:kern w:val="0"/>
      <w:sz w:val="24"/>
      <w:szCs w:val="24"/>
      <w:lang w:val="en-US" w:eastAsia="en-US" w:bidi="ar-SA"/>
    </w:rPr>
  </w:style>
  <w:style w:type="paragraph" w:styleId="FunctionTok1">
    <w:name w:val="FunctionTok1"/>
    <w:qFormat/>
    <w:pPr>
      <w:widowControl/>
      <w:suppressAutoHyphens w:val="true"/>
      <w:bidi w:val="0"/>
      <w:spacing w:before="0" w:after="0"/>
      <w:jc w:val="left"/>
    </w:pPr>
    <w:rPr>
      <w:rFonts w:ascii="Liberation Serif" w:hAnsi="Liberation Serif" w:eastAsia="Lucida Sans" w:cs="Lato"/>
      <w:color w:val="06287E"/>
      <w:kern w:val="0"/>
      <w:sz w:val="24"/>
      <w:szCs w:val="24"/>
      <w:lang w:val="en-US" w:eastAsia="en-US" w:bidi="ar-SA"/>
    </w:rPr>
  </w:style>
  <w:style w:type="paragraph" w:styleId="OtherTok1">
    <w:name w:val="OtherTok1"/>
    <w:qFormat/>
    <w:pPr>
      <w:widowControl/>
      <w:suppressAutoHyphens w:val="true"/>
      <w:bidi w:val="0"/>
      <w:spacing w:before="0" w:after="0"/>
      <w:jc w:val="left"/>
    </w:pPr>
    <w:rPr>
      <w:rFonts w:ascii="Liberation Serif" w:hAnsi="Liberation Serif" w:eastAsia="Lucida Sans" w:cs="Lato"/>
      <w:color w:val="007020"/>
      <w:kern w:val="0"/>
      <w:sz w:val="24"/>
      <w:szCs w:val="24"/>
      <w:lang w:val="en-US" w:eastAsia="en-US" w:bidi="ar-SA"/>
    </w:rPr>
  </w:style>
  <w:style w:type="paragraph" w:styleId="CommentVarTok1">
    <w:name w:val="CommentVarTok1"/>
    <w:qFormat/>
    <w:pPr>
      <w:widowControl/>
      <w:suppressAutoHyphens w:val="true"/>
      <w:bidi w:val="0"/>
      <w:spacing w:before="0" w:after="0"/>
      <w:jc w:val="left"/>
    </w:pPr>
    <w:rPr>
      <w:rFonts w:ascii="Liberation Serif" w:hAnsi="Liberation Serif" w:eastAsia="Lucida Sans" w:cs="Lato"/>
      <w:b/>
      <w:i/>
      <w:color w:val="60A0B0"/>
      <w:kern w:val="0"/>
      <w:sz w:val="24"/>
      <w:szCs w:val="24"/>
      <w:lang w:val="en-US" w:eastAsia="en-US" w:bidi="ar-SA"/>
    </w:rPr>
  </w:style>
  <w:style w:type="paragraph" w:styleId="AnnotationTok1">
    <w:name w:val="AnnotationTok1"/>
    <w:qFormat/>
    <w:pPr>
      <w:widowControl/>
      <w:suppressAutoHyphens w:val="true"/>
      <w:bidi w:val="0"/>
      <w:spacing w:before="0" w:after="0"/>
      <w:jc w:val="left"/>
    </w:pPr>
    <w:rPr>
      <w:rFonts w:ascii="Liberation Serif" w:hAnsi="Liberation Serif" w:eastAsia="Lucida Sans" w:cs="Lato"/>
      <w:b/>
      <w:i/>
      <w:color w:val="60A0B0"/>
      <w:kern w:val="0"/>
      <w:sz w:val="24"/>
      <w:szCs w:val="24"/>
      <w:lang w:val="en-US" w:eastAsia="en-US" w:bidi="ar-SA"/>
    </w:rPr>
  </w:style>
  <w:style w:type="paragraph" w:styleId="DocumentationTok1">
    <w:name w:val="DocumentationTok1"/>
    <w:qFormat/>
    <w:pPr>
      <w:widowControl/>
      <w:suppressAutoHyphens w:val="true"/>
      <w:bidi w:val="0"/>
      <w:spacing w:before="0" w:after="0"/>
      <w:jc w:val="left"/>
    </w:pPr>
    <w:rPr>
      <w:rFonts w:ascii="Liberation Serif" w:hAnsi="Liberation Serif" w:eastAsia="Lucida Sans" w:cs="Lato"/>
      <w:i/>
      <w:color w:val="BA2121"/>
      <w:kern w:val="0"/>
      <w:sz w:val="24"/>
      <w:szCs w:val="24"/>
      <w:lang w:val="en-US" w:eastAsia="en-US" w:bidi="ar-SA"/>
    </w:rPr>
  </w:style>
  <w:style w:type="paragraph" w:styleId="CommentTok1">
    <w:name w:val="CommentTok1"/>
    <w:qFormat/>
    <w:pPr>
      <w:widowControl/>
      <w:suppressAutoHyphens w:val="true"/>
      <w:bidi w:val="0"/>
      <w:spacing w:before="0" w:after="0"/>
      <w:jc w:val="left"/>
    </w:pPr>
    <w:rPr>
      <w:rFonts w:ascii="Liberation Serif" w:hAnsi="Liberation Serif" w:eastAsia="Lucida Sans" w:cs="Lato"/>
      <w:i/>
      <w:color w:val="60A0B0"/>
      <w:kern w:val="0"/>
      <w:sz w:val="24"/>
      <w:szCs w:val="24"/>
      <w:lang w:val="en-US" w:eastAsia="en-US" w:bidi="ar-SA"/>
    </w:rPr>
  </w:style>
  <w:style w:type="paragraph" w:styleId="ImportTok1">
    <w:name w:val="ImportTok1"/>
    <w:qFormat/>
    <w:pPr>
      <w:widowControl/>
      <w:suppressAutoHyphens w:val="true"/>
      <w:bidi w:val="0"/>
      <w:spacing w:before="0" w:after="0"/>
      <w:jc w:val="left"/>
    </w:pPr>
    <w:rPr>
      <w:rFonts w:ascii="Liberation Serif" w:hAnsi="Liberation Serif" w:eastAsia="Lucida Sans" w:cs="Lato"/>
      <w:b/>
      <w:color w:val="008000"/>
      <w:kern w:val="0"/>
      <w:sz w:val="24"/>
      <w:szCs w:val="24"/>
      <w:lang w:val="en-US" w:eastAsia="en-US" w:bidi="ar-SA"/>
    </w:rPr>
  </w:style>
  <w:style w:type="paragraph" w:styleId="SpecialStringTok1">
    <w:name w:val="SpecialStringTok1"/>
    <w:qFormat/>
    <w:pPr>
      <w:widowControl/>
      <w:suppressAutoHyphens w:val="true"/>
      <w:bidi w:val="0"/>
      <w:spacing w:before="0" w:after="0"/>
      <w:jc w:val="left"/>
    </w:pPr>
    <w:rPr>
      <w:rFonts w:ascii="Liberation Serif" w:hAnsi="Liberation Serif" w:eastAsia="Lucida Sans" w:cs="Lato"/>
      <w:color w:val="BB6688"/>
      <w:kern w:val="0"/>
      <w:sz w:val="24"/>
      <w:szCs w:val="24"/>
      <w:lang w:val="en-US" w:eastAsia="en-US" w:bidi="ar-SA"/>
    </w:rPr>
  </w:style>
  <w:style w:type="paragraph" w:styleId="VerbatimStringTok1">
    <w:name w:val="VerbatimStringTok1"/>
    <w:qFormat/>
    <w:pPr>
      <w:widowControl/>
      <w:suppressAutoHyphens w:val="true"/>
      <w:bidi w:val="0"/>
      <w:spacing w:before="0" w:after="0"/>
      <w:jc w:val="left"/>
    </w:pPr>
    <w:rPr>
      <w:rFonts w:ascii="Liberation Serif" w:hAnsi="Liberation Serif" w:eastAsia="Lucida Sans" w:cs="Lato"/>
      <w:color w:val="4070A0"/>
      <w:kern w:val="0"/>
      <w:sz w:val="24"/>
      <w:szCs w:val="24"/>
      <w:lang w:val="en-US" w:eastAsia="en-US" w:bidi="ar-SA"/>
    </w:rPr>
  </w:style>
  <w:style w:type="paragraph" w:styleId="StringTok1">
    <w:name w:val="StringTok1"/>
    <w:qFormat/>
    <w:pPr>
      <w:widowControl/>
      <w:suppressAutoHyphens w:val="true"/>
      <w:bidi w:val="0"/>
      <w:spacing w:before="0" w:after="0"/>
      <w:jc w:val="left"/>
    </w:pPr>
    <w:rPr>
      <w:rFonts w:ascii="Liberation Serif" w:hAnsi="Liberation Serif" w:eastAsia="Lucida Sans" w:cs="Lato"/>
      <w:color w:val="4070A0"/>
      <w:kern w:val="0"/>
      <w:sz w:val="24"/>
      <w:szCs w:val="24"/>
      <w:lang w:val="en-US" w:eastAsia="en-US" w:bidi="ar-SA"/>
    </w:rPr>
  </w:style>
  <w:style w:type="paragraph" w:styleId="SpecialCharTok1">
    <w:name w:val="SpecialCharTok1"/>
    <w:qFormat/>
    <w:pPr>
      <w:widowControl/>
      <w:suppressAutoHyphens w:val="true"/>
      <w:bidi w:val="0"/>
      <w:spacing w:before="0" w:after="0"/>
      <w:jc w:val="left"/>
    </w:pPr>
    <w:rPr>
      <w:rFonts w:ascii="Liberation Serif" w:hAnsi="Liberation Serif" w:eastAsia="Lucida Sans" w:cs="Lato"/>
      <w:color w:val="4070A0"/>
      <w:kern w:val="0"/>
      <w:sz w:val="24"/>
      <w:szCs w:val="24"/>
      <w:lang w:val="en-US" w:eastAsia="en-US" w:bidi="ar-SA"/>
    </w:rPr>
  </w:style>
  <w:style w:type="paragraph" w:styleId="CharTok1">
    <w:name w:val="CharTok1"/>
    <w:qFormat/>
    <w:pPr>
      <w:widowControl/>
      <w:suppressAutoHyphens w:val="true"/>
      <w:bidi w:val="0"/>
      <w:spacing w:before="0" w:after="0"/>
      <w:jc w:val="left"/>
    </w:pPr>
    <w:rPr>
      <w:rFonts w:ascii="Liberation Serif" w:hAnsi="Liberation Serif" w:eastAsia="Lucida Sans" w:cs="Lato"/>
      <w:color w:val="4070A0"/>
      <w:kern w:val="0"/>
      <w:sz w:val="24"/>
      <w:szCs w:val="24"/>
      <w:lang w:val="en-US" w:eastAsia="en-US" w:bidi="ar-SA"/>
    </w:rPr>
  </w:style>
  <w:style w:type="paragraph" w:styleId="ConstantTok1">
    <w:name w:val="ConstantTok1"/>
    <w:qFormat/>
    <w:pPr>
      <w:widowControl/>
      <w:suppressAutoHyphens w:val="true"/>
      <w:bidi w:val="0"/>
      <w:spacing w:before="0" w:after="0"/>
      <w:jc w:val="left"/>
    </w:pPr>
    <w:rPr>
      <w:rFonts w:ascii="Liberation Serif" w:hAnsi="Liberation Serif" w:eastAsia="Lucida Sans" w:cs="Lato"/>
      <w:color w:val="880000"/>
      <w:kern w:val="0"/>
      <w:sz w:val="24"/>
      <w:szCs w:val="24"/>
      <w:lang w:val="en-US" w:eastAsia="en-US" w:bidi="ar-SA"/>
    </w:rPr>
  </w:style>
  <w:style w:type="paragraph" w:styleId="FloatTok1">
    <w:name w:val="FloatTok1"/>
    <w:qFormat/>
    <w:pPr>
      <w:widowControl/>
      <w:suppressAutoHyphens w:val="true"/>
      <w:bidi w:val="0"/>
      <w:spacing w:before="0" w:after="0"/>
      <w:jc w:val="left"/>
    </w:pPr>
    <w:rPr>
      <w:rFonts w:ascii="Liberation Serif" w:hAnsi="Liberation Serif" w:eastAsia="Lucida Sans" w:cs="Lato"/>
      <w:color w:val="40A070"/>
      <w:kern w:val="0"/>
      <w:sz w:val="24"/>
      <w:szCs w:val="24"/>
      <w:lang w:val="en-US" w:eastAsia="en-US" w:bidi="ar-SA"/>
    </w:rPr>
  </w:style>
  <w:style w:type="paragraph" w:styleId="BaseNTok1">
    <w:name w:val="BaseNTok1"/>
    <w:qFormat/>
    <w:pPr>
      <w:widowControl/>
      <w:suppressAutoHyphens w:val="true"/>
      <w:bidi w:val="0"/>
      <w:spacing w:before="0" w:after="0"/>
      <w:jc w:val="left"/>
    </w:pPr>
    <w:rPr>
      <w:rFonts w:ascii="Liberation Serif" w:hAnsi="Liberation Serif" w:eastAsia="Lucida Sans" w:cs="Lato"/>
      <w:color w:val="40A070"/>
      <w:kern w:val="0"/>
      <w:sz w:val="24"/>
      <w:szCs w:val="24"/>
      <w:lang w:val="en-US" w:eastAsia="en-US" w:bidi="ar-SA"/>
    </w:rPr>
  </w:style>
  <w:style w:type="paragraph" w:styleId="DecValTok1">
    <w:name w:val="DecValTok1"/>
    <w:qFormat/>
    <w:pPr>
      <w:widowControl/>
      <w:suppressAutoHyphens w:val="true"/>
      <w:bidi w:val="0"/>
      <w:spacing w:before="0" w:after="0"/>
      <w:jc w:val="left"/>
    </w:pPr>
    <w:rPr>
      <w:rFonts w:ascii="Liberation Serif" w:hAnsi="Liberation Serif" w:eastAsia="Lucida Sans" w:cs="Lato"/>
      <w:color w:val="40A070"/>
      <w:kern w:val="0"/>
      <w:sz w:val="24"/>
      <w:szCs w:val="24"/>
      <w:lang w:val="en-US" w:eastAsia="en-US" w:bidi="ar-SA"/>
    </w:rPr>
  </w:style>
  <w:style w:type="paragraph" w:styleId="DataTypeTok1">
    <w:name w:val="DataTypeTok1"/>
    <w:qFormat/>
    <w:pPr>
      <w:widowControl/>
      <w:suppressAutoHyphens w:val="true"/>
      <w:bidi w:val="0"/>
      <w:spacing w:before="0" w:after="0"/>
      <w:jc w:val="left"/>
    </w:pPr>
    <w:rPr>
      <w:rFonts w:ascii="Liberation Serif" w:hAnsi="Liberation Serif" w:eastAsia="Lucida Sans" w:cs="Lato"/>
      <w:color w:val="902000"/>
      <w:kern w:val="0"/>
      <w:sz w:val="24"/>
      <w:szCs w:val="24"/>
      <w:lang w:val="en-US" w:eastAsia="en-US" w:bidi="ar-SA"/>
    </w:rPr>
  </w:style>
  <w:style w:type="paragraph" w:styleId="KeywordTok1">
    <w:name w:val="KeywordTok1"/>
    <w:qFormat/>
    <w:pPr>
      <w:widowControl/>
      <w:suppressAutoHyphens w:val="true"/>
      <w:bidi w:val="0"/>
      <w:spacing w:before="0" w:after="0"/>
      <w:jc w:val="left"/>
    </w:pPr>
    <w:rPr>
      <w:rFonts w:ascii="Liberation Serif" w:hAnsi="Liberation Serif" w:eastAsia="Lucida Sans" w:cs="Lato"/>
      <w:b/>
      <w:color w:val="007020"/>
      <w:kern w:val="0"/>
      <w:sz w:val="24"/>
      <w:szCs w:val="24"/>
      <w:lang w:val="en-US" w:eastAsia="en-US" w:bidi="ar-SA"/>
    </w:rPr>
  </w:style>
  <w:style w:type="paragraph" w:styleId="NumberingSymbols1">
    <w:name w:val="Numbering Symbols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Bullets1">
    <w:name w:val="Bullets1"/>
    <w:qFormat/>
    <w:pPr>
      <w:widowControl/>
      <w:suppressAutoHyphens w:val="true"/>
      <w:bidi w:val="0"/>
      <w:spacing w:before="0" w:after="0"/>
      <w:jc w:val="left"/>
    </w:pPr>
    <w:rPr>
      <w:rFonts w:ascii="OpenSymbol;Arial Unicode MS" w:hAnsi="OpenSymbol;Arial Unicode MS" w:eastAsia="Lucida Sans" w:cs="Lato"/>
      <w:color w:val="auto"/>
      <w:kern w:val="0"/>
      <w:sz w:val="24"/>
      <w:szCs w:val="24"/>
      <w:lang w:val="en-US" w:eastAsia="en-US" w:bidi="ar-SA"/>
    </w:rPr>
  </w:style>
  <w:style w:type="paragraph" w:styleId="3b-ListChar1">
    <w:name w:val="3b - List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BodyTextIndent2Char1">
    <w:name w:val="Body Text Indent 2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DefaultParagraphFont1">
    <w:name w:val="Default Paragraph Font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2b-ListChar1">
    <w:name w:val="2b - List Char1"/>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1b-ListChar1">
    <w:name w:val="1b - List Char1"/>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BodyTextChar1">
    <w:name w:val="Body Text Char1"/>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3b-ParagraphOutlineChar1">
    <w:name w:val="3b - Paragraph Outline Char1"/>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NumberedParagraph-Level3Char1">
    <w:name w:val="Numbered Paragraph - Level 3 Char1"/>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EndnoteTextChar1">
    <w:name w:val="Endnote Text Char1"/>
    <w:qFormat/>
    <w:pPr>
      <w:widowControl/>
      <w:suppressAutoHyphens w:val="true"/>
      <w:bidi w:val="0"/>
      <w:spacing w:before="0" w:after="0"/>
      <w:jc w:val="left"/>
    </w:pPr>
    <w:rPr>
      <w:rFonts w:ascii="0" w:hAnsi="0" w:eastAsia="Lucida Sans" w:cs="Lato"/>
      <w:color w:val="auto"/>
      <w:kern w:val="0"/>
      <w:sz w:val="20"/>
      <w:szCs w:val="24"/>
      <w:lang w:val="en-US" w:eastAsia="en-US" w:bidi="ar-SA"/>
    </w:rPr>
  </w:style>
  <w:style w:type="paragraph" w:styleId="BodyText4Char1">
    <w:name w:val="Body Text 4 Char1"/>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BodyText3Char1">
    <w:name w:val="Body Text 3 Char1"/>
    <w:qFormat/>
    <w:pPr>
      <w:widowControl/>
      <w:suppressAutoHyphens w:val="true"/>
      <w:bidi w:val="0"/>
      <w:spacing w:before="0" w:after="0"/>
      <w:jc w:val="left"/>
    </w:pPr>
    <w:rPr>
      <w:rFonts w:ascii="Liberation Serif" w:hAnsi="Liberation Serif" w:eastAsia="Lucida Sans" w:cs="Lato"/>
      <w:color w:val="auto"/>
      <w:kern w:val="0"/>
      <w:sz w:val="16"/>
      <w:szCs w:val="24"/>
      <w:lang w:val="en-US" w:eastAsia="en-US" w:bidi="ar-SA"/>
    </w:rPr>
  </w:style>
  <w:style w:type="paragraph" w:styleId="BodyText2Char1">
    <w:name w:val="Body Text 2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SpeakerInfo-ChTitlePageChar1">
    <w:name w:val="Speaker Info - Ch Title Page Char1"/>
    <w:qFormat/>
    <w:pPr>
      <w:widowControl/>
      <w:suppressAutoHyphens w:val="true"/>
      <w:bidi w:val="0"/>
      <w:spacing w:before="0" w:after="0"/>
      <w:jc w:val="left"/>
    </w:pPr>
    <w:rPr>
      <w:rFonts w:ascii="Times New Roman" w:hAnsi="Times New Roman" w:eastAsia="Lucida Sans" w:cs="Lato"/>
      <w:i/>
      <w:color w:val="404040"/>
      <w:kern w:val="0"/>
      <w:sz w:val="22"/>
      <w:szCs w:val="24"/>
      <w:lang w:val="en-US" w:eastAsia="en-US" w:bidi="ar-SA"/>
    </w:rPr>
  </w:style>
  <w:style w:type="paragraph" w:styleId="NumberedListChar1">
    <w:name w:val="Numbered List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PlaceholderText1">
    <w:name w:val="Placeholder Text1"/>
    <w:qFormat/>
    <w:pPr>
      <w:widowControl/>
      <w:suppressAutoHyphens w:val="true"/>
      <w:bidi w:val="0"/>
      <w:spacing w:before="0" w:after="0"/>
      <w:jc w:val="left"/>
    </w:pPr>
    <w:rPr>
      <w:rFonts w:ascii="Liberation Serif" w:hAnsi="Liberation Serif" w:eastAsia="Lucida Sans" w:cs="Lato"/>
      <w:color w:val="808080"/>
      <w:kern w:val="0"/>
      <w:sz w:val="24"/>
      <w:szCs w:val="24"/>
      <w:lang w:val="en-US" w:eastAsia="en-US" w:bidi="ar-SA"/>
    </w:rPr>
  </w:style>
  <w:style w:type="paragraph" w:styleId="ChapterTitlePage-SpeakerInfoChar1">
    <w:name w:val="Chapter Title Page - Speaker Info Char1"/>
    <w:qFormat/>
    <w:pPr>
      <w:widowControl/>
      <w:suppressAutoHyphens w:val="true"/>
      <w:bidi w:val="0"/>
      <w:spacing w:before="0" w:after="0"/>
      <w:jc w:val="left"/>
    </w:pPr>
    <w:rPr>
      <w:rFonts w:ascii="Times New Roman" w:hAnsi="Times New Roman" w:eastAsia="Lucida Sans" w:cs="Lato"/>
      <w:i/>
      <w:color w:val="404040"/>
      <w:kern w:val="0"/>
      <w:sz w:val="22"/>
      <w:szCs w:val="24"/>
      <w:lang w:val="en-US" w:eastAsia="en-US" w:bidi="ar-SA"/>
    </w:rPr>
  </w:style>
  <w:style w:type="paragraph" w:styleId="ChapterTitlePage-ChTitleChar1">
    <w:name w:val="Chapter Title Page - Ch. Title Char1"/>
    <w:qFormat/>
    <w:pPr>
      <w:widowControl/>
      <w:suppressAutoHyphens w:val="true"/>
      <w:bidi w:val="0"/>
      <w:spacing w:before="0" w:after="0"/>
      <w:jc w:val="left"/>
    </w:pPr>
    <w:rPr>
      <w:rFonts w:ascii="Times New Roman" w:hAnsi="Times New Roman" w:eastAsia="Lucida Sans" w:cs="Lato"/>
      <w:color w:val="404040"/>
      <w:kern w:val="0"/>
      <w:sz w:val="60"/>
      <w:szCs w:val="24"/>
      <w:lang w:val="en-US" w:eastAsia="en-US" w:bidi="ar-SA"/>
    </w:rPr>
  </w:style>
  <w:style w:type="paragraph" w:styleId="BodyTextFirstIndent2Char1">
    <w:name w:val="Body Text First Indent 2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BodyTextIndentChar1">
    <w:name w:val="Body Text Indent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SubtitleChar1">
    <w:name w:val="Subtitle Char1"/>
    <w:qFormat/>
    <w:pPr>
      <w:widowControl/>
      <w:suppressAutoHyphens w:val="true"/>
      <w:bidi w:val="0"/>
      <w:spacing w:before="0" w:after="0"/>
      <w:jc w:val="left"/>
    </w:pPr>
    <w:rPr>
      <w:rFonts w:ascii="Calibri" w:hAnsi="Calibri" w:eastAsia="Lucida Sans" w:cs="Lato"/>
      <w:color w:val="5A5A5A"/>
      <w:spacing w:val="15"/>
      <w:kern w:val="0"/>
      <w:sz w:val="22"/>
      <w:szCs w:val="24"/>
      <w:lang w:val="en-US" w:eastAsia="en-US" w:bidi="ar-SA"/>
    </w:rPr>
  </w:style>
  <w:style w:type="paragraph" w:styleId="TitleChar1">
    <w:name w:val="Title Char1"/>
    <w:qFormat/>
    <w:pPr>
      <w:widowControl/>
      <w:suppressAutoHyphens w:val="true"/>
      <w:bidi w:val="0"/>
      <w:spacing w:before="0" w:after="0"/>
      <w:jc w:val="left"/>
    </w:pPr>
    <w:rPr>
      <w:rFonts w:ascii="Calibri Light" w:hAnsi="Calibri Light" w:eastAsia="Lucida Sans" w:cs="Lato"/>
      <w:color w:val="auto"/>
      <w:spacing w:val="-10"/>
      <w:kern w:val="2"/>
      <w:sz w:val="56"/>
      <w:szCs w:val="24"/>
      <w:lang w:val="en-US" w:eastAsia="en-US" w:bidi="ar-SA"/>
    </w:rPr>
  </w:style>
  <w:style w:type="paragraph" w:styleId="StrongEmphasis">
    <w:name w:val="Strong Emphasis"/>
    <w:qFormat/>
    <w:pPr>
      <w:widowControl/>
      <w:suppressAutoHyphens w:val="true"/>
      <w:bidi w:val="0"/>
      <w:spacing w:before="0" w:after="0"/>
      <w:jc w:val="left"/>
    </w:pPr>
    <w:rPr>
      <w:rFonts w:ascii="Liberation Serif" w:hAnsi="Liberation Serif" w:eastAsia="Lucida Sans" w:cs="Lato"/>
      <w:b/>
      <w:color w:val="auto"/>
      <w:kern w:val="0"/>
      <w:sz w:val="24"/>
      <w:szCs w:val="24"/>
      <w:lang w:val="en-US" w:eastAsia="en-US" w:bidi="ar-SA"/>
    </w:rPr>
  </w:style>
  <w:style w:type="paragraph" w:styleId="HeaderChar1">
    <w:name w:val="Header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BodyTextFirstIndentChar1">
    <w:name w:val="Body Text First Indent Char1"/>
    <w:qFormat/>
    <w:pPr>
      <w:widowControl/>
      <w:suppressAutoHyphens w:val="true"/>
      <w:bidi w:val="0"/>
      <w:spacing w:before="0" w:after="0"/>
      <w:jc w:val="left"/>
    </w:pPr>
    <w:rPr>
      <w:rFonts w:ascii="Liberation Serif" w:hAnsi="Liberation Serif" w:eastAsia="Lucida Sans" w:cs="Lato"/>
      <w:color w:val="auto"/>
      <w:kern w:val="2"/>
      <w:sz w:val="24"/>
      <w:szCs w:val="24"/>
      <w:lang w:val="en-US" w:eastAsia="en-US" w:bidi="ar-SA"/>
    </w:rPr>
  </w:style>
  <w:style w:type="paragraph" w:styleId="BodyTextIndent3Char1">
    <w:name w:val="Body Text Indent 3 Char1"/>
    <w:qFormat/>
    <w:pPr>
      <w:widowControl/>
      <w:suppressAutoHyphens w:val="true"/>
      <w:bidi w:val="0"/>
      <w:spacing w:before="0" w:after="0"/>
      <w:jc w:val="left"/>
    </w:pPr>
    <w:rPr>
      <w:rFonts w:ascii="Liberation Serif" w:hAnsi="Liberation Serif" w:eastAsia="Lucida Sans" w:cs="Lato"/>
      <w:color w:val="auto"/>
      <w:kern w:val="2"/>
      <w:sz w:val="16"/>
      <w:szCs w:val="24"/>
      <w:lang w:val="en-US" w:eastAsia="en-US" w:bidi="ar-SA"/>
    </w:rPr>
  </w:style>
  <w:style w:type="paragraph" w:styleId="CaseLawChar1">
    <w:name w:val="CaseLaw Char1"/>
    <w:qFormat/>
    <w:pPr>
      <w:widowControl/>
      <w:suppressAutoHyphens w:val="true"/>
      <w:bidi w:val="0"/>
      <w:spacing w:before="0" w:after="0"/>
      <w:jc w:val="left"/>
    </w:pPr>
    <w:rPr>
      <w:rFonts w:ascii="Liberation Serif" w:hAnsi="Liberation Serif" w:eastAsia="Lucida Sans" w:cs="Lato"/>
      <w:i/>
      <w:color w:val="auto"/>
      <w:kern w:val="0"/>
      <w:sz w:val="24"/>
      <w:szCs w:val="24"/>
      <w:lang w:val="en-US" w:eastAsia="en-US" w:bidi="ar-SA"/>
    </w:rPr>
  </w:style>
  <w:style w:type="paragraph" w:styleId="FootnoteSymbol">
    <w:name w:val="Footnote Symbol"/>
    <w:qFormat/>
    <w:pPr>
      <w:widowControl/>
      <w:suppressAutoHyphens w:val="true"/>
      <w:bidi w:val="0"/>
      <w:spacing w:before="0" w:after="0"/>
      <w:jc w:val="left"/>
    </w:pPr>
    <w:rPr>
      <w:rFonts w:ascii="Liberation Serif" w:hAnsi="Liberation Serif" w:eastAsia="Lucida Sans" w:cs="Lato"/>
      <w:color w:val="auto"/>
      <w:kern w:val="0"/>
      <w:sz w:val="24"/>
      <w:szCs w:val="24"/>
      <w:vertAlign w:val="superscript"/>
      <w:lang w:val="en-US" w:eastAsia="en-US" w:bidi="ar-SA"/>
    </w:rPr>
  </w:style>
  <w:style w:type="paragraph" w:styleId="FootnoteCharacters1">
    <w:name w:val="Footnote Characters1"/>
    <w:qFormat/>
    <w:pPr>
      <w:widowControl/>
      <w:suppressAutoHyphens w:val="true"/>
      <w:bidi w:val="0"/>
      <w:spacing w:before="0" w:after="0"/>
      <w:jc w:val="left"/>
    </w:pPr>
    <w:rPr>
      <w:rFonts w:ascii="Liberation Serif" w:hAnsi="Liberation Serif" w:eastAsia="Lucida Sans" w:cs="Lato"/>
      <w:color w:val="auto"/>
      <w:kern w:val="0"/>
      <w:sz w:val="24"/>
      <w:szCs w:val="24"/>
      <w:vertAlign w:val="superscript"/>
      <w:lang w:val="en-US" w:eastAsia="en-US" w:bidi="ar-SA"/>
    </w:rPr>
  </w:style>
  <w:style w:type="paragraph" w:styleId="MacroTextChar1">
    <w:name w:val="Macro Text Char1"/>
    <w:qFormat/>
    <w:pPr>
      <w:widowControl/>
      <w:suppressAutoHyphens w:val="true"/>
      <w:bidi w:val="0"/>
      <w:spacing w:before="0" w:after="0"/>
      <w:jc w:val="left"/>
    </w:pPr>
    <w:rPr>
      <w:rFonts w:ascii="Consolas" w:hAnsi="Consolas" w:eastAsia="Lucida Sans" w:cs="Lato"/>
      <w:color w:val="auto"/>
      <w:kern w:val="0"/>
      <w:sz w:val="20"/>
      <w:szCs w:val="24"/>
      <w:lang w:val="en-US" w:eastAsia="en-US" w:bidi="ar-SA"/>
    </w:rPr>
  </w:style>
  <w:style w:type="paragraph" w:styleId="Heading9Char1">
    <w:name w:val="Heading 9 Char1"/>
    <w:qFormat/>
    <w:pPr>
      <w:widowControl/>
      <w:suppressAutoHyphens w:val="true"/>
      <w:bidi w:val="0"/>
      <w:spacing w:before="0" w:after="0"/>
      <w:jc w:val="left"/>
    </w:pPr>
    <w:rPr>
      <w:rFonts w:ascii="Calibri Light" w:hAnsi="Calibri Light" w:eastAsia="Lucida Sans" w:cs="Lato"/>
      <w:i/>
      <w:color w:val="272727"/>
      <w:kern w:val="0"/>
      <w:sz w:val="21"/>
      <w:szCs w:val="24"/>
      <w:lang w:val="en-US" w:eastAsia="en-US" w:bidi="ar-SA"/>
    </w:rPr>
  </w:style>
  <w:style w:type="paragraph" w:styleId="Heading8Char1">
    <w:name w:val="Heading 8 Char1"/>
    <w:qFormat/>
    <w:pPr>
      <w:widowControl/>
      <w:suppressAutoHyphens w:val="true"/>
      <w:bidi w:val="0"/>
      <w:spacing w:before="0" w:after="0"/>
      <w:jc w:val="left"/>
    </w:pPr>
    <w:rPr>
      <w:rFonts w:ascii="Calibri Light" w:hAnsi="Calibri Light" w:eastAsia="Lucida Sans" w:cs="Lato"/>
      <w:color w:val="272727"/>
      <w:kern w:val="0"/>
      <w:sz w:val="21"/>
      <w:szCs w:val="24"/>
      <w:lang w:val="en-US" w:eastAsia="en-US" w:bidi="ar-SA"/>
    </w:rPr>
  </w:style>
  <w:style w:type="paragraph" w:styleId="Heading7Char1">
    <w:name w:val="Heading 7 Char1"/>
    <w:qFormat/>
    <w:pPr>
      <w:widowControl/>
      <w:suppressAutoHyphens w:val="true"/>
      <w:bidi w:val="0"/>
      <w:spacing w:before="0" w:after="0"/>
      <w:jc w:val="left"/>
    </w:pPr>
    <w:rPr>
      <w:rFonts w:ascii="Liberation Serif" w:hAnsi="Liberation Serif" w:eastAsia="Lucida Sans" w:cs="Lato"/>
      <w:b/>
      <w:caps/>
      <w:color w:val="auto"/>
      <w:kern w:val="0"/>
      <w:sz w:val="28"/>
      <w:szCs w:val="24"/>
      <w:lang w:val="en-US" w:eastAsia="en-US" w:bidi="ar-SA"/>
    </w:rPr>
  </w:style>
  <w:style w:type="paragraph" w:styleId="FootnoteTextChar1">
    <w:name w:val="Footnote Text Char1"/>
    <w:qFormat/>
    <w:pPr>
      <w:widowControl/>
      <w:suppressAutoHyphens w:val="true"/>
      <w:bidi w:val="0"/>
      <w:spacing w:before="0" w:after="0"/>
      <w:jc w:val="left"/>
    </w:pPr>
    <w:rPr>
      <w:rFonts w:ascii="Liberation Serif" w:hAnsi="Liberation Serif" w:eastAsia="Lucida Sans" w:cs="Lato"/>
      <w:color w:val="auto"/>
      <w:kern w:val="0"/>
      <w:sz w:val="20"/>
      <w:szCs w:val="24"/>
      <w:lang w:val="en-US" w:eastAsia="en-US" w:bidi="ar-SA"/>
    </w:rPr>
  </w:style>
  <w:style w:type="paragraph" w:styleId="Internetlink">
    <w:name w:val="Internet link"/>
    <w:qFormat/>
    <w:pPr>
      <w:widowControl/>
      <w:suppressAutoHyphens w:val="true"/>
      <w:bidi w:val="0"/>
      <w:spacing w:before="0" w:after="0"/>
      <w:jc w:val="left"/>
    </w:pPr>
    <w:rPr>
      <w:rFonts w:ascii="Liberation Serif" w:hAnsi="Liberation Serif" w:eastAsia="Lucida Sans" w:cs="Lato"/>
      <w:color w:val="0563C1"/>
      <w:kern w:val="0"/>
      <w:sz w:val="24"/>
      <w:szCs w:val="24"/>
      <w:u w:val="single"/>
      <w:lang w:val="en-US" w:eastAsia="en-US" w:bidi="ar-SA"/>
    </w:rPr>
  </w:style>
  <w:style w:type="paragraph" w:styleId="Heading6Char1">
    <w:name w:val="Heading 6 Char1"/>
    <w:qFormat/>
    <w:pPr>
      <w:widowControl/>
      <w:suppressAutoHyphens w:val="true"/>
      <w:bidi w:val="0"/>
      <w:spacing w:before="0" w:after="0"/>
      <w:jc w:val="left"/>
    </w:pPr>
    <w:rPr>
      <w:rFonts w:ascii="Liberation Serif" w:hAnsi="Liberation Serif" w:eastAsia="Lucida Sans" w:cs="Lato"/>
      <w:b/>
      <w:caps/>
      <w:color w:val="auto"/>
      <w:kern w:val="0"/>
      <w:sz w:val="28"/>
      <w:szCs w:val="24"/>
      <w:u w:val="single"/>
      <w:lang w:val="en-US" w:eastAsia="en-US" w:bidi="ar-SA"/>
    </w:rPr>
  </w:style>
  <w:style w:type="paragraph" w:styleId="Heading5Char1">
    <w:name w:val="Heading 5 Char1"/>
    <w:qFormat/>
    <w:pPr>
      <w:widowControl/>
      <w:suppressAutoHyphens w:val="true"/>
      <w:bidi w:val="0"/>
      <w:spacing w:before="0" w:after="0"/>
      <w:jc w:val="left"/>
    </w:pPr>
    <w:rPr>
      <w:rFonts w:ascii="0" w:hAnsi="0" w:eastAsia="Lucida Sans" w:cs="Lato"/>
      <w:b/>
      <w:i/>
      <w:color w:val="auto"/>
      <w:kern w:val="0"/>
      <w:sz w:val="26"/>
      <w:szCs w:val="24"/>
      <w:u w:val="none"/>
      <w:lang w:val="en-US" w:eastAsia="en-US" w:bidi="ar-SA"/>
    </w:rPr>
  </w:style>
  <w:style w:type="paragraph" w:styleId="Heading4Char1">
    <w:name w:val="Heading 4 Char1"/>
    <w:qFormat/>
    <w:pPr>
      <w:widowControl/>
      <w:suppressAutoHyphens w:val="true"/>
      <w:bidi w:val="0"/>
      <w:spacing w:before="0" w:after="0"/>
      <w:jc w:val="left"/>
    </w:pPr>
    <w:rPr>
      <w:rFonts w:ascii="0" w:hAnsi="0" w:eastAsia="Lucida Sans" w:cs="Lato"/>
      <w:b/>
      <w:i/>
      <w:color w:val="auto"/>
      <w:kern w:val="0"/>
      <w:sz w:val="26"/>
      <w:szCs w:val="24"/>
      <w:u w:val="none"/>
      <w:lang w:val="en-US" w:eastAsia="en-US" w:bidi="ar-SA"/>
    </w:rPr>
  </w:style>
  <w:style w:type="paragraph" w:styleId="Heading3Char1">
    <w:name w:val="Heading 3 Char1"/>
    <w:qFormat/>
    <w:pPr>
      <w:widowControl/>
      <w:suppressAutoHyphens w:val="true"/>
      <w:bidi w:val="0"/>
      <w:spacing w:before="0" w:after="0"/>
      <w:jc w:val="left"/>
    </w:pPr>
    <w:rPr>
      <w:rFonts w:ascii="0" w:hAnsi="0" w:eastAsia="Lucida Sans" w:cs="Lato"/>
      <w:b/>
      <w:color w:val="auto"/>
      <w:kern w:val="0"/>
      <w:sz w:val="26"/>
      <w:szCs w:val="24"/>
      <w:u w:val="none"/>
      <w:lang w:val="en-US" w:eastAsia="en-US" w:bidi="ar-SA"/>
    </w:rPr>
  </w:style>
  <w:style w:type="paragraph" w:styleId="Heading2Char1">
    <w:name w:val="Heading 2 Char1"/>
    <w:qFormat/>
    <w:pPr>
      <w:widowControl/>
      <w:suppressAutoHyphens w:val="true"/>
      <w:bidi w:val="0"/>
      <w:spacing w:before="0" w:after="0"/>
      <w:jc w:val="left"/>
    </w:pPr>
    <w:rPr>
      <w:rFonts w:ascii="0" w:hAnsi="0" w:eastAsia="Lucida Sans" w:cs="Lato"/>
      <w:b/>
      <w:color w:val="000000"/>
      <w:kern w:val="0"/>
      <w:sz w:val="26"/>
      <w:szCs w:val="24"/>
      <w:u w:val="none"/>
      <w:lang w:val="en-US" w:eastAsia="en-US" w:bidi="ar-SA"/>
    </w:rPr>
  </w:style>
  <w:style w:type="paragraph" w:styleId="Heading1Char1">
    <w:name w:val="Heading 1 Char1"/>
    <w:qFormat/>
    <w:pPr>
      <w:widowControl/>
      <w:suppressAutoHyphens w:val="true"/>
      <w:bidi w:val="0"/>
      <w:spacing w:before="0" w:after="0"/>
      <w:jc w:val="left"/>
    </w:pPr>
    <w:rPr>
      <w:rFonts w:ascii="Times New Roman" w:hAnsi="Times New Roman" w:eastAsia="Lucida Sans" w:cs="Lato"/>
      <w:b/>
      <w:caps/>
      <w:color w:val="000000"/>
      <w:kern w:val="0"/>
      <w:sz w:val="24"/>
      <w:szCs w:val="24"/>
      <w:u w:val="none"/>
      <w:lang w:val="en-US" w:eastAsia="en-US" w:bidi="ar-SA"/>
    </w:rPr>
  </w:style>
  <w:style w:type="paragraph" w:styleId="TableofContentsChar1">
    <w:name w:val="Table of Contents Char1"/>
    <w:qFormat/>
    <w:pPr>
      <w:widowControl/>
      <w:suppressAutoHyphens w:val="true"/>
      <w:bidi w:val="0"/>
      <w:spacing w:before="0" w:after="0"/>
      <w:jc w:val="left"/>
    </w:pPr>
    <w:rPr>
      <w:rFonts w:ascii="Liberation Serif" w:hAnsi="Liberation Serif" w:eastAsia="Lucida Sans" w:cs="Lato"/>
      <w:color w:val="auto"/>
      <w:kern w:val="0"/>
      <w:sz w:val="24"/>
      <w:szCs w:val="24"/>
      <w:lang w:val="en-US" w:eastAsia="en-US" w:bidi="ar-SA"/>
    </w:rPr>
  </w:style>
  <w:style w:type="paragraph" w:styleId="SpeakerName-CityChar1">
    <w:name w:val="Speaker Name - City Char1"/>
    <w:qFormat/>
    <w:pPr>
      <w:widowControl/>
      <w:suppressAutoHyphens w:val="true"/>
      <w:bidi w:val="0"/>
      <w:spacing w:before="0" w:after="0"/>
      <w:jc w:val="left"/>
    </w:pPr>
    <w:rPr>
      <w:rFonts w:ascii="Liberation Serif" w:hAnsi="Liberation Serif" w:eastAsia="Lucida Sans" w:cs="Lato"/>
      <w:i/>
      <w:color w:val="auto"/>
      <w:kern w:val="0"/>
      <w:sz w:val="24"/>
      <w:szCs w:val="24"/>
      <w:lang w:val="en-US" w:eastAsia="en-US" w:bidi="ar-SA"/>
    </w:rPr>
  </w:style>
  <w:style w:type="paragraph" w:styleId="ChapterNameChar1">
    <w:name w:val="Chapter Name Char1"/>
    <w:qFormat/>
    <w:pPr>
      <w:widowControl/>
      <w:suppressAutoHyphens w:val="true"/>
      <w:bidi w:val="0"/>
      <w:spacing w:before="0" w:after="0"/>
      <w:jc w:val="left"/>
    </w:pPr>
    <w:rPr>
      <w:rFonts w:ascii="Liberation Serif" w:hAnsi="Liberation Serif" w:eastAsia="Lucida Sans" w:cs="Lato"/>
      <w:b/>
      <w:color w:val="auto"/>
      <w:kern w:val="0"/>
      <w:sz w:val="28"/>
      <w:szCs w:val="24"/>
      <w:lang w:val="en-US" w:eastAsia="en-US" w:bidi="ar-SA"/>
    </w:rPr>
  </w:style>
  <w:style w:type="paragraph" w:styleId="ChapterNumberChar1">
    <w:name w:val="Chapter Number Char1"/>
    <w:qFormat/>
    <w:pPr>
      <w:widowControl/>
      <w:suppressAutoHyphens w:val="true"/>
      <w:bidi w:val="0"/>
      <w:spacing w:before="0" w:after="0"/>
      <w:jc w:val="left"/>
    </w:pPr>
    <w:rPr>
      <w:rFonts w:ascii="Liberation Serif" w:hAnsi="Liberation Serif" w:eastAsia="Lucida Sans" w:cs="Lato"/>
      <w:b/>
      <w:caps/>
      <w:color w:val="auto"/>
      <w:kern w:val="0"/>
      <w:sz w:val="28"/>
      <w:szCs w:val="24"/>
      <w:u w:val="single"/>
      <w:lang w:val="en-US" w:eastAsia="en-US" w:bidi="ar-SA"/>
    </w:rPr>
  </w:style>
  <w:style w:type="paragraph" w:styleId="FooterChar1">
    <w:name w:val="Footer Char1"/>
    <w:qFormat/>
    <w:pPr>
      <w:widowControl/>
      <w:suppressAutoHyphens w:val="true"/>
      <w:bidi w:val="0"/>
      <w:spacing w:before="0" w:after="0"/>
      <w:jc w:val="left"/>
    </w:pPr>
    <w:rPr>
      <w:rFonts w:ascii="Liberation Serif" w:hAnsi="Liberation Serif" w:eastAsia="Lucida Sans" w:cs="Lato"/>
      <w:b/>
      <w:color w:val="808080"/>
      <w:kern w:val="0"/>
      <w:sz w:val="24"/>
      <w:szCs w:val="24"/>
      <w:lang w:val="en-US" w:eastAsia="en-US" w:bidi="ar-SA"/>
    </w:rPr>
  </w:style>
  <w:style w:type="numbering" w:styleId="NoList" w:default="1">
    <w:name w:val="No List"/>
    <w:uiPriority w:val="99"/>
    <w:semiHidden/>
    <w:unhideWhenUsed/>
    <w:qFormat/>
  </w:style>
  <w:style w:type="numbering" w:styleId="NCBAOutline" w:customStyle="1">
    <w:name w:val="NCBA Outline"/>
    <w:uiPriority w:val="99"/>
    <w:qFormat/>
    <w:rsid w:val="009f1181"/>
  </w:style>
  <w:style w:type="numbering" w:styleId="NCBALists" w:customStyle="1">
    <w:name w:val="NCBA Lists"/>
    <w:uiPriority w:val="99"/>
    <w:qFormat/>
    <w:rsid w:val="00e40f12"/>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eeoc.gov/summary-key-provisions-eeoc-enforcement-guidance-harassment-workplace"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CLE Program Manuscript Template for Speakers.dotx</Template>
  <TotalTime>160</TotalTime>
  <Application>LibreOffice/26.2.6.3$Linux_X86_64 LibreOffice_project/620$Build-3</Application>
  <AppVersion>15.0000</AppVersion>
  <Pages>2</Pages>
  <Words>4278</Words>
  <Characters>23740</Characters>
  <CharactersWithSpaces>27870</CharactersWithSpaces>
  <Paragraphs>177</Paragraphs>
  <Company>North Carolina Bar Association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2026-02-04T21:01:08Z</dcterms:created>
  <dc:creator>Eric M. Fink</dc:creator>
  <dc:description/>
  <dc:language>en-US</dc:language>
  <cp:lastModifiedBy/>
  <cp:lastPrinted>2026-02-05T16:33:31Z</cp:lastPrinted>
  <dcterms:modified xsi:type="dcterms:W3CDTF">2026-02-05T15:21:51Z</dcterms:modified>
  <cp:revision>20</cp:revision>
  <dc:subject/>
  <dc:title>Federal Employment Discrimination 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Elon School of Law</vt:lpwstr>
  </property>
  <property fmtid="{D5CDD505-2E9C-101B-9397-08002B2CF9AE}" pid="3" name="bibliography">
    <vt:lpwstr/>
  </property>
  <property fmtid="{D5CDD505-2E9C-101B-9397-08002B2CF9AE}" pid="4" name="csl">
    <vt:lpwstr>/home/efink/Research/Zotero/assets/CSL-styles/indigobook-law-review.csl</vt:lpwstr>
  </property>
  <property fmtid="{D5CDD505-2E9C-101B-9397-08002B2CF9AE}" pid="5" name="secnumdepth">
    <vt:lpwstr>3</vt:lpwstr>
  </property>
  <property fmtid="{D5CDD505-2E9C-101B-9397-08002B2CF9AE}" pid="6" name="zettlr">
    <vt:lpwstr/>
  </property>
</Properties>
</file>