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rPr>
          <w:sz w:val="28"/>
        </w:rPr>
      </w:pPr>
      <w:r>
        <w:rPr/>
        <w:drawing>
          <wp:inline distT="0" distB="0" distL="0" distR="0">
            <wp:extent cx="2749550" cy="41465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sz w:val="28"/>
        </w:rPr>
      </w:pPr>
      <w:r>
        <w:rPr>
          <w:sz w:val="28"/>
        </w:rPr>
      </w:r>
    </w:p>
    <w:p>
      <w:pPr>
        <w:pStyle w:val="Heading2"/>
        <w:rPr>
          <w:sz w:val="28"/>
        </w:rPr>
      </w:pPr>
      <w:r>
        <w:rPr>
          <w:sz w:val="28"/>
        </w:rPr>
        <w:t>EVALUATION AND ASSESSMENT BY FIELD SUPERVISOR</w:t>
      </w:r>
    </w:p>
    <w:p>
      <w:pPr>
        <w:pStyle w:val="Normal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ind w:left="2045" w:hanging="2045"/>
        <w:rPr>
          <w:color w:val="000000"/>
          <w:sz w:val="22"/>
          <w:u w:val="single"/>
        </w:rPr>
      </w:pPr>
      <w:r>
        <w:rPr>
          <w:color w:val="000000"/>
          <w:sz w:val="22"/>
        </w:rPr>
        <w:t xml:space="preserve">Name of Primary Supervisor: </w:t>
      </w:r>
      <w:r>
        <w:rPr>
          <w:color w:val="000000"/>
          <w:sz w:val="22"/>
          <w:u w:val="single"/>
        </w:rPr>
        <w:tab/>
        <w:tab/>
        <w:tab/>
        <w:tab/>
        <w:tab/>
        <w:tab/>
        <w:tab/>
        <w:tab/>
        <w:tab/>
      </w:r>
    </w:p>
    <w:p>
      <w:pPr>
        <w:pStyle w:val="Normal"/>
        <w:ind w:left="2045" w:hanging="2045"/>
        <w:rPr>
          <w:color w:val="000000"/>
          <w:sz w:val="22"/>
          <w:u w:val="single"/>
        </w:rPr>
      </w:pPr>
      <w:r>
        <w:rPr>
          <w:color w:val="000000"/>
          <w:sz w:val="22"/>
          <w:u w:val="single"/>
        </w:rPr>
      </w:r>
    </w:p>
    <w:p>
      <w:pPr>
        <w:pStyle w:val="Normal"/>
        <w:ind w:left="2045" w:hanging="2045"/>
        <w:rPr>
          <w:color w:val="000000"/>
          <w:sz w:val="22"/>
        </w:rPr>
      </w:pPr>
      <w:r>
        <w:rPr>
          <w:color w:val="000000"/>
          <w:sz w:val="22"/>
        </w:rPr>
        <w:t xml:space="preserve">Name of Supervisor Completing Form (if different): </w:t>
      </w:r>
      <w:r>
        <w:rPr>
          <w:color w:val="000000"/>
          <w:sz w:val="22"/>
          <w:u w:val="single"/>
        </w:rPr>
        <w:tab/>
        <w:tab/>
        <w:tab/>
        <w:tab/>
        <w:tab/>
        <w:tab/>
      </w:r>
    </w:p>
    <w:p>
      <w:pPr>
        <w:pStyle w:val="Normal"/>
        <w:ind w:left="2045" w:hanging="2045"/>
        <w:rPr>
          <w:color w:val="000000"/>
          <w:sz w:val="22"/>
          <w:u w:val="single"/>
        </w:rPr>
      </w:pPr>
      <w:r>
        <w:rPr>
          <w:color w:val="000000"/>
          <w:sz w:val="22"/>
          <w:u w:val="single"/>
        </w:rPr>
      </w:r>
    </w:p>
    <w:p>
      <w:pPr>
        <w:pStyle w:val="Normal"/>
        <w:ind w:left="2045" w:hanging="2045"/>
        <w:rPr>
          <w:color w:val="000000"/>
          <w:sz w:val="22"/>
        </w:rPr>
      </w:pPr>
      <w:r>
        <w:rPr>
          <w:color w:val="000000"/>
          <w:sz w:val="22"/>
        </w:rPr>
        <w:t xml:space="preserve">Organization: </w:t>
      </w:r>
      <w:r>
        <w:rPr>
          <w:color w:val="000000"/>
          <w:sz w:val="22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ind w:left="2045" w:hanging="2045"/>
        <w:rPr>
          <w:color w:val="000000"/>
          <w:sz w:val="22"/>
        </w:rPr>
      </w:pPr>
      <w:r>
        <w:rPr>
          <w:color w:val="000000"/>
          <w:sz w:val="22"/>
        </w:rPr>
        <w:t xml:space="preserve">Student Name: </w:t>
      </w:r>
      <w:r>
        <w:rPr>
          <w:color w:val="000000"/>
          <w:sz w:val="22"/>
          <w:u w:val="singl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color w:val="000000"/>
          <w:sz w:val="22"/>
        </w:rPr>
      </w:pPr>
      <w:r>
        <w:rPr>
          <w:color w:val="000000"/>
          <w:sz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The </w:t>
      </w:r>
      <w:r>
        <w:rPr>
          <w:sz w:val="22"/>
          <w:szCs w:val="22"/>
          <w:u w:val="single"/>
        </w:rPr>
        <w:t xml:space="preserve">Student </w:t>
      </w:r>
      <w:r>
        <w:rPr>
          <w:sz w:val="22"/>
          <w:szCs w:val="22"/>
        </w:rPr>
        <w:t xml:space="preserve">is responsible for uploading this document on the TWEN site </w:t>
      </w:r>
      <w:r>
        <w:rPr>
          <w:b/>
          <w:sz w:val="22"/>
          <w:szCs w:val="22"/>
        </w:rPr>
        <w:t>by the date referenced in their syllabus, unless an extension is granted by the Faculty Supervisor</w:t>
      </w:r>
      <w:r>
        <w:rPr>
          <w:sz w:val="22"/>
          <w:szCs w:val="22"/>
        </w:rPr>
        <w:t>.</w:t>
      </w: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Instructions for Supervisor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810" w:leader="none"/>
        </w:tabs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What follows is a list of lawyering competencies that Elon University School of Law expects students to develop through its curriculum.   Elon Law assesses students on these competencies in a variety of courses.  The field placement presents students with the opportunity to practice these competencies and to be assessed on his or her progress.  Please complete: the student will return  a completed midterm evaluation to you at the end of the term to mark the student’s progress over the course of the term.  </w:t>
      </w:r>
    </w:p>
    <w:p>
      <w:pPr>
        <w:pStyle w:val="TextBody"/>
        <w:ind w:left="36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810" w:leader="none"/>
        </w:tabs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Please rate your student’s progress on each of the competencies on a scale of 1-5. You will have an opportunity to re-assess these competencies using this form at the end of term.  If a student has not engaged in activities to support an assessment in a particular area, please insert n/a.  The scale range is: </w:t>
      </w:r>
    </w:p>
    <w:p>
      <w:pPr>
        <w:pStyle w:val="TextBody"/>
        <w:tabs>
          <w:tab w:val="clear" w:pos="720"/>
          <w:tab w:val="left" w:pos="810" w:leader="none"/>
        </w:tabs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720" w:hanging="0"/>
        <w:rPr>
          <w:sz w:val="22"/>
          <w:szCs w:val="22"/>
        </w:rPr>
      </w:pPr>
      <w:r>
        <w:rPr>
          <w:sz w:val="22"/>
          <w:szCs w:val="22"/>
        </w:rPr>
        <w:t>1 = consistently fails to meet minimum standards</w:t>
      </w:r>
    </w:p>
    <w:p>
      <w:pPr>
        <w:pStyle w:val="TextBody"/>
        <w:numPr>
          <w:ilvl w:val="0"/>
          <w:numId w:val="11"/>
        </w:numPr>
        <w:ind w:left="900" w:hanging="180"/>
        <w:rPr>
          <w:sz w:val="22"/>
          <w:szCs w:val="22"/>
        </w:rPr>
      </w:pPr>
      <w:r>
        <w:rPr>
          <w:sz w:val="22"/>
          <w:szCs w:val="22"/>
        </w:rPr>
        <w:t>= occasionally below standard</w:t>
      </w:r>
    </w:p>
    <w:p>
      <w:pPr>
        <w:pStyle w:val="TextBody"/>
        <w:numPr>
          <w:ilvl w:val="0"/>
          <w:numId w:val="12"/>
        </w:numPr>
        <w:ind w:left="900" w:hanging="180"/>
        <w:rPr>
          <w:sz w:val="22"/>
          <w:szCs w:val="22"/>
        </w:rPr>
      </w:pPr>
      <w:r>
        <w:rPr>
          <w:sz w:val="22"/>
          <w:szCs w:val="22"/>
        </w:rPr>
        <w:t>= reasonably meets standards</w:t>
      </w:r>
    </w:p>
    <w:p>
      <w:pPr>
        <w:pStyle w:val="TextBody"/>
        <w:ind w:left="720" w:hanging="0"/>
        <w:rPr>
          <w:sz w:val="22"/>
          <w:szCs w:val="22"/>
        </w:rPr>
      </w:pPr>
      <w:r>
        <w:rPr>
          <w:sz w:val="22"/>
          <w:szCs w:val="22"/>
        </w:rPr>
        <w:t>4 = generally exceeds standards</w:t>
      </w:r>
    </w:p>
    <w:p>
      <w:pPr>
        <w:pStyle w:val="TextBody"/>
        <w:ind w:left="720" w:hanging="0"/>
        <w:rPr>
          <w:sz w:val="22"/>
          <w:szCs w:val="22"/>
        </w:rPr>
      </w:pPr>
      <w:r>
        <w:rPr>
          <w:sz w:val="22"/>
          <w:szCs w:val="22"/>
        </w:rPr>
        <w:t>5 = always well above standard</w:t>
      </w:r>
    </w:p>
    <w:p>
      <w:pPr>
        <w:pStyle w:val="TextBody"/>
        <w:ind w:left="36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810" w:leader="none"/>
        </w:tabs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It is recommended that the starting point for assessment be “meets standards.”  You can adjust upward or downward as warranted; the student should not be surprised to see many, if not all, 3s. The highest level of assessment should be reserved for the exceptional student.  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810" w:leader="none"/>
        </w:tabs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If other lawyers assisted in the supervision, incorporate their assessment of the student’s performance or have them submit a separate form.  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810" w:leader="none"/>
        </w:tabs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Specific comments are encouraged to help the student know what he or she is doing well and what he or she can do to improve.  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810" w:leader="none"/>
        </w:tabs>
        <w:ind w:left="720" w:hanging="360"/>
        <w:rPr>
          <w:sz w:val="22"/>
          <w:szCs w:val="22"/>
        </w:rPr>
      </w:pPr>
      <w:r>
        <w:rPr>
          <w:sz w:val="22"/>
          <w:szCs w:val="22"/>
        </w:rPr>
        <w:t>Please review this assessment with your student and sign as indicated at the end.</w:t>
      </w:r>
    </w:p>
    <w:p>
      <w:pPr>
        <w:pStyle w:val="ListParagraph"/>
        <w:rPr>
          <w:sz w:val="22"/>
        </w:rPr>
      </w:pPr>
      <w:r>
        <w:rPr>
          <w:sz w:val="22"/>
        </w:rPr>
      </w:r>
    </w:p>
    <w:p>
      <w:pPr>
        <w:pStyle w:val="Normal"/>
        <w:rPr>
          <w:color w:val="000000"/>
          <w:sz w:val="20"/>
        </w:rPr>
      </w:pPr>
      <w:r>
        <w:rPr>
          <w:color w:val="000000"/>
          <w:sz w:val="20"/>
        </w:rPr>
      </w:r>
    </w:p>
    <w:tbl>
      <w:tblPr>
        <w:tblStyle w:val="TableGrid"/>
        <w:tblW w:w="11250" w:type="dxa"/>
        <w:jc w:val="left"/>
        <w:tblInd w:w="-8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50"/>
        <w:gridCol w:w="2250"/>
        <w:gridCol w:w="2250"/>
      </w:tblGrid>
      <w:tr>
        <w:trPr>
          <w:tblHeader w:val="true"/>
          <w:cantSplit w:val="true"/>
        </w:trPr>
        <w:tc>
          <w:tcPr>
            <w:tcW w:w="67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8"/>
                <w:szCs w:val="28"/>
                <w:lang w:val="en-US" w:eastAsia="ja-JP" w:bidi="ar-SA"/>
              </w:rPr>
            </w:pPr>
            <w:r>
              <w:rPr>
                <w:b/>
                <w:color w:val="000000"/>
                <w:kern w:val="0"/>
                <w:sz w:val="28"/>
                <w:szCs w:val="28"/>
                <w:lang w:val="en-US" w:eastAsia="ja-JP" w:bidi="ar-SA"/>
              </w:rPr>
              <w:t>Competencies and Standards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kern w:val="0"/>
                <w:sz w:val="28"/>
                <w:szCs w:val="28"/>
                <w:u w:val="single"/>
                <w:lang w:val="en-US" w:eastAsia="ja-JP" w:bidi="ar-SA"/>
              </w:rPr>
              <w:t>Midterm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kern w:val="0"/>
                <w:szCs w:val="24"/>
                <w:lang w:val="en-US" w:eastAsia="ja-JP" w:bidi="ar-SA"/>
              </w:rPr>
              <w:t xml:space="preserve">Score = 1 – 5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kern w:val="0"/>
                <w:szCs w:val="24"/>
                <w:lang w:val="en-US" w:eastAsia="ja-JP" w:bidi="ar-SA"/>
              </w:rPr>
              <w:t>(or n/a)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kern w:val="0"/>
                <w:sz w:val="28"/>
                <w:szCs w:val="28"/>
                <w:u w:val="single"/>
                <w:lang w:val="en-US" w:eastAsia="ja-JP" w:bidi="ar-SA"/>
              </w:rPr>
              <w:t>Final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kern w:val="0"/>
                <w:szCs w:val="24"/>
                <w:lang w:val="en-US" w:eastAsia="ja-JP" w:bidi="ar-SA"/>
              </w:rPr>
              <w:t xml:space="preserve">Score = 1 – 5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kern w:val="0"/>
                <w:szCs w:val="24"/>
                <w:lang w:val="en-US" w:eastAsia="ja-JP" w:bidi="ar-SA"/>
              </w:rPr>
              <w:t>(or n/a)</w:t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color w:val="000000"/>
                <w:sz w:val="22"/>
              </w:rPr>
            </w:pPr>
            <w:r>
              <w:rPr>
                <w:b/>
                <w:kern w:val="0"/>
                <w:sz w:val="28"/>
                <w:lang w:val="en-US" w:eastAsia="ja-JP" w:bidi="ar-SA"/>
              </w:rPr>
              <w:t>Legal Analysis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b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b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60" w:after="60"/>
              <w:ind w:left="0" w:hanging="0"/>
              <w:contextualSpacing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kern w:val="0"/>
                <w:sz w:val="22"/>
                <w:lang w:val="en-US" w:eastAsia="ja-JP" w:bidi="ar-SA"/>
              </w:rPr>
              <w:t xml:space="preserve">Accurately identifies the relevant legal issues and demonstrates understanding of nature of assignment 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b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b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</w:r>
          </w:p>
        </w:tc>
      </w:tr>
      <w:tr>
        <w:trPr>
          <w:trHeight w:val="548" w:hRule="atLeast"/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60" w:after="60"/>
              <w:ind w:left="0" w:hanging="0"/>
              <w:contextualSpacing/>
              <w:jc w:val="left"/>
              <w:rPr>
                <w:b/>
                <w:b/>
                <w:color w:val="000000"/>
                <w:sz w:val="22"/>
              </w:rPr>
            </w:pPr>
            <w:r>
              <w:rPr>
                <w:color w:val="000000"/>
                <w:kern w:val="0"/>
                <w:sz w:val="22"/>
                <w:lang w:val="en-US" w:eastAsia="ja-JP" w:bidi="ar-SA"/>
              </w:rPr>
              <w:t>Accurately applies legal rules to factual situations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60" w:after="60"/>
              <w:ind w:left="0" w:hanging="0"/>
              <w:contextualSpacing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kern w:val="0"/>
                <w:sz w:val="22"/>
                <w:lang w:val="en-US" w:eastAsia="ja-JP" w:bidi="ar-SA"/>
              </w:rPr>
              <w:t>Requests clarification within appropriate time frame after some preliminary research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3"/>
              </w:numPr>
              <w:suppressAutoHyphens w:val="true"/>
              <w:spacing w:before="60" w:after="60"/>
              <w:ind w:left="0" w:hanging="360"/>
              <w:contextualSpacing/>
              <w:jc w:val="left"/>
              <w:rPr>
                <w:color w:val="000000"/>
                <w:sz w:val="22"/>
              </w:rPr>
            </w:pPr>
            <w:r>
              <w:rPr>
                <w:b/>
                <w:color w:val="000000"/>
                <w:kern w:val="0"/>
                <w:sz w:val="28"/>
                <w:lang w:val="en-US" w:eastAsia="ja-JP" w:bidi="ar-SA"/>
              </w:rPr>
              <w:t>Research Ability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4"/>
              </w:numPr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5"/>
              </w:numPr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60" w:after="60"/>
              <w:ind w:left="0" w:hanging="0"/>
              <w:contextualSpacing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kern w:val="0"/>
                <w:sz w:val="22"/>
                <w:lang w:val="en-US" w:eastAsia="ja-JP" w:bidi="ar-SA"/>
              </w:rPr>
              <w:t xml:space="preserve">Quality of legal research 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6"/>
              </w:numPr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7"/>
              </w:numPr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60" w:after="60"/>
              <w:ind w:left="0" w:hanging="0"/>
              <w:contextualSpacing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kern w:val="0"/>
                <w:sz w:val="22"/>
                <w:lang w:val="en-US" w:eastAsia="ja-JP" w:bidi="ar-SA"/>
              </w:rPr>
              <w:t>Research legal issues with competent scope and depth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8"/>
              </w:numPr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9"/>
              </w:numPr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60" w:after="60"/>
              <w:ind w:left="0" w:hanging="0"/>
              <w:contextualSpacing/>
              <w:jc w:val="left"/>
              <w:rPr>
                <w:b/>
                <w:b/>
                <w:color w:val="000000"/>
                <w:sz w:val="22"/>
              </w:rPr>
            </w:pPr>
            <w:r>
              <w:rPr>
                <w:color w:val="000000"/>
                <w:kern w:val="0"/>
                <w:sz w:val="22"/>
                <w:lang w:val="en-US" w:eastAsia="ja-JP" w:bidi="ar-SA"/>
              </w:rPr>
              <w:t>Research factual issues with competent scope and depth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60" w:after="60"/>
              <w:ind w:left="0" w:hanging="0"/>
              <w:contextualSpacing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kern w:val="0"/>
                <w:sz w:val="22"/>
                <w:lang w:val="en-US" w:eastAsia="ja-JP" w:bidi="ar-SA"/>
              </w:rPr>
              <w:t>Demonstrates ability to synthesize statutes, case law, and facts of the case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 w:val="false"/>
              <w:numPr>
                <w:ilvl w:val="1"/>
                <w:numId w:val="5"/>
              </w:numPr>
              <w:suppressAutoHyphens w:val="true"/>
              <w:spacing w:before="60" w:after="60"/>
              <w:ind w:left="0" w:hanging="360"/>
              <w:contextualSpacing/>
              <w:jc w:val="left"/>
              <w:rPr>
                <w:color w:val="000000"/>
                <w:sz w:val="22"/>
                <w:szCs w:val="24"/>
              </w:rPr>
            </w:pPr>
            <w:r>
              <w:rPr>
                <w:b/>
                <w:color w:val="000000"/>
                <w:kern w:val="0"/>
                <w:sz w:val="28"/>
                <w:szCs w:val="24"/>
                <w:lang w:val="en-US" w:eastAsia="ja-JP" w:bidi="ar-SA"/>
              </w:rPr>
              <w:t>Written Communication Skills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 w:val="false"/>
              <w:numPr>
                <w:ilvl w:val="1"/>
                <w:numId w:val="5"/>
              </w:numPr>
              <w:suppressAutoHyphens w:val="true"/>
              <w:spacing w:before="60" w:after="60"/>
              <w:ind w:left="0" w:hanging="360"/>
              <w:contextualSpacing/>
              <w:jc w:val="left"/>
              <w:rPr>
                <w:color w:val="000000"/>
                <w:sz w:val="22"/>
                <w:szCs w:val="24"/>
              </w:rPr>
            </w:pPr>
            <w:r>
              <w:rPr>
                <w:kern w:val="0"/>
                <w:sz w:val="22"/>
                <w:lang w:val="en-US" w:eastAsia="ja-JP" w:bidi="ar-SA"/>
              </w:rPr>
              <w:t xml:space="preserve">Exhibits a mastery of basic writing skills, including grammar, sentence structure, and paragraph structure 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60" w:after="60"/>
              <w:ind w:left="0" w:hanging="0"/>
              <w:contextualSpacing/>
              <w:jc w:val="left"/>
              <w:rPr>
                <w:b/>
                <w:b/>
                <w:color w:val="000000"/>
                <w:sz w:val="22"/>
                <w:szCs w:val="24"/>
              </w:rPr>
            </w:pPr>
            <w:r>
              <w:rPr>
                <w:b/>
                <w:color w:val="000000"/>
                <w:sz w:val="22"/>
                <w:szCs w:val="24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60" w:after="60"/>
              <w:ind w:left="0" w:hanging="0"/>
              <w:contextualSpacing/>
              <w:jc w:val="left"/>
              <w:rPr>
                <w:b/>
                <w:b/>
                <w:color w:val="000000"/>
                <w:sz w:val="22"/>
                <w:szCs w:val="24"/>
              </w:rPr>
            </w:pPr>
            <w:r>
              <w:rPr>
                <w:b/>
                <w:color w:val="000000"/>
                <w:sz w:val="22"/>
                <w:szCs w:val="24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b/>
                <w:b/>
                <w:color w:val="000000"/>
                <w:szCs w:val="24"/>
              </w:rPr>
            </w:pPr>
            <w:r>
              <w:rPr>
                <w:color w:val="000000"/>
                <w:kern w:val="0"/>
                <w:sz w:val="22"/>
                <w:szCs w:val="24"/>
                <w:lang w:val="en-US" w:eastAsia="ja-JP" w:bidi="ar-SA"/>
              </w:rPr>
              <w:t>Analyzes legal issues in writing proficiently and succinctly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color w:val="000000"/>
                <w:sz w:val="22"/>
                <w:szCs w:val="24"/>
              </w:rPr>
            </w:pPr>
            <w:r>
              <w:rPr>
                <w:color w:val="000000"/>
                <w:kern w:val="0"/>
                <w:sz w:val="22"/>
                <w:szCs w:val="24"/>
                <w:lang w:val="en-US" w:eastAsia="ja-JP" w:bidi="ar-SA"/>
              </w:rPr>
              <w:t>Demonstrates organization that is understandable, addresses the issues, and is informative/persuasive (written submissions)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color w:val="000000"/>
                <w:sz w:val="22"/>
                <w:szCs w:val="24"/>
              </w:rPr>
            </w:pPr>
            <w:r>
              <w:rPr>
                <w:color w:val="000000"/>
                <w:kern w:val="0"/>
                <w:sz w:val="22"/>
                <w:szCs w:val="24"/>
                <w:lang w:val="en-US" w:eastAsia="ja-JP" w:bidi="ar-SA"/>
              </w:rPr>
              <w:t>Demonstrates proper editing and submits written assignments without typographical errors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color w:val="000000"/>
                <w:sz w:val="22"/>
                <w:szCs w:val="24"/>
              </w:rPr>
            </w:pPr>
            <w:r>
              <w:rPr>
                <w:color w:val="000000"/>
                <w:kern w:val="0"/>
                <w:sz w:val="22"/>
                <w:szCs w:val="24"/>
                <w:lang w:val="en-US" w:eastAsia="ja-JP" w:bidi="ar-SA"/>
              </w:rPr>
              <w:t xml:space="preserve">Proofreading 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0"/>
              </w:numPr>
              <w:tabs>
                <w:tab w:val="left" w:pos="720" w:leader="none"/>
              </w:tabs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color w:val="000000"/>
                <w:sz w:val="28"/>
                <w:szCs w:val="24"/>
              </w:rPr>
            </w:pPr>
            <w:r>
              <w:rPr>
                <w:color w:val="000000"/>
                <w:kern w:val="0"/>
                <w:sz w:val="22"/>
                <w:szCs w:val="24"/>
                <w:lang w:val="en-US" w:eastAsia="ja-JP" w:bidi="ar-SA"/>
              </w:rPr>
              <w:t>Overall quality of writing skills and submitting clearly written work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numPr>
                <w:ilvl w:val="1"/>
                <w:numId w:val="5"/>
              </w:numPr>
              <w:tabs>
                <w:tab w:val="left" w:pos="720" w:leader="none"/>
              </w:tabs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color w:val="000000"/>
                <w:sz w:val="22"/>
                <w:szCs w:val="24"/>
              </w:rPr>
            </w:pPr>
            <w:r>
              <w:rPr>
                <w:b/>
                <w:color w:val="000000"/>
                <w:sz w:val="22"/>
                <w:szCs w:val="24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numPr>
                <w:ilvl w:val="1"/>
                <w:numId w:val="5"/>
              </w:numPr>
              <w:tabs>
                <w:tab w:val="left" w:pos="720" w:leader="none"/>
              </w:tabs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color w:val="000000"/>
                <w:sz w:val="22"/>
                <w:szCs w:val="24"/>
              </w:rPr>
            </w:pPr>
            <w:r>
              <w:rPr>
                <w:b/>
                <w:color w:val="000000"/>
                <w:sz w:val="22"/>
                <w:szCs w:val="24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1"/>
              </w:numPr>
              <w:tabs>
                <w:tab w:val="left" w:pos="720" w:leader="none"/>
              </w:tabs>
              <w:suppressAutoHyphens w:val="true"/>
              <w:spacing w:before="60" w:after="60"/>
              <w:ind w:left="0" w:hanging="36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b/>
                <w:color w:val="000000"/>
                <w:kern w:val="0"/>
                <w:sz w:val="28"/>
                <w:szCs w:val="24"/>
                <w:lang w:val="en-US" w:eastAsia="ja-JP" w:bidi="ar-SA"/>
              </w:rPr>
              <w:t>Oral Communication Skills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numPr>
                <w:ilvl w:val="1"/>
                <w:numId w:val="5"/>
              </w:numPr>
              <w:tabs>
                <w:tab w:val="left" w:pos="720" w:leader="none"/>
              </w:tabs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color w:val="000000"/>
                <w:sz w:val="22"/>
                <w:szCs w:val="24"/>
              </w:rPr>
            </w:pPr>
            <w:r>
              <w:rPr>
                <w:b/>
                <w:color w:val="000000"/>
                <w:sz w:val="22"/>
                <w:szCs w:val="24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numPr>
                <w:ilvl w:val="1"/>
                <w:numId w:val="5"/>
              </w:numPr>
              <w:tabs>
                <w:tab w:val="left" w:pos="720" w:leader="none"/>
              </w:tabs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color w:val="000000"/>
                <w:sz w:val="22"/>
                <w:szCs w:val="24"/>
              </w:rPr>
            </w:pPr>
            <w:r>
              <w:rPr>
                <w:b/>
                <w:color w:val="000000"/>
                <w:sz w:val="22"/>
                <w:szCs w:val="24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60" w:after="60"/>
              <w:ind w:left="0" w:hanging="0"/>
              <w:contextualSpacing/>
              <w:jc w:val="left"/>
              <w:rPr>
                <w:sz w:val="22"/>
              </w:rPr>
            </w:pPr>
            <w:r>
              <w:rPr>
                <w:color w:val="000000"/>
                <w:kern w:val="0"/>
                <w:sz w:val="22"/>
                <w:szCs w:val="24"/>
                <w:lang w:val="en-US" w:eastAsia="ja-JP" w:bidi="ar-SA"/>
              </w:rPr>
              <w:t>Presents legal analysis and ideas clearly, confidently, and effectively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numPr>
                <w:ilvl w:val="1"/>
                <w:numId w:val="5"/>
              </w:numPr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color w:val="000000"/>
                <w:sz w:val="22"/>
                <w:szCs w:val="24"/>
              </w:rPr>
            </w:pPr>
            <w:r>
              <w:rPr>
                <w:b/>
                <w:color w:val="000000"/>
                <w:sz w:val="22"/>
                <w:szCs w:val="24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numPr>
                <w:ilvl w:val="1"/>
                <w:numId w:val="5"/>
              </w:numPr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color w:val="000000"/>
                <w:sz w:val="22"/>
                <w:szCs w:val="24"/>
              </w:rPr>
            </w:pPr>
            <w:r>
              <w:rPr>
                <w:b/>
                <w:color w:val="000000"/>
                <w:sz w:val="22"/>
                <w:szCs w:val="24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60" w:after="60"/>
              <w:ind w:left="0" w:hanging="0"/>
              <w:contextualSpacing/>
              <w:jc w:val="left"/>
              <w:rPr>
                <w:color w:val="000000"/>
                <w:sz w:val="22"/>
                <w:szCs w:val="24"/>
              </w:rPr>
            </w:pPr>
            <w:r>
              <w:rPr>
                <w:color w:val="000000"/>
                <w:kern w:val="0"/>
                <w:sz w:val="22"/>
                <w:szCs w:val="24"/>
                <w:lang w:val="en-US" w:eastAsia="ja-JP" w:bidi="ar-SA"/>
              </w:rPr>
              <w:t>Demonstrates organization that is understandable, addresses the issues, and is informative/ persuasive (oral submissions)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numPr>
                <w:ilvl w:val="1"/>
                <w:numId w:val="5"/>
              </w:numPr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color w:val="000000"/>
                <w:sz w:val="22"/>
                <w:szCs w:val="24"/>
              </w:rPr>
            </w:pPr>
            <w:r>
              <w:rPr>
                <w:b/>
                <w:color w:val="000000"/>
                <w:sz w:val="22"/>
                <w:szCs w:val="24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numPr>
                <w:ilvl w:val="1"/>
                <w:numId w:val="5"/>
              </w:numPr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color w:val="000000"/>
                <w:sz w:val="22"/>
                <w:szCs w:val="24"/>
              </w:rPr>
            </w:pPr>
            <w:r>
              <w:rPr>
                <w:b/>
                <w:color w:val="000000"/>
                <w:sz w:val="22"/>
                <w:szCs w:val="24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b/>
                <w:b/>
                <w:color w:val="000000"/>
                <w:szCs w:val="24"/>
              </w:rPr>
            </w:pPr>
            <w:r>
              <w:rPr>
                <w:color w:val="000000"/>
                <w:kern w:val="0"/>
                <w:sz w:val="22"/>
                <w:szCs w:val="24"/>
                <w:lang w:val="en-US" w:eastAsia="ja-JP" w:bidi="ar-SA"/>
              </w:rPr>
              <w:t>Presents persuasive formal argument</w:t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</w:r>
          </w:p>
        </w:tc>
        <w:tc>
          <w:tcPr>
            <w:tcW w:w="2250" w:type="dxa"/>
            <w:tcBorders/>
          </w:tcPr>
          <w:p>
            <w:pPr>
              <w:pStyle w:val="Normal"/>
              <w:widowControl w:val="false"/>
              <w:suppressAutoHyphens w:val="true"/>
              <w:spacing w:before="60" w:after="60"/>
              <w:jc w:val="left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 w:val="false"/>
              <w:numPr>
                <w:ilvl w:val="1"/>
                <w:numId w:val="5"/>
              </w:numPr>
              <w:suppressAutoHyphens w:val="true"/>
              <w:spacing w:before="60" w:after="60"/>
              <w:ind w:left="0" w:hanging="360"/>
              <w:contextualSpacing/>
              <w:jc w:val="left"/>
              <w:rPr>
                <w:color w:val="000000"/>
                <w:sz w:val="22"/>
                <w:szCs w:val="24"/>
              </w:rPr>
            </w:pPr>
            <w:r>
              <w:rPr>
                <w:b/>
                <w:color w:val="000000"/>
                <w:kern w:val="0"/>
                <w:sz w:val="28"/>
                <w:szCs w:val="24"/>
                <w:lang w:val="en-US" w:eastAsia="ja-JP" w:bidi="ar-SA"/>
              </w:rPr>
              <w:t>Lawyering Tasks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numPr>
                <w:ilvl w:val="1"/>
                <w:numId w:val="5"/>
              </w:numPr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numPr>
                <w:ilvl w:val="1"/>
                <w:numId w:val="5"/>
              </w:numPr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60" w:after="60"/>
              <w:ind w:left="0" w:hanging="0"/>
              <w:contextualSpacing/>
              <w:jc w:val="left"/>
              <w:rPr>
                <w:color w:val="000000"/>
                <w:sz w:val="22"/>
                <w:szCs w:val="24"/>
              </w:rPr>
            </w:pPr>
            <w:r>
              <w:rPr>
                <w:color w:val="000000"/>
                <w:kern w:val="0"/>
                <w:sz w:val="22"/>
                <w:szCs w:val="24"/>
                <w:lang w:val="en-US" w:eastAsia="ja-JP" w:bidi="ar-SA"/>
              </w:rPr>
              <w:t>Obtains relevant information in interviews with clients or witnesses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numPr>
                <w:ilvl w:val="1"/>
                <w:numId w:val="5"/>
              </w:numPr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numPr>
                <w:ilvl w:val="1"/>
                <w:numId w:val="5"/>
              </w:numPr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60" w:after="60"/>
              <w:ind w:left="0" w:hanging="0"/>
              <w:contextualSpacing/>
              <w:jc w:val="left"/>
              <w:rPr>
                <w:color w:val="000000"/>
                <w:sz w:val="22"/>
                <w:szCs w:val="24"/>
              </w:rPr>
            </w:pPr>
            <w:r>
              <w:rPr>
                <w:color w:val="000000"/>
                <w:kern w:val="0"/>
                <w:sz w:val="22"/>
                <w:szCs w:val="24"/>
                <w:lang w:val="en-US" w:eastAsia="ja-JP" w:bidi="ar-SA"/>
              </w:rPr>
              <w:t>Demonstrates understanding of need for Client confidentiality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numPr>
                <w:ilvl w:val="1"/>
                <w:numId w:val="5"/>
              </w:numPr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numPr>
                <w:ilvl w:val="1"/>
                <w:numId w:val="5"/>
              </w:numPr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60" w:after="60"/>
              <w:ind w:left="0" w:hanging="0"/>
              <w:contextualSpacing/>
              <w:jc w:val="left"/>
              <w:rPr>
                <w:color w:val="000000"/>
                <w:sz w:val="22"/>
                <w:szCs w:val="24"/>
              </w:rPr>
            </w:pPr>
            <w:r>
              <w:rPr>
                <w:color w:val="000000"/>
                <w:kern w:val="0"/>
                <w:sz w:val="22"/>
                <w:szCs w:val="24"/>
                <w:lang w:val="en-US" w:eastAsia="ja-JP" w:bidi="ar-SA"/>
              </w:rPr>
              <w:t>Appropriate documentation of information following interview, telephone calls, meetings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numPr>
                <w:ilvl w:val="1"/>
                <w:numId w:val="5"/>
              </w:numPr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numPr>
                <w:ilvl w:val="1"/>
                <w:numId w:val="5"/>
              </w:numPr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60" w:after="60"/>
              <w:ind w:left="0" w:hanging="0"/>
              <w:contextualSpacing/>
              <w:jc w:val="left"/>
              <w:rPr>
                <w:color w:val="000000"/>
                <w:sz w:val="22"/>
                <w:szCs w:val="24"/>
              </w:rPr>
            </w:pPr>
            <w:r>
              <w:rPr>
                <w:color w:val="000000"/>
                <w:kern w:val="0"/>
                <w:sz w:val="22"/>
                <w:szCs w:val="24"/>
                <w:lang w:val="en-US" w:eastAsia="ja-JP" w:bidi="ar-SA"/>
              </w:rPr>
              <w:t>Demonstrates understanding of lawyer’s ethical obligations to client or to the relevant court system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numPr>
                <w:ilvl w:val="1"/>
                <w:numId w:val="5"/>
              </w:numPr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numPr>
                <w:ilvl w:val="1"/>
                <w:numId w:val="5"/>
              </w:numPr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60" w:after="60"/>
              <w:ind w:left="0" w:hanging="0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  <w:lang w:val="en-US" w:eastAsia="ja-JP" w:bidi="ar-SA"/>
              </w:rPr>
              <w:t>Appropriate level of preparation for court appearance and evaluation of  court performance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numPr>
                <w:ilvl w:val="1"/>
                <w:numId w:val="5"/>
              </w:numPr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numPr>
                <w:ilvl w:val="1"/>
                <w:numId w:val="5"/>
              </w:numPr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60" w:after="60"/>
              <w:ind w:left="0" w:hanging="0"/>
              <w:contextualSpacing/>
              <w:jc w:val="left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kern w:val="0"/>
                <w:sz w:val="28"/>
                <w:szCs w:val="28"/>
                <w:lang w:val="en-US" w:eastAsia="ja-JP" w:bidi="ar-SA"/>
              </w:rPr>
              <w:t>Professionalism and Case Management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numPr>
                <w:ilvl w:val="1"/>
                <w:numId w:val="5"/>
              </w:numPr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numPr>
                <w:ilvl w:val="1"/>
                <w:numId w:val="5"/>
              </w:numPr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60" w:after="60"/>
              <w:ind w:left="0" w:hanging="0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  <w:lang w:val="en-US" w:eastAsia="ja-JP" w:bidi="ar-SA"/>
              </w:rPr>
              <w:t>Arrives punctually and consistently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numPr>
                <w:ilvl w:val="1"/>
                <w:numId w:val="5"/>
              </w:numPr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numPr>
                <w:ilvl w:val="1"/>
                <w:numId w:val="5"/>
              </w:numPr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60" w:after="60"/>
              <w:ind w:left="0" w:hanging="0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  <w:lang w:val="en-US" w:eastAsia="ja-JP" w:bidi="ar-SA"/>
              </w:rPr>
              <w:t>Assumes responsibility for assignments and activities under direct control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numPr>
                <w:ilvl w:val="1"/>
                <w:numId w:val="5"/>
              </w:numPr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numPr>
                <w:ilvl w:val="1"/>
                <w:numId w:val="5"/>
              </w:numPr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60" w:after="60"/>
              <w:ind w:left="0" w:hanging="0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  <w:lang w:val="en-US" w:eastAsia="ja-JP" w:bidi="ar-SA"/>
              </w:rPr>
              <w:t>Meets deadlines and time management for assignments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numPr>
                <w:ilvl w:val="1"/>
                <w:numId w:val="5"/>
              </w:numPr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numPr>
                <w:ilvl w:val="1"/>
                <w:numId w:val="5"/>
              </w:numPr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60" w:after="60"/>
              <w:ind w:left="0" w:hanging="0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  <w:lang w:val="en-US" w:eastAsia="ja-JP" w:bidi="ar-SA"/>
              </w:rPr>
              <w:t>Advises supervising attorney of status and development of work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numPr>
                <w:ilvl w:val="1"/>
                <w:numId w:val="5"/>
              </w:numPr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numPr>
                <w:ilvl w:val="1"/>
                <w:numId w:val="5"/>
              </w:numPr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60" w:after="60"/>
              <w:ind w:left="0" w:hanging="0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Demonstrates self- initiation and self- direction in seeking and managing assignments 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numPr>
                <w:ilvl w:val="1"/>
                <w:numId w:val="5"/>
              </w:numPr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numPr>
                <w:ilvl w:val="1"/>
                <w:numId w:val="5"/>
              </w:numPr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60" w:after="60"/>
              <w:ind w:left="0" w:hanging="0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  <w:lang w:val="en-US" w:eastAsia="ja-JP" w:bidi="ar-SA"/>
              </w:rPr>
              <w:t>Demonstrates appropriate and cooperative working relationships with colleagues, supervisors, and others in the office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numPr>
                <w:ilvl w:val="1"/>
                <w:numId w:val="5"/>
              </w:numPr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numPr>
                <w:ilvl w:val="1"/>
                <w:numId w:val="5"/>
              </w:numPr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  <w:tr>
        <w:trPr>
          <w:cantSplit w:val="true"/>
        </w:trPr>
        <w:tc>
          <w:tcPr>
            <w:tcW w:w="675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60" w:after="60"/>
              <w:ind w:left="0" w:hanging="0"/>
              <w:contextualSpacing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  <w:lang w:val="en-US" w:eastAsia="ja-JP" w:bidi="ar-SA"/>
              </w:rPr>
              <w:t xml:space="preserve">Demonstrates overall professionalism </w:t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numPr>
                <w:ilvl w:val="1"/>
                <w:numId w:val="5"/>
              </w:numPr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  <w:tc>
          <w:tcPr>
            <w:tcW w:w="2250" w:type="dxa"/>
            <w:tcBorders/>
          </w:tcPr>
          <w:p>
            <w:pPr>
              <w:pStyle w:val="ListParagraph"/>
              <w:widowControl w:val="false"/>
              <w:numPr>
                <w:ilvl w:val="1"/>
                <w:numId w:val="5"/>
              </w:numPr>
              <w:suppressAutoHyphens w:val="true"/>
              <w:spacing w:before="60" w:after="60"/>
              <w:ind w:left="0" w:hanging="360"/>
              <w:contextualSpacing/>
              <w:jc w:val="left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bookmarkStart w:id="0" w:name="_Hlk26349285"/>
      <w:bookmarkEnd w:id="0"/>
      <w:r>
        <w:rPr>
          <w:b/>
          <w:sz w:val="28"/>
          <w:szCs w:val="28"/>
        </w:rPr>
        <w:t xml:space="preserve">Comments: </w:t>
      </w:r>
      <w:r>
        <w:rPr>
          <w:sz w:val="28"/>
          <w:szCs w:val="28"/>
        </w:rPr>
        <w:t>(</w:t>
      </w:r>
      <w:r>
        <w:rPr>
          <w:szCs w:val="24"/>
        </w:rPr>
        <w:t xml:space="preserve">Please provide comments and explanations)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b/>
          <w:sz w:val="28"/>
          <w:szCs w:val="28"/>
        </w:rPr>
        <w:t>Midterm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Skills and qualities that student demonstrated.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Description of type of assignments that the students received and worked on.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Description of opportunities to observe substantial lawyering skills in placement.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Any other comments or concerns.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  <w:bookmarkStart w:id="1" w:name="_Hlk263492851"/>
      <w:bookmarkStart w:id="2" w:name="_Hlk263492851"/>
      <w:bookmarkEnd w:id="2"/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Cs w:val="24"/>
        </w:rPr>
      </w:pPr>
      <w:r>
        <w:rPr>
          <w:szCs w:val="24"/>
        </w:rPr>
      </w:r>
      <w:r>
        <w:br w:type="page"/>
      </w:r>
    </w:p>
    <w:p>
      <w:pPr>
        <w:pStyle w:val="Normal"/>
        <w:rPr>
          <w:szCs w:val="24"/>
        </w:rPr>
      </w:pPr>
      <w:r>
        <w:rPr>
          <w:b/>
          <w:sz w:val="28"/>
          <w:szCs w:val="28"/>
        </w:rPr>
        <w:t>Final</w:t>
      </w:r>
      <w:r>
        <w:rPr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Skills and qualities that student demonstrated.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Description of type of assignments that the students received and worked on.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Description of opportunities to observe substantial lawyering skills in placement.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Any other comments or concerns.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>Thank you.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sz w:val="22"/>
          <w:szCs w:val="22"/>
          <w:u w:val="none"/>
        </w:rPr>
        <w:t>Supervisor:</w:t>
        <w:tab/>
        <w:tab/>
        <w:tab/>
        <w:tab/>
        <w:tab/>
        <w:tab/>
        <w:t>Student:</w:t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u w:val="single"/>
        </w:rPr>
      </w:pPr>
      <w:r>
        <w:rPr>
          <w:b/>
          <w:sz w:val="22"/>
          <w:szCs w:val="22"/>
          <w:u w:val="single"/>
        </w:rPr>
        <w:tab/>
        <w:tab/>
        <w:tab/>
        <w:tab/>
        <w:tab/>
      </w:r>
      <w:r>
        <w:rPr>
          <w:b/>
          <w:sz w:val="22"/>
          <w:szCs w:val="22"/>
          <w:u w:val="none"/>
        </w:rPr>
        <w:tab/>
        <w:tab/>
      </w:r>
      <w:r>
        <w:rPr>
          <w:b/>
          <w:sz w:val="22"/>
          <w:szCs w:val="22"/>
          <w:u w:val="single"/>
        </w:rPr>
        <w:tab/>
        <w:tab/>
        <w:tab/>
        <w:tab/>
        <w:tab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 xml:space="preserve">Date (midterm): </w:t>
      </w:r>
      <w:r>
        <w:rPr>
          <w:b w:val="false"/>
          <w:bCs w:val="false"/>
          <w:sz w:val="22"/>
          <w:szCs w:val="22"/>
          <w:u w:val="single"/>
        </w:rPr>
        <w:tab/>
        <w:tab/>
        <w:tab/>
      </w:r>
      <w:r>
        <w:rPr>
          <w:b w:val="false"/>
          <w:bCs w:val="false"/>
          <w:sz w:val="22"/>
          <w:szCs w:val="22"/>
        </w:rPr>
        <w:tab/>
        <w:tab/>
        <w:t xml:space="preserve">Date (midterm): </w:t>
      </w:r>
      <w:r>
        <w:rPr>
          <w:b w:val="false"/>
          <w:bCs w:val="false"/>
          <w:sz w:val="22"/>
          <w:szCs w:val="22"/>
          <w:u w:val="single"/>
        </w:rPr>
        <w:tab/>
        <w:tab/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 xml:space="preserve">Date (final): </w:t>
      </w:r>
      <w:r>
        <w:rPr>
          <w:b w:val="false"/>
          <w:bCs w:val="false"/>
          <w:sz w:val="22"/>
          <w:szCs w:val="22"/>
          <w:u w:val="single"/>
        </w:rPr>
        <w:tab/>
        <w:tab/>
        <w:tab/>
        <w:tab/>
      </w:r>
      <w:r>
        <w:rPr>
          <w:b w:val="false"/>
          <w:bCs w:val="false"/>
          <w:sz w:val="22"/>
          <w:szCs w:val="22"/>
        </w:rPr>
        <w:tab/>
        <w:tab/>
        <w:t xml:space="preserve">Date (final): </w:t>
      </w:r>
      <w:r>
        <w:rPr>
          <w:b w:val="false"/>
          <w:bCs w:val="false"/>
          <w:sz w:val="22"/>
          <w:szCs w:val="22"/>
          <w:u w:val="single"/>
        </w:rPr>
        <w:tab/>
        <w:tab/>
        <w:tab/>
        <w:tab/>
      </w:r>
    </w:p>
    <w:sectPr>
      <w:footerReference w:type="default" r:id="rId3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0188603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2"/>
      <w:numFmt w:val="decimal"/>
      <w:lvlText w:val="%1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sz w:val="24"/>
        <w:b/>
        <w:szCs w:val="24"/>
        <w:rFonts w:ascii="Times New Roman" w:hAnsi="Times New Roman" w:eastAsia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2"/>
      <w:numFmt w:val="decimal"/>
      <w:lvlText w:val="%1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8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sz w:val="24"/>
        <w:b/>
        <w:szCs w:val="24"/>
        <w:rFonts w:ascii="Times New Roman" w:hAnsi="Times New Roman" w:eastAsia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7"/>
    <w:lvlOverride w:ilvl="0">
      <w:startOverride w:val="2"/>
    </w:lvlOverride>
  </w:num>
  <w:num w:numId="12">
    <w:abstractNumId w:val="7"/>
  </w:num>
  <w:num w:numId="13">
    <w:abstractNumId w:val="8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8"/>
  </w:num>
  <w:num w:numId="21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7759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7759a"/>
    <w:pPr>
      <w:keepNext w:val="true"/>
      <w:jc w:val="center"/>
      <w:outlineLvl w:val="1"/>
    </w:pPr>
    <w:rPr>
      <w:b/>
      <w:bCs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semiHidden/>
    <w:qFormat/>
    <w:rsid w:val="0047759a"/>
    <w:rPr>
      <w:rFonts w:ascii="Times New Roman" w:hAnsi="Times New Roman" w:eastAsia="Times New Roman" w:cs="Times New Roman"/>
      <w:b/>
      <w:bCs/>
      <w:color w:val="000000"/>
      <w:sz w:val="24"/>
      <w:szCs w:val="20"/>
    </w:rPr>
  </w:style>
  <w:style w:type="character" w:styleId="BodyTextChar" w:customStyle="1">
    <w:name w:val="Body Text Char"/>
    <w:basedOn w:val="DefaultParagraphFont"/>
    <w:semiHidden/>
    <w:qFormat/>
    <w:rsid w:val="0047759a"/>
    <w:rPr>
      <w:rFonts w:ascii="Times New Roman" w:hAnsi="Times New Roman" w:eastAsia="Times New Roman" w:cs="Times New Roman"/>
      <w:color w:val="00000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67704"/>
    <w:rPr>
      <w:rFonts w:ascii="Times New Roman" w:hAnsi="Times New Roman" w:eastAsia="Times New Roman" w:cs="Times New Roman"/>
      <w:sz w:val="24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67704"/>
    <w:rPr>
      <w:rFonts w:ascii="Times New Roman" w:hAnsi="Times New Roman" w:eastAsia="Times New Roman" w:cs="Times New Roman"/>
      <w:sz w:val="24"/>
      <w:szCs w:val="20"/>
    </w:rPr>
  </w:style>
  <w:style w:type="character" w:styleId="InternetLink">
    <w:name w:val="Hyperlink"/>
    <w:basedOn w:val="DefaultParagraphFont"/>
    <w:uiPriority w:val="99"/>
    <w:unhideWhenUsed/>
    <w:rsid w:val="00214f4a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063eb"/>
    <w:rPr>
      <w:rFonts w:ascii="Segoe UI" w:hAnsi="Segoe UI" w:eastAsia="Times New Roman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TextBody">
    <w:name w:val="Body Text"/>
    <w:basedOn w:val="Normal"/>
    <w:link w:val="BodyTextChar"/>
    <w:semiHidden/>
    <w:unhideWhenUsed/>
    <w:rsid w:val="0047759a"/>
    <w:pPr>
      <w:jc w:val="both"/>
    </w:pPr>
    <w:rPr>
      <w:color w:val="000000"/>
      <w:sz w:val="20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7759a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6770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6770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063eb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7759a"/>
    <w:pPr>
      <w:spacing w:after="0" w:line="240" w:lineRule="auto"/>
    </w:pPr>
    <w:rPr>
      <w:lang w:eastAsia="ja-JP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LibreOffice/7.3.7.2$Linux_X86_64 LibreOffice_project/30$Build-2</Application>
  <AppVersion>15.0000</AppVersion>
  <Pages>4</Pages>
  <Words>758</Words>
  <Characters>4233</Characters>
  <CharactersWithSpaces>4964</CharactersWithSpaces>
  <Paragraphs>119</Paragraphs>
  <Company>Elon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2022-02-01T01:36:00Z</dcterms:created>
  <dc:creator>Kathy Conner</dc:creator>
  <dc:description/>
  <dc:language>en-US</dc:language>
  <cp:lastModifiedBy/>
  <cp:lastPrinted>2019-09-06T13:50:00Z</cp:lastPrinted>
  <dcterms:modified xsi:type="dcterms:W3CDTF">2023-03-08T13:05:15Z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