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13</w:t>
      </w:r>
      <w:r>
        <w:t xml:space="preserve"> </w:t>
      </w:r>
      <w:r>
        <w:t xml:space="preserve">January</w:t>
      </w:r>
      <w:r>
        <w:t xml:space="preserve"> </w:t>
      </w:r>
      <w:r>
        <w:t xml:space="preserve">2022</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w:t>
      </w:r>
      <w:r>
        <w:t xml:space="preserve"> </w:t>
      </w:r>
      <w:r>
        <w:t xml:space="preserve">its</w:t>
      </w:r>
      <w:r>
        <w:t xml:space="preserve"> </w:t>
      </w:r>
      <w:r>
        <w:t xml:space="preserve">information</w:t>
      </w:r>
      <w:r>
        <w:t xml:space="preserve"> </w:t>
      </w:r>
      <w:r>
        <w:t xml:space="preserve">(1180</w:t>
      </w:r>
      <w:r>
        <w:t xml:space="preserve"> </w:t>
      </w:r>
      <w:r>
        <w:t xml:space="preserve">species</w:t>
      </w:r>
      <w:r>
        <w:t xml:space="preserve"> </w:t>
      </w:r>
      <w:r>
        <w:t xml:space="preserve">censused</w:t>
      </w:r>
      <w:r>
        <w:t xml:space="preserve"> </w:t>
      </w:r>
      <w:r>
        <w:t xml:space="preserve">in</w:t>
      </w:r>
      <w:r>
        <w:t xml:space="preserve"> </w:t>
      </w:r>
      <w:r>
        <w:t xml:space="preserve">76</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can</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a</w:t>
      </w:r>
      <w:r>
        <w:t xml:space="preserve"> </w:t>
      </w:r>
      <w:r>
        <w:t xml:space="preserve">local,</w:t>
      </w:r>
      <w:r>
        <w:t xml:space="preserve"> </w:t>
      </w:r>
      <w:r>
        <w:t xml:space="preserve">wide</w:t>
      </w:r>
      <w:r>
        <w:t xml:space="preserve"> </w:t>
      </w:r>
      <w:r>
        <w:t xml:space="preserve">inventory</w:t>
      </w:r>
      <w:r>
        <w:t xml:space="preserve"> </w:t>
      </w:r>
      <w:r>
        <w:t xml:space="preserve">(62.5</w:t>
      </w:r>
      <w:r>
        <w:t xml:space="preserve"> </w:t>
      </w:r>
      <w:r>
        <w:t xml:space="preserve">ha</w:t>
      </w:r>
      <w:r>
        <w:t xml:space="preserve"> </w:t>
      </w:r>
      <w:r>
        <w:t xml:space="preserve">in</w:t>
      </w:r>
      <w:r>
        <w:t xml:space="preserve"> </w:t>
      </w:r>
      <w:r>
        <w:t xml:space="preserve">Paracou</w:t>
      </w:r>
      <w:r>
        <w:t xml:space="preserve"> </w:t>
      </w:r>
      <w:r>
        <w:t xml:space="preserve">research</w:t>
      </w:r>
      <w:r>
        <w:t xml:space="preserve"> </w:t>
      </w:r>
      <w:r>
        <w:t xml:space="preserve">station).</w:t>
      </w:r>
      <w:r>
        <w:t xml:space="preserve"> </w:t>
      </w:r>
      <w:r>
        <w:t xml:space="preserve">We</w:t>
      </w:r>
      <w:r>
        <w:t xml:space="preserve"> </w:t>
      </w:r>
      <w:r>
        <w:t xml:space="preserve">evaluate</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2000</w:t>
      </w:r>
      <w:r>
        <w:t xml:space="preserve"> </w:t>
      </w:r>
      <w:r>
        <w:t xml:space="preserve">over</w:t>
      </w:r>
      <w:r>
        <w:t xml:space="preserve"> </w:t>
      </w:r>
      <w:r>
        <w:t xml:space="preserve">the</w:t>
      </w:r>
      <w:r>
        <w:t xml:space="preserve"> </w:t>
      </w:r>
      <w:r>
        <w:t xml:space="preserve">territory.</w:t>
      </w:r>
    </w:p>
    <w:bookmarkStart w:id="20" w:name="introduction"/>
    <w:p>
      <w:pPr>
        <w:pStyle w:val="Heading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In French Guiana, the Guyadiv network consists of close to 250 plots across the whole forest.</w:t>
      </w:r>
      <w:r>
        <w:t xml:space="preserve"> </w:t>
      </w:r>
      <w:r>
        <w:t xml:space="preserve">Based on similar datasets, the diversity of tree species has been estimated in Amazonia</w:t>
      </w:r>
      <w:r>
        <w:t xml:space="preserve"> </w:t>
      </w:r>
      <w:r>
        <w:t xml:space="preserve">(ter Steege et al. 2013; ter Steege et al. 2020)</w:t>
      </w:r>
      <w:r>
        <w:t xml:space="preserve"> </w:t>
      </w:r>
      <w:r>
        <w:t xml:space="preserve">and at the world scale</w:t>
      </w:r>
      <w:r>
        <w:t xml:space="preserve"> </w:t>
      </w:r>
      <w:r>
        <w:t xml:space="preserve">(Slik et al. 2015)</w:t>
      </w:r>
      <w:r>
        <w:t xml:space="preserve">.</w:t>
      </w:r>
      <w:r>
        <w:t xml:space="preserve"> </w:t>
      </w:r>
      <w:r>
        <w:t xml:space="preserve">The methods used in those studies are not appropriate to estimate regional diversity, i.e. at a smaller scale where dispersal limitation is critical.</w:t>
      </w:r>
      <w:r>
        <w:t xml:space="preserve"> </w:t>
      </w:r>
      <w:r>
        <w:t xml:space="preserve">The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 similarity model</w:t>
      </w:r>
      <w:r>
        <w:t xml:space="preserve"> </w:t>
      </w:r>
      <w:r>
        <w:t xml:space="preserve">(Harte, Kinzig, and Green 1999)</w:t>
      </w:r>
      <w:r>
        <w:t xml:space="preserve"> </w:t>
      </w:r>
      <w:r>
        <w:t xml:space="preserve">that implies the power-law relatioship of</w:t>
      </w:r>
      <w:r>
        <w:t xml:space="preserve"> </w:t>
      </w:r>
      <w:r>
        <w:t xml:space="preserve">Arrhenius (1921)</w:t>
      </w:r>
      <w:r>
        <w:t xml:space="preserve"> </w:t>
      </w:r>
      <w:r>
        <w:t xml:space="preserve">and provides a technique to evaluate its parameters</w:t>
      </w:r>
      <w:r>
        <w:t xml:space="preserve"> </w:t>
      </w:r>
      <w:r>
        <w:t xml:space="preserve">(Harte et al. 1999)</w:t>
      </w:r>
      <w:r>
        <w:t xml:space="preserve">, previously applied by</w:t>
      </w:r>
      <w:r>
        <w:t xml:space="preserve"> </w:t>
      </w:r>
      <w:r>
        <w:t xml:space="preserve">Krishnamani, Kumar, and Harte (2004)</w:t>
      </w:r>
      <w:r>
        <w:t xml:space="preserve"> </w:t>
      </w:r>
      <w:r>
        <w:t xml:space="preserve">in the Western Ghats, India.</w:t>
      </w:r>
      <w:r>
        <w:t xml:space="preserve"> </w:t>
      </w:r>
      <w:r>
        <w:t xml:space="preserve">We show that the log-series model underlying the work of</w:t>
      </w:r>
      <w:r>
        <w:t xml:space="preserve"> </w:t>
      </w:r>
      <w:r>
        <w:t xml:space="preserve">ter Steege et al. (2013)</w:t>
      </w:r>
      <w:r>
        <w:t xml:space="preserve"> </w:t>
      </w:r>
      <w:r>
        <w:t xml:space="preserve">does not apply at the regional scale.</w:t>
      </w:r>
    </w:p>
    <w:bookmarkEnd w:id="20"/>
    <w:bookmarkStart w:id="21" w:name="methods"/>
    <w:p>
      <w:pPr>
        <w:pStyle w:val="Heading1"/>
      </w:pPr>
      <w:r>
        <w:rPr>
          <w:rStyle w:val="SectionNumber"/>
        </w:rPr>
        <w:t xml:space="preserve">2</w:t>
      </w:r>
      <w:r>
        <w:tab/>
      </w:r>
      <w:r>
        <w:t xml:space="preserve">Methods</w:t>
      </w:r>
    </w:p>
    <w:p>
      <w:pPr>
        <w:pStyle w:val="FirstParagraph"/>
      </w:pPr>
      <w:r>
        <w:t xml:space="preserve">Self-similarity</w:t>
      </w:r>
      <w:r>
        <w:t xml:space="preserve"> </w:t>
      </w:r>
      <w:r>
        <w:t xml:space="preserve">(Harte, Kinzig, and Green 1999)</w:t>
      </w:r>
      <w:r>
        <w:t xml:space="preserve"> </w:t>
      </w:r>
      <w:r>
        <w:t xml:space="preserve">is a property based on scale invariance.</w:t>
      </w:r>
      <w:r>
        <w:t xml:space="preserve"> </w:t>
      </w:r>
      <w:r>
        <w:t xml:space="preserve">Consider a species</w:t>
      </w:r>
      <w:r>
        <w:t xml:space="preserve"> </w:t>
      </w:r>
      <m:oMath>
        <m:r>
          <m:t>s</m:t>
        </m:r>
      </m:oMath>
      <w:r>
        <w:t xml:space="preserve"> </w:t>
      </w:r>
      <w:r>
        <w:t xml:space="preserve">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sSub>
          <m:e>
            <m:r>
              <m:t>h</m:t>
            </m:r>
          </m:e>
          <m:sub>
            <m:r>
              <m:t>s</m:t>
            </m:r>
          </m:sub>
        </m:sSub>
      </m:oMath>
      <w:r>
        <w:t xml:space="preserve">.</w:t>
      </w:r>
      <w:r>
        <w:t xml:space="preserve"> </w:t>
      </w:r>
      <w:r>
        <w:t xml:space="preserve">Then, if it is present</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sSub>
          <m:e>
            <m:r>
              <m:t>h</m:t>
            </m:r>
          </m:e>
          <m:sub>
            <m:r>
              <m:t>s</m:t>
            </m:r>
          </m:sub>
        </m:sSub>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bSup>
          <m:e>
            <m:r>
              <m:t>h</m:t>
            </m:r>
          </m:e>
          <m:sub>
            <m:r>
              <m:t>s</m:t>
            </m:r>
          </m:sub>
          <m:sup>
            <m:r>
              <m:t>n</m:t>
            </m:r>
          </m:sup>
        </m:sSubSup>
      </m:oMath>
      <w:r>
        <w:t xml:space="preserve">.</w:t>
      </w:r>
      <w:r>
        <w:t xml:space="preserve"> </w:t>
      </w:r>
      <w:r>
        <w:t xml:space="preserve">In other words, the conditional probability to find a species in a sub-area, given that it is present in the area containing it, only depends on the relative size of the sub-area (half the parent area here for simplicity): it does not depend on the observation scale.</w:t>
      </w:r>
    </w:p>
    <w:p>
      <w:pPr>
        <w:pStyle w:val="BodyText"/>
      </w:pPr>
      <w:r>
        <w:t xml:space="preserve">Arrenhius’s power law</w:t>
      </w:r>
      <w:r>
        <w:t xml:space="preserve"> </w:t>
      </w:r>
      <w:r>
        <w:t xml:space="preserve">(Arrhenius 1921)</w:t>
      </w:r>
      <w:r>
        <w:t xml:space="preserve"> </w:t>
      </w:r>
      <w:r>
        <w:t xml:space="preserve">is a consequence</w:t>
      </w:r>
      <w:r>
        <w:t xml:space="preserve"> </w:t>
      </w:r>
      <w:r>
        <w:t xml:space="preserve">(Harte, Kinzig, and Green 1999)</w:t>
      </w:r>
      <w:r>
        <w:t xml:space="preserve"> </w:t>
      </w:r>
      <w:r>
        <w:t xml:space="preserve">of the self-similarity property.</w:t>
      </w:r>
      <w:r>
        <w:t xml:space="preserve"> </w:t>
      </w:r>
      <w:r>
        <w:t xml:space="preserve">The number of species</w:t>
      </w:r>
      <w:r>
        <w:t xml:space="preserve"> </w:t>
      </w:r>
      <m:oMath>
        <m: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BodyText"/>
      </w:pPr>
      <m:oMathPara>
        <m:oMathParaPr>
          <m:jc m:val="center"/>
        </m:oMathParaPr>
        <m:oMath>
          <m:r>
            <m:t>S</m:t>
          </m:r>
          <m:d>
            <m:dPr>
              <m:begChr m:val="("/>
              <m:endChr m:val=")"/>
              <m:sepChr m:val=""/>
              <m:grow/>
            </m:dPr>
            <m:e>
              <m:r>
                <m:t>A</m:t>
              </m:r>
            </m:e>
          </m:d>
          <m:r>
            <m:rPr>
              <m:sty m:val="p"/>
            </m:rPr>
            <m:t>=</m:t>
          </m:r>
          <m:r>
            <m:t>c</m:t>
          </m:r>
          <m:sSup>
            <m:e>
              <m:r>
                <m:t>A</m:t>
              </m:r>
            </m:e>
            <m:sup>
              <m:r>
                <m:t>z</m:t>
              </m:r>
            </m:sup>
          </m:sSup>
          <m:r>
            <m:t>  </m:t>
          </m:r>
          <m:d>
            <m:dPr>
              <m:begChr m:val="("/>
              <m:endChr m:val=")"/>
              <m:sepChr m:val=""/>
              <m:grow/>
            </m:dPr>
            <m:e>
              <m:r>
                <m:t>2.1</m:t>
              </m:r>
            </m:e>
          </m:d>
        </m:oMath>
      </m:oMathPara>
    </w:p>
    <w:p>
      <w:pPr>
        <w:pStyle w:val="FirstParagraph"/>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This is a classical relation in macroecology, with long empirical and theoretical support</w:t>
      </w:r>
      <w:r>
        <w:t xml:space="preserve"> </w:t>
      </w:r>
      <w:r>
        <w:t xml:space="preserve">(Gárcia Martín and Goldenfeld 2006)</w:t>
      </w:r>
      <w:r>
        <w:t xml:space="preserve">.</w:t>
      </w:r>
    </w:p>
    <w:p>
      <w:pPr>
        <w:pStyle w:val="BodyText"/>
      </w:pPr>
      <w:r>
        <w:t xml:space="preserve">If</w:t>
      </w:r>
      <w:r>
        <w:t xml:space="preserve"> </w:t>
      </w:r>
      <m:oMath>
        <m:r>
          <m:t>z</m:t>
        </m:r>
      </m:oMath>
      <w:r>
        <w:t xml:space="preserve"> </w:t>
      </w:r>
      <w:r>
        <w:t xml:space="preserve">is known, the inventory of a reasonably large area</w:t>
      </w:r>
      <w:r>
        <w:t xml:space="preserve"> </w:t>
      </w:r>
      <m:oMath>
        <m:r>
          <m:t>a</m:t>
        </m:r>
      </m:oMath>
      <w:r>
        <w:t xml:space="preserve"> </w:t>
      </w:r>
      <w:r>
        <w:t xml:space="preserve">allows computing</w:t>
      </w:r>
      <w:r>
        <w:t xml:space="preserve"> </w:t>
      </w:r>
      <m:oMath>
        <m:r>
          <m:t>c</m:t>
        </m:r>
        <m:r>
          <m:rPr>
            <m:sty m:val="p"/>
          </m:rPr>
          <m:t>=</m:t>
        </m:r>
        <m:sSup>
          <m:e>
            <m:r>
              <m:t>a</m:t>
            </m:r>
          </m:e>
          <m:sup>
            <m:r>
              <m:t>z</m:t>
            </m:r>
          </m:sup>
        </m:sSup>
        <m:r>
          <m:rPr>
            <m:sty m:val="p"/>
          </m:rPr>
          <m:t>/</m:t>
        </m:r>
        <m:r>
          <m:t>S</m:t>
        </m:r>
        <m:d>
          <m:dPr>
            <m:begChr m:val="("/>
            <m:endChr m:val=")"/>
            <m:sepChr m:val=""/>
            <m:grow/>
          </m:dPr>
          <m:e>
            <m:r>
              <m:t>a</m:t>
            </m:r>
          </m:e>
        </m:d>
      </m:oMath>
      <w:r>
        <w:t xml:space="preserve">.</w:t>
      </w:r>
      <w:r>
        <w:t xml:space="preserve"> </w:t>
      </w:r>
      <w:r>
        <w:t xml:space="preserve">Then,</w:t>
      </w:r>
      <w:r>
        <w:t xml:space="preserve"> </w:t>
      </w:r>
      <m:oMath>
        <m: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BodyText"/>
      </w:pPr>
      <w:r>
        <w:t xml:space="preserve">Harte et al. (1999)</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distributed across the area.</w:t>
      </w:r>
      <w:r>
        <w:t xml:space="preserve"> </w:t>
      </w:r>
      <w:r>
        <w:t xml:space="preserve">The</w:t>
      </w:r>
      <w:r>
        <w:t xml:space="preserve"> </w:t>
      </w:r>
      <w:r>
        <w:t xml:space="preserve">Sørensen (1948)</w:t>
      </w:r>
      <w:r>
        <w:t xml:space="preserve"> </w:t>
      </w:r>
      <w:r>
        <w:t xml:space="preserve">similarity between two plots is</w:t>
      </w:r>
    </w:p>
    <w:p>
      <w:pPr>
        <w:pStyle w:val="BodyText"/>
      </w:pPr>
      <m:oMathPara>
        <m:oMathParaPr>
          <m:jc m:val="center"/>
        </m:oMathParaPr>
        <m:oMath>
          <m:r>
            <m:t>χ</m:t>
          </m:r>
          <m:r>
            <m:rPr>
              <m:sty m:val="p"/>
            </m:rPr>
            <m:t>=</m:t>
          </m:r>
          <m:r>
            <m:t>2</m:t>
          </m:r>
          <m:d>
            <m:dPr>
              <m:begChr m:val="("/>
              <m:endChr m:val=")"/>
              <m:sepChr m:val=""/>
              <m:grow/>
            </m:dPr>
            <m:e>
              <m:sSub>
                <m:e>
                  <m:r>
                    <m:t>S</m:t>
                  </m:r>
                </m:e>
                <m:sub>
                  <m:r>
                    <m:t>1</m:t>
                  </m:r>
                </m:sub>
              </m:sSub>
              <m:r>
                <m:rPr>
                  <m:sty m:val="p"/>
                </m:rPr>
                <m:t>∩</m:t>
              </m:r>
              <m:sSub>
                <m:e>
                  <m:r>
                    <m:t>S</m:t>
                  </m:r>
                </m:e>
                <m:sub>
                  <m:r>
                    <m:t>2</m:t>
                  </m:r>
                </m:sub>
              </m:sSub>
            </m:e>
          </m:d>
          <m:r>
            <m:rPr>
              <m:sty m:val="p"/>
            </m:rPr>
            <m:t>/</m:t>
          </m:r>
          <m:d>
            <m:dPr>
              <m:begChr m:val="("/>
              <m:endChr m:val=")"/>
              <m:sepChr m:val=""/>
              <m:grow/>
            </m:dPr>
            <m:e>
              <m:sSub>
                <m:e>
                  <m:r>
                    <m:t>S</m:t>
                  </m:r>
                </m:e>
                <m:sub>
                  <m:r>
                    <m:t>1</m:t>
                  </m:r>
                </m:sub>
              </m:sSub>
              <m:r>
                <m:rPr>
                  <m:sty m:val="p"/>
                </m:rPr>
                <m:t>+</m:t>
              </m:r>
              <m:sSub>
                <m:e>
                  <m:r>
                    <m:t>S</m:t>
                  </m:r>
                </m:e>
                <m:sub>
                  <m:r>
                    <m:t>2</m:t>
                  </m:r>
                </m:sub>
              </m:sSub>
            </m:e>
          </m:d>
          <m:r>
            <m:t>  </m:t>
          </m:r>
          <m:d>
            <m:dPr>
              <m:begChr m:val="("/>
              <m:endChr m:val=")"/>
              <m:sepChr m:val=""/>
              <m:grow/>
            </m:dPr>
            <m:e>
              <m:r>
                <m:t>2.2</m:t>
              </m:r>
            </m:e>
          </m:d>
        </m:oMath>
      </m:oMathPara>
    </w:p>
    <w:p>
      <w:pPr>
        <w:pStyle w:val="FirstParagraph"/>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w:t>
      </w:r>
      <w:r>
        <w:t xml:space="preserve">is the number of species in plot 1 (resp. plot 2) and</w:t>
      </w:r>
      <w:r>
        <w:t xml:space="preserve"> </w:t>
      </w:r>
      <m:oMath>
        <m:d>
          <m:dPr>
            <m:begChr m:val="("/>
            <m:endChr m:val=")"/>
            <m:sepChr m:val=""/>
            <m:grow/>
          </m:dPr>
          <m:e>
            <m:sSub>
              <m:e>
                <m:r>
                  <m:t>S</m:t>
                </m:r>
              </m:e>
              <m:sub>
                <m:r>
                  <m:t>1</m:t>
                </m:r>
              </m:sub>
            </m:sSub>
            <m:r>
              <m:rPr>
                <m:sty m:val="p"/>
              </m:rPr>
              <m:t>∩</m:t>
            </m:r>
            <m:sSub>
              <m:e>
                <m:r>
                  <m:t>S</m:t>
                </m:r>
              </m:e>
              <m:sub>
                <m:r>
                  <m:t>2</m:t>
                </m:r>
              </m:sub>
            </m:sSub>
          </m:e>
        </m:d>
      </m:oMath>
      <w:r>
        <w:t xml:space="preserve"> </w:t>
      </w:r>
      <w:r>
        <w:t xml:space="preserve">is the number of common species.</w:t>
      </w:r>
    </w:p>
    <w:p>
      <w:pPr>
        <w:pStyle w:val="BodyText"/>
      </w:pPr>
      <w:r>
        <w:t xml:space="preserve">Applied to plots of the same size separated by distance</w:t>
      </w:r>
      <w:r>
        <w:t xml:space="preserve"> </w:t>
      </w:r>
      <m:oMath>
        <m:r>
          <m:t>d</m:t>
        </m:r>
      </m:oMath>
      <w:r>
        <w:t xml:space="preserve">, Sorensen’s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 et al. 1999)</w:t>
      </w:r>
      <w:r>
        <w:t xml:space="preserve"> </w:t>
      </w:r>
      <w:r>
        <w:t xml:space="preserve">that can be estimated by the linear model</w:t>
      </w:r>
    </w:p>
    <w:p>
      <w:pPr>
        <w:pStyle w:val="BodyText"/>
      </w:pPr>
      <m:oMathPara>
        <m:oMathParaPr>
          <m:jc m:val="center"/>
        </m:oMathParaP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r>
            <m:rPr>
              <m:sty m:val="p"/>
            </m:rPr>
            <m:t>.</m:t>
          </m:r>
          <m:r>
            <m:t>  </m:t>
          </m:r>
          <m:d>
            <m:dPr>
              <m:begChr m:val="("/>
              <m:endChr m:val=")"/>
              <m:sepChr m:val=""/>
              <m:grow/>
            </m:dPr>
            <m:e>
              <m:r>
                <m:t>2.3</m:t>
              </m:r>
            </m:e>
          </m:d>
        </m:oMath>
      </m:oMathPara>
    </w:p>
    <w:p>
      <w:pPr>
        <w:pStyle w:val="FirstParagraph"/>
      </w:pPr>
      <w:r>
        <w:t xml:space="preserve">The logarithm of the Sorensen dissimilarity between pair of plots can be regressed against the logarithm of the distance between the plots: the slope of the regression is</w:t>
      </w:r>
      <w:r>
        <w:t xml:space="preserve"> </w:t>
      </w:r>
      <m:oMath>
        <m:r>
          <m:rPr>
            <m:sty m:val="p"/>
          </m:rPr>
          <m:t>−</m:t>
        </m:r>
        <m:r>
          <m:t>2</m:t>
        </m:r>
        <m:r>
          <m:t>z</m:t>
        </m:r>
      </m:oMath>
      <w:r>
        <w:t xml:space="preserve">.</w:t>
      </w:r>
    </w:p>
    <w:p>
      <w:pPr>
        <w:pStyle w:val="BodyText"/>
      </w:pPr>
      <w:r>
        <w:t xml:space="preserve">The relation (2.3) holds at the same scale as the power law, i.e. at the regional scale</w:t>
      </w:r>
      <w:r>
        <w:t xml:space="preserve"> </w:t>
      </w:r>
      <w:r>
        <w:t xml:space="preserve">(Grilli et al. 2012)</w:t>
      </w:r>
      <w:r>
        <w:t xml:space="preserve">.</w:t>
      </w:r>
      <w:r>
        <w:t xml:space="preserve"> </w:t>
      </w:r>
      <w:r>
        <w:t xml:space="preserve">Krishnamani, Kumar, and Harte (2004)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r>
        <w:t xml:space="preserve"> </w:t>
      </w:r>
      <w:r>
        <w:t xml:space="preserve">Our data confirm that.</w:t>
      </w:r>
    </w:p>
    <w:p>
      <w:pPr>
        <w:pStyle w:val="BodyText"/>
      </w:pPr>
      <w:r>
        <w:t xml:space="preserve">A large enough inventory, provided by a permanent forest facility, is necessary along with a set of small, widely spread forest plots.</w:t>
      </w:r>
    </w:p>
    <w:p>
      <w:pPr>
        <w:pStyle w:val="BodyText"/>
      </w:pPr>
    </w:p>
    <w:p>
      <w:pPr>
        <w:pStyle w:val="BodyText"/>
      </w:pPr>
    </w:p>
    <w:p>
      <w:pPr>
        <w:pStyle w:val="BodyText"/>
      </w:pPr>
    </w:p>
    <w:p>
      <w:pPr>
        <w:pStyle w:val="BodyText"/>
      </w:pPr>
      <w:r>
        <w:t xml:space="preserve"> </w:t>
      </w:r>
      <w:r>
        <w:t xml:space="preserve">The Paracou research station</w:t>
      </w:r>
      <w:r>
        <w:t xml:space="preserve"> </w:t>
      </w:r>
      <w:r>
        <w:t xml:space="preserve">(Gourlet-Fleury, Guehl, and Laroussinie 2004)</w:t>
      </w:r>
      <w:r>
        <w:t xml:space="preserve"> </w:t>
      </w:r>
      <w:r>
        <w:t xml:space="preserve">is located at latitude 5°18′N and longitude 52°53′W.</w:t>
      </w:r>
      <w:r>
        <w:t xml:space="preserve"> </w:t>
      </w:r>
      <w:r>
        <w:t xml:space="preserve">It contains six 6.25-ha and one 25-ha plots of primary rainforest summing up to a compact 0.625-ha inventory that can be considered continuous at the scale of French Guiana (80 million hectares).</w:t>
      </w:r>
    </w:p>
    <w:p>
      <w:pPr>
        <w:pStyle w:val="BodyText"/>
      </w:pPr>
    </w:p>
    <w:p>
      <w:pPr>
        <w:pStyle w:val="BodyText"/>
      </w:pPr>
      <w:r>
        <w:t xml:space="preserve"> </w:t>
      </w:r>
      <w:r>
        <w:rPr>
          <w:bCs/>
          <w:b/>
        </w:rPr>
        <w:t xml:space="preserve">Decription of Guyadiv here</w:t>
      </w:r>
    </w:p>
    <w:p>
      <w:pPr>
        <w:pStyle w:val="BodyText"/>
      </w:pPr>
    </w:p>
    <w:p>
      <w:pPr>
        <w:pStyle w:val="BodyText"/>
      </w:pPr>
    </w:p>
    <w:p>
      <w:pPr>
        <w:pStyle w:val="BodyText"/>
      </w:pPr>
      <w:r>
        <w:t xml:space="preserve">We take into account the 68 one-hectare plots of the network.</w:t>
      </w:r>
      <w:r>
        <w:t xml:space="preserve"> </w:t>
      </w:r>
      <w:r>
        <w:t xml:space="preserve">They are located in 21 locations that allow a quite good coverage of the variability of the forest in French Guiana (</w:t>
      </w:r>
      <w:r>
        <w:rPr>
          <w:bCs/>
          <w:b/>
        </w:rPr>
        <w:t xml:space="preserve">map here</w:t>
      </w:r>
      <w:r>
        <w:t xml:space="preserve">).</w:t>
      </w:r>
      <w:r>
        <w:t xml:space="preserve"> </w:t>
      </w: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Sorensen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nor/>
            <m:sty m:val="p"/>
          </m:rPr>
          <m:t>log</m:t>
        </m:r>
        <m:d>
          <m:dPr>
            <m:begChr m:val="("/>
            <m:endChr m:val=")"/>
            <m:sepChr m:val=""/>
            <m:grow/>
          </m:dPr>
          <m:e>
            <m:r>
              <m:t>χ</m:t>
            </m:r>
          </m:e>
        </m:d>
        <m:r>
          <m:rPr>
            <m:sty m:val="p"/>
          </m:rPr>
          <m:t>∼</m:t>
        </m:r>
        <m:r>
          <m:rPr>
            <m:nor/>
            <m:sty m:val="p"/>
          </m:rPr>
          <m:t>log</m:t>
        </m:r>
        <m:d>
          <m:dPr>
            <m:begChr m:val="("/>
            <m:endChr m:val=")"/>
            <m:sepChr m:val=""/>
            <m:grow/>
          </m:dPr>
          <m:e>
            <m:r>
              <m:t>d</m:t>
            </m:r>
          </m:e>
        </m:d>
      </m:oMath>
      <w:r>
        <w:t xml:space="preserve">.</w:t>
      </w:r>
      <w:r>
        <w:t xml:space="preserve"> </w:t>
      </w:r>
      <w:r>
        <w:t xml:space="preserve">We repeated these steps 100 times to obtain a distribution of estimated</w:t>
      </w:r>
      <w:r>
        <w:t xml:space="preserve"> </w:t>
      </w:r>
      <m:oMath>
        <m:r>
          <m:t>z</m:t>
        </m:r>
      </m:oMath>
      <w:r>
        <w:t xml:space="preserve"> </w:t>
      </w:r>
      <w:r>
        <w:t xml:space="preserve">values depending on the plots drawn in each location.</w:t>
      </w:r>
      <w:r>
        <w:t xml:space="preserve"> </w:t>
      </w:r>
      <w:r>
        <w:t xml:space="preserve">The empirical mean</w:t>
      </w:r>
      <w:r>
        <w:t xml:space="preserve"> </w:t>
      </w:r>
      <m:oMath>
        <m:sSub>
          <m:e>
            <m:r>
              <m:t>μ</m:t>
            </m:r>
          </m:e>
          <m:sub>
            <m:r>
              <m:t>z</m:t>
            </m:r>
          </m:sub>
        </m:sSub>
      </m:oMath>
      <w:r>
        <w:t xml:space="preserve"> </w:t>
      </w:r>
      <w:r>
        <w:t xml:space="preserve">and standard devation</w:t>
      </w:r>
      <w:r>
        <w:t xml:space="preserve"> </w:t>
      </w:r>
      <m:oMath>
        <m:sSub>
          <m:e>
            <m:r>
              <m:t>σ</m:t>
            </m:r>
          </m:e>
          <m:sub>
            <m:r>
              <m:t>z</m:t>
            </m:r>
          </m:sub>
        </m:sSub>
      </m:oMath>
      <w:r>
        <w:t xml:space="preserve"> </w:t>
      </w:r>
      <w:r>
        <w:t xml:space="preserve">of the distribution were calculated.</w:t>
      </w:r>
      <w:r>
        <w:t xml:space="preserve"> </w:t>
      </w:r>
      <m:oMath>
        <m:r>
          <m:t>z</m:t>
        </m:r>
      </m:oMath>
      <w:r>
        <w:t xml:space="preserve"> </w:t>
      </w:r>
      <w:r>
        <w:t xml:space="preserve">was estimated as</w:t>
      </w:r>
      <w:r>
        <w:t xml:space="preserve"> </w:t>
      </w:r>
      <m:oMath>
        <m:sSub>
          <m:e>
            <m:r>
              <m:t>μ</m:t>
            </m:r>
          </m:e>
          <m:sub>
            <m:r>
              <m:t>z</m:t>
            </m:r>
          </m:sub>
        </m:sSub>
      </m:oMath>
      <w:r>
        <w:t xml:space="preserve"> </w:t>
      </w:r>
      <w:r>
        <w:t xml:space="preserve">with a 95% confidence interval equal to</w:t>
      </w:r>
      <w:r>
        <w:t xml:space="preserve"> </w:t>
      </w:r>
      <m:oMath>
        <m:r>
          <m:rPr>
            <m:sty m:val="p"/>
          </m:rPr>
          <m:t>±</m:t>
        </m:r>
        <m:r>
          <m:t>t</m:t>
        </m:r>
        <m:sSub>
          <m:e>
            <m:r>
              <m:t>σ</m:t>
            </m:r>
          </m:e>
          <m:sub>
            <m:r>
              <m:t>z</m:t>
            </m:r>
          </m:sub>
        </m:sSub>
        <m:r>
          <m:rPr>
            <m:sty m:val="p"/>
          </m:rPr>
          <m:t>/</m:t>
        </m:r>
        <m:rad>
          <m:radPr>
            <m:degHide m:val="1"/>
          </m:radPr>
          <m:deg/>
          <m:e>
            <m:r>
              <m:t>(</m:t>
            </m:r>
          </m:e>
        </m:rad>
        <m:r>
          <m:t>100</m:t>
        </m:r>
        <m:r>
          <m:rPr>
            <m:sty m:val="p"/>
          </m:rPr>
          <m:t>)</m:t>
        </m:r>
      </m:oMath>
      <w:r>
        <w:t xml:space="preserve">.</w:t>
      </w:r>
    </w:p>
    <w:p>
      <w:pPr>
        <w:pStyle w:val="BodyText"/>
      </w:pPr>
      <w:r>
        <w:t xml:space="preserve">All analyses were made with R</w:t>
      </w:r>
      <w:r>
        <w:t xml:space="preserve"> </w:t>
      </w:r>
      <w:r>
        <w:t xml:space="preserve">(R Core Team 2022)</w:t>
      </w:r>
      <w:r>
        <w:t xml:space="preserve"> </w:t>
      </w:r>
      <w:r>
        <w:t xml:space="preserve">v. 4.1.2.</w:t>
      </w:r>
    </w:p>
    <w:bookmarkEnd w:id="21"/>
    <w:bookmarkStart w:id="22" w:name="results"/>
    <w:p>
      <w:pPr>
        <w:pStyle w:val="Heading1"/>
      </w:pPr>
      <w:r>
        <w:rPr>
          <w:rStyle w:val="SectionNumber"/>
        </w:rPr>
        <w:t xml:space="preserve">3</w:t>
      </w:r>
      <w:r>
        <w:tab/>
      </w:r>
      <w:r>
        <w:t xml:space="preserve">Results</w:t>
      </w:r>
    </w:p>
    <w:p>
      <w:pPr>
        <w:pStyle w:val="FirstParagraph"/>
      </w:pPr>
    </w:p>
    <w:p>
      <w:pPr>
        <w:pStyle w:val="BodyText"/>
      </w:pPr>
    </w:p>
    <w:p>
      <w:pPr>
        <w:pStyle w:val="BodyText"/>
      </w:pPr>
    </w:p>
    <w:p>
      <w:pPr>
        <w:pStyle w:val="BodyText"/>
      </w:pPr>
    </w:p>
    <w:p>
      <w:pPr>
        <w:pStyle w:val="BodyText"/>
      </w:pPr>
      <w:r>
        <w:t xml:space="preserve">The estimated value of</w:t>
      </w:r>
      <w:r>
        <w:t xml:space="preserve"> </w:t>
      </w:r>
      <m:oMath>
        <m:r>
          <m:t>z</m:t>
        </m:r>
      </m:oMath>
      <w:r>
        <w:t xml:space="preserve"> </w:t>
      </w:r>
      <w:r>
        <w:t xml:space="preserve">is 0.103 with a 95% confidence interval between 0.087 and 0.123.</w:t>
      </w:r>
    </w:p>
    <w:p>
      <w:pPr>
        <w:pStyle w:val="BodyText"/>
      </w:pPr>
    </w:p>
    <w:p>
      <w:pPr>
        <w:pStyle w:val="BodyText"/>
      </w:pPr>
    </w:p>
    <w:p>
      <w:pPr>
        <w:pStyle w:val="BodyText"/>
      </w:pPr>
      <w:r>
        <w:t xml:space="preserve">The number of species per squared kilometer,</w:t>
      </w:r>
      <w:r>
        <w:t xml:space="preserve"> </w:t>
      </w:r>
      <m:oMath>
        <m:r>
          <m:t>c</m:t>
        </m:r>
      </m:oMath>
      <w:r>
        <w:t xml:space="preserve">, is 634.</w:t>
      </w:r>
    </w:p>
    <w:p>
      <w:pPr>
        <w:pStyle w:val="BodyText"/>
      </w:pPr>
    </w:p>
    <w:p>
      <w:pPr>
        <w:pStyle w:val="BodyText"/>
      </w:pPr>
    </w:p>
    <w:p>
      <w:pPr>
        <w:pStyle w:val="BodyText"/>
      </w:pPr>
      <w:r>
        <w:t xml:space="preserve">Finally, the estimated number of species is 2031.</w:t>
      </w:r>
      <w:r>
        <w:t xml:space="preserve"> </w:t>
      </w:r>
      <w:r>
        <w:t xml:space="preserve">Taking into account the uncertainty about</w:t>
      </w:r>
      <w:r>
        <w:t xml:space="preserve"> </w:t>
      </w:r>
      <m:oMath>
        <m:r>
          <m:t>z</m:t>
        </m:r>
      </m:oMath>
      <w:r>
        <w:t xml:space="preserve">, its 95% confidence interval is between 1686 and 2532.</w:t>
      </w:r>
    </w:p>
    <w:bookmarkEnd w:id="22"/>
    <w:bookmarkStart w:id="23" w:name="discussion"/>
    <w:p>
      <w:pPr>
        <w:pStyle w:val="Heading1"/>
      </w:pPr>
      <w:r>
        <w:rPr>
          <w:rStyle w:val="SectionNumber"/>
        </w:rPr>
        <w:t xml:space="preserve">4</w:t>
      </w:r>
      <w:r>
        <w:tab/>
      </w:r>
      <w:r>
        <w:t xml:space="preserve">Discussion</w:t>
      </w:r>
    </w:p>
    <w:p>
      <w:pPr>
        <w:pStyle w:val="FirstParagraph"/>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 Kumar, and Harte (2004)</w:t>
      </w:r>
      <w:r>
        <w:t xml:space="preserve"> </w:t>
      </w:r>
      <w:r>
        <w:t xml:space="preserve">and this paper.</w:t>
      </w:r>
    </w:p>
    <w:p>
      <w:pPr>
        <w:pStyle w:val="BodyText"/>
      </w:pPr>
      <w:r>
        <w:t xml:space="preserve">At smaller scales, i.e. inside a single community, the relation between area and number of species is described by species accumulation curves (SAC).</w:t>
      </w:r>
      <w:r>
        <w:t xml:space="preserve"> </w:t>
      </w:r>
      <w:r>
        <w:t xml:space="preserve">It is driven by statistical models that address incomplete sampling.</w:t>
      </w:r>
      <w:r>
        <w:t xml:space="preserve"> </w:t>
      </w:r>
      <w:r>
        <w:t xml:space="preserve">After replacing the sampled area by the number of individuals it contains, well-known estimators of richness such as Chao’s or the jackknife apply.</w:t>
      </w:r>
      <w:r>
        <w:t xml:space="preserve"> </w:t>
      </w:r>
      <w:r>
        <w:t xml:space="preserve">Krishnamani, Kumar, and Harte (2004)</w:t>
      </w:r>
      <w:r>
        <w:t xml:space="preserve"> </w:t>
      </w:r>
      <w:r>
        <w:t xml:space="preserve">did not have the necessary 100-ha inventory to estimate the number of species at this scale, so they used the self-similarity model to extrapolate small plot data.</w:t>
      </w:r>
      <w:r>
        <w:t xml:space="preserve"> </w:t>
      </w:r>
      <w:r>
        <w:t xml:space="preserve">This lead them to estimate successive scale-dependent values of</w:t>
      </w:r>
      <w:r>
        <w:t xml:space="preserve"> </w:t>
      </w:r>
      <m:oMath>
        <m:r>
          <m:t>z</m:t>
        </m:r>
      </m:oMath>
      <w:r>
        <w:t xml:space="preserve"> </w:t>
      </w:r>
      <w:r>
        <w:t xml:space="preserve">with no theoretical support: the model is arguably not valid.</w:t>
      </w:r>
    </w:p>
    <w:p>
      <w:pPr>
        <w:pStyle w:val="BodyText"/>
      </w:pPr>
      <w:r>
        <w:t xml:space="preserve">At the scale of the metacommunity, defined in the neutral model of biogeography, the species distribution is in log-series.</w:t>
      </w:r>
      <w:r>
        <w:t xml:space="preserve"> </w:t>
      </w:r>
      <w:r>
        <w:t xml:space="preserve">ter Steege et al. (2013)</w:t>
      </w:r>
      <w:r>
        <w:t xml:space="preserve"> </w:t>
      </w:r>
      <w:r>
        <w:t xml:space="preserve">fitted a log-series to data provided by a network of plots to estimate the number of species in Amazonia.</w:t>
      </w:r>
      <w:r>
        <w:t xml:space="preserve"> </w:t>
      </w:r>
      <w:r>
        <w:t xml:space="preserve">We applied the same method to our data in appendix</w:t>
      </w:r>
      <w:r>
        <w:t xml:space="preserve"> </w:t>
      </w:r>
      <w:r>
        <w:t xml:space="preserve">5.2</w:t>
      </w:r>
      <w:r>
        <w:t xml:space="preserve">.</w:t>
      </w:r>
      <w:r>
        <w:t xml:space="preserve"> </w:t>
      </w:r>
      <w:r>
        <w:t xml:space="preserve">Its estimation is close to 4000 species in French Guiana: a very unlikely result according to the current expert knowledge and the recent checklist (</w:t>
      </w:r>
      <w:r>
        <w:rPr>
          <w:bCs/>
          <w:b/>
        </w:rPr>
        <w:t xml:space="preserve">Reference</w:t>
      </w:r>
      <w:r>
        <w:t xml:space="preserve">).</w:t>
      </w:r>
      <w:r>
        <w:t xml:space="preserve"> </w:t>
      </w:r>
      <w:r>
        <w:t xml:space="preserve">The regional species pool does not follow a log-series distribution because of dispersal limitation.</w:t>
      </w:r>
      <w:r>
        <w:t xml:space="preserve"> </w:t>
      </w:r>
      <w:r>
        <w:t xml:space="preserve">In other words, the regional community is not a sample of the metacommunity: many of the metacommunity’s species are not present.</w:t>
      </w:r>
    </w:p>
    <w:p>
      <w:pPr>
        <w:pStyle w:val="BodyText"/>
      </w:pPr>
      <w:r>
        <w:t xml:space="preserve">The estimated number of tree species in the 8-million-hectare forest of French Guiana is close to 2000.</w:t>
      </w:r>
      <w:r>
        <w:t xml:space="preserve"> </w:t>
      </w:r>
      <w:r>
        <w:t xml:space="preserve">A lot of approximations were made to obtain this result:</w:t>
      </w:r>
      <w:r>
        <w:t xml:space="preserve"> </w:t>
      </w:r>
      <w:r>
        <w:t xml:space="preserve">- z fit</w:t>
      </w:r>
      <w:r>
        <w:t xml:space="preserve"> </w:t>
      </w:r>
      <w:r>
        <w:t xml:space="preserve">- Paracou is marginal</w:t>
      </w:r>
      <w:r>
        <w:t xml:space="preserve"> </w:t>
      </w:r>
      <w:r>
        <w:t xml:space="preserve">- Guyadiv is not perfect</w:t>
      </w:r>
      <w:r>
        <w:t xml:space="preserve"> </w:t>
      </w:r>
      <w:r>
        <w:t xml:space="preserve">- Species delimitation</w:t>
      </w:r>
    </w:p>
    <w:p>
      <w:pPr>
        <w:pStyle w:val="BodyText"/>
      </w:pPr>
      <w:r>
        <w:t xml:space="preserve">Yet it is a very likely estimation according to the current knowledge &gt; JF.</w:t>
      </w:r>
    </w:p>
    <w:bookmarkEnd w:id="23"/>
    <w:bookmarkStart w:id="30" w:name="appendix"/>
    <w:p>
      <w:pPr>
        <w:pStyle w:val="Heading1"/>
      </w:pPr>
      <w:r>
        <w:rPr>
          <w:rStyle w:val="SectionNumber"/>
        </w:rPr>
        <w:t xml:space="preserve">5</w:t>
      </w:r>
      <w:r>
        <w:tab/>
      </w:r>
      <w:r>
        <w:t xml:space="preserve">Appendix</w:t>
      </w:r>
    </w:p>
    <w:bookmarkStart w:id="25" w:name="similarity-distance-decay"/>
    <w:p>
      <w:pPr>
        <w:pStyle w:val="Heading2"/>
      </w:pPr>
      <w:r>
        <w:rPr>
          <w:rStyle w:val="SectionNumber"/>
        </w:rPr>
        <w:t xml:space="preserve">5.1</w:t>
      </w:r>
      <w:r>
        <w:tab/>
      </w:r>
      <w:r>
        <w:t xml:space="preserve">Similarity distance decay</w:t>
      </w:r>
    </w:p>
    <w:p>
      <w:pPr>
        <w:pStyle w:val="FirstParagraph"/>
      </w:pPr>
      <w:r>
        <w:t xml:space="preserve">The relation between Sorensen’s similarity and distance is shown in figure</w:t>
      </w:r>
      <w:r>
        <w:t xml:space="preserve"> </w:t>
      </w:r>
      <w:r>
        <w:t xml:space="preserve">5.1</w:t>
      </w:r>
      <w:r>
        <w:t xml:space="preserve">.</w:t>
      </w:r>
      <w:r>
        <w:t xml:space="preserve"> </w:t>
      </w:r>
      <w:r>
        <w:t xml:space="preserve">All pairs of plots more than 1 km apart are shown.</w:t>
      </w:r>
      <w:r>
        <w:t xml:space="preserve"> </w:t>
      </w:r>
      <w:r>
        <w:t xml:space="preserve">The estimation of</w:t>
      </w:r>
      <w:r>
        <w:t xml:space="preserve"> </w:t>
      </w:r>
      <m:oMath>
        <m:r>
          <m:t>z</m:t>
        </m:r>
      </m:oMath>
      <w:r>
        <w:t xml:space="preserve"> </w:t>
      </w:r>
      <w:r>
        <w:t xml:space="preserve">is not made this way because some locations contain more plots than others so their weight is increased.</w:t>
      </w:r>
      <w:r>
        <w:t xml:space="preserve"> </w:t>
      </w:r>
      <w:r>
        <w:t xml:space="preserve">The technique used in the text of the paper consists of drawing a random plot in each location to estimate</w:t>
      </w:r>
      <w:r>
        <w:t xml:space="preserve"> </w:t>
      </w:r>
      <m:oMath>
        <m:r>
          <m:t>z</m:t>
        </m:r>
      </m:oMath>
      <w:r>
        <w:t xml:space="preserve">, and repeat this process a large number of times to estimate the expectation of</w:t>
      </w:r>
      <w:r>
        <w:t xml:space="preserve"> </w:t>
      </w:r>
      <m:oMath>
        <m:r>
          <m:t>z</m:t>
        </m:r>
      </m:oMath>
      <w:r>
        <w:t xml:space="preserve">.</w:t>
      </w:r>
    </w:p>
    <w:p>
      <w:pPr>
        <w:pStyle w:val="BodyText"/>
      </w:pPr>
    </w:p>
    <w:p>
      <w:pPr>
        <w:pStyle w:val="CaptionedFigure"/>
      </w:pPr>
      <w:r>
        <w:drawing>
          <wp:inline>
            <wp:extent cx="4620126" cy="3696101"/>
            <wp:effectExtent b="0" l="0" r="0" t="0"/>
            <wp:docPr descr="Figure 5.1: Relation between Sorensen’s similarity and the distance between pairs of plots. Both axes are in base-10 logarithms, distances are in meters. Each point is a pair of plots more than 1km apart. A linear model is fitted: the slope of the regression is -2z." title="" id="1" name="Picture"/>
            <a:graphic>
              <a:graphicData uri="http://schemas.openxmlformats.org/drawingml/2006/picture">
                <pic:pic>
                  <pic:nvPicPr>
                    <pic:cNvPr descr="GF-Richness_files/figure-docx/slope-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 Relation between Sorensen’s similarity and the distance between pairs of plots. Both axes are in base-10 logarithms, distances are in meters. Each point is a pair of plots more than 1km apart. A linear model is fitted: the slope of the regression is</w:t>
      </w:r>
      <w:r>
        <w:t xml:space="preserve"> </w:t>
      </w:r>
      <m:oMath>
        <m:r>
          <m:rPr>
            <m:sty m:val="p"/>
          </m:rPr>
          <m:t>−</m:t>
        </m:r>
        <m:r>
          <m:t>2</m:t>
        </m:r>
        <m:r>
          <m:t>z</m:t>
        </m:r>
      </m:oMath>
      <w:r>
        <w:t xml:space="preserve">.</w:t>
      </w:r>
    </w:p>
    <w:p>
      <w:pPr>
        <w:pStyle w:val="BodyText"/>
      </w:pPr>
    </w:p>
    <w:bookmarkEnd w:id="25"/>
    <w:bookmarkStart w:id="27" w:name="apd-logseries"/>
    <w:p>
      <w:pPr>
        <w:pStyle w:val="Heading2"/>
      </w:pPr>
      <w:r>
        <w:rPr>
          <w:rStyle w:val="SectionNumber"/>
        </w:rPr>
        <w:t xml:space="preserve">5.2</w:t>
      </w:r>
      <w:r>
        <w:tab/>
      </w:r>
      <w:r>
        <w:t xml:space="preserve">Log-series estimation of the number of species</w:t>
      </w:r>
    </w:p>
    <w:p>
      <w:pPr>
        <w:pStyle w:val="FirstParagraph"/>
      </w:pPr>
      <w:r>
        <w:t xml:space="preserve">Assuming that the plots are samples of a metacommunity that follows a log-series distribution, the rank-abundance curve can be extrapolated (figure</w:t>
      </w:r>
      <w:r>
        <w:t xml:space="preserve"> </w:t>
      </w:r>
      <w:r>
        <w:t xml:space="preserve">5.2</w:t>
      </w:r>
      <w:r>
        <w:t xml:space="preserve">) following</w:t>
      </w:r>
      <w:r>
        <w:t xml:space="preserve"> </w:t>
      </w:r>
      <w:r>
        <w:t xml:space="preserve">ter Steege et al. (2013)</w:t>
      </w:r>
      <w:r>
        <w:t xml:space="preserve">.</w:t>
      </w:r>
    </w:p>
    <w:p>
      <w:pPr>
        <w:pStyle w:val="BodyText"/>
      </w:pPr>
    </w:p>
    <w:p>
      <w:pPr>
        <w:pStyle w:val="CaptionedFigure"/>
      </w:pPr>
      <w:r>
        <w:drawing>
          <wp:inline>
            <wp:extent cx="4620126" cy="3696101"/>
            <wp:effectExtent b="0" l="0" r="0" t="0"/>
            <wp:docPr descr="Figure 5.2: Extrapolation of the rank-abundance curve built from the Guyadiv plots." title="" id="1" name="Picture"/>
            <a:graphic>
              <a:graphicData uri="http://schemas.openxmlformats.org/drawingml/2006/picture">
                <pic:pic>
                  <pic:nvPicPr>
                    <pic:cNvPr descr="GF-Richness_files/figure-docx/logserie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 Extrapolation of the rank-abundance curve built from the Guyadiv plots.</w:t>
      </w:r>
    </w:p>
    <w:p>
      <w:pPr>
        <w:pStyle w:val="BodyText"/>
      </w:pPr>
    </w:p>
    <w:p>
      <w:pPr>
        <w:pStyle w:val="BodyText"/>
      </w:pPr>
      <w:r>
        <w:t xml:space="preserve">The estimated number of species according to this model is 3951.</w:t>
      </w:r>
      <w:r>
        <w:t xml:space="preserve"> </w:t>
      </w:r>
      <w:r>
        <w:t xml:space="preserve">This is undoubtedly a severe overestimation, see the discussion section of the paper.</w:t>
      </w:r>
    </w:p>
    <w:bookmarkEnd w:id="27"/>
    <w:bookmarkStart w:id="29" w:name="hyperdominance"/>
    <w:p>
      <w:pPr>
        <w:pStyle w:val="Heading2"/>
      </w:pPr>
      <w:r>
        <w:rPr>
          <w:rStyle w:val="SectionNumber"/>
        </w:rPr>
        <w:t xml:space="preserve">5.3</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5.3</w:t>
      </w:r>
      <w:r>
        <w:t xml:space="preserve"> </w:t>
      </w:r>
      <w:r>
        <w:t xml:space="preserve">shows the accumulation of individuals from the most adundant to the rarest species.</w:t>
      </w:r>
    </w:p>
    <w:p>
      <w:pPr>
        <w:pStyle w:val="BodyText"/>
      </w:pPr>
    </w:p>
    <w:p>
      <w:pPr>
        <w:pStyle w:val="CaptionedFigure"/>
      </w:pPr>
      <w:r>
        <w:drawing>
          <wp:inline>
            <wp:extent cx="4620126" cy="3696101"/>
            <wp:effectExtent b="0" l="0" r="0" t="0"/>
            <wp:docPr descr="Figure 5.3: Accumulation of the number of individuals from the most abundant to the rarest species. The horizontal line corresponds to half the individuals. The vertical lines allows reading the corresponding rank of the species." title="" id="1" name="Picture"/>
            <a:graphic>
              <a:graphicData uri="http://schemas.openxmlformats.org/drawingml/2006/picture">
                <pic:pic>
                  <pic:nvPicPr>
                    <pic:cNvPr descr="GF-Richness_files/figure-docx/hyperdominanc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Accumulation of the number of individuals from the most abundant to the rarest species. The horizontal line corresponds to half the individuals. The vertical lines allows reading the corresponding rank of the species.</w:t>
      </w:r>
    </w:p>
    <w:p>
      <w:pPr>
        <w:pStyle w:val="BodyText"/>
      </w:pPr>
      <w:r>
        <w:t xml:space="preserve"> </w:t>
      </w:r>
      <w:r>
        <w:t xml:space="preserve">110 species, i.e. 5% of their estimated number, contain half the number of trees.</w:t>
      </w:r>
    </w:p>
    <w:bookmarkEnd w:id="29"/>
    <w:bookmarkEnd w:id="30"/>
    <w:bookmarkStart w:id="53" w:name="references"/>
    <w:p>
      <w:pPr>
        <w:pStyle w:val="Heading1"/>
      </w:pPr>
      <w:r>
        <w:t xml:space="preserve">References</w:t>
      </w:r>
    </w:p>
    <w:bookmarkStart w:id="52" w:name="refs"/>
    <w:bookmarkStart w:id="32" w:name="ref-Arrhenius1921"/>
    <w:p>
      <w:pPr>
        <w:pStyle w:val="Bibliography"/>
      </w:pPr>
      <w:r>
        <w:t xml:space="preserve">Arrhenius, Olof. 1921.</w:t>
      </w:r>
      <w:r>
        <w:t xml:space="preserve"> </w:t>
      </w:r>
      <w:r>
        <w:t xml:space="preserve">“Species and Area.”</w:t>
      </w:r>
      <w:r>
        <w:t xml:space="preserve"> </w:t>
      </w:r>
      <w:r>
        <w:rPr>
          <w:iCs/>
          <w:i/>
        </w:rPr>
        <w:t xml:space="preserve">Journal of Ecology</w:t>
      </w:r>
      <w:r>
        <w:t xml:space="preserve"> </w:t>
      </w:r>
      <w:r>
        <w:t xml:space="preserve">9 (1): 95–99.</w:t>
      </w:r>
      <w:r>
        <w:t xml:space="preserve"> </w:t>
      </w:r>
      <w:hyperlink r:id="rId31">
        <w:r>
          <w:rPr>
            <w:rStyle w:val="Hyperlink"/>
          </w:rPr>
          <w:t xml:space="preserve">https://doi.org/10.2307/2255763</w:t>
        </w:r>
      </w:hyperlink>
      <w:r>
        <w:t xml:space="preserve">.</w:t>
      </w:r>
    </w:p>
    <w:bookmarkEnd w:id="32"/>
    <w:bookmarkStart w:id="34" w:name="ref-GarciaMartin2006"/>
    <w:p>
      <w:pPr>
        <w:pStyle w:val="Bibliography"/>
      </w:pPr>
      <w:r>
        <w:t xml:space="preserve">Gárcia Martín, Héctor, and Nigel Goldenfeld. 2006.</w:t>
      </w:r>
      <w:r>
        <w:t xml:space="preserve"> </w:t>
      </w:r>
      <w:r>
        <w:t xml:space="preserve">“On the Origin and Robustness of Power-Law Species-Area Relationships in Ecology.”</w:t>
      </w:r>
      <w:r>
        <w:t xml:space="preserve"> </w:t>
      </w:r>
      <w:r>
        <w:rPr>
          <w:iCs/>
          <w:i/>
        </w:rPr>
        <w:t xml:space="preserve">Proceedings of the National Academy of Sciences of the United States of America</w:t>
      </w:r>
      <w:r>
        <w:t xml:space="preserve"> </w:t>
      </w:r>
      <w:r>
        <w:t xml:space="preserve">103 (27): 10310–15.</w:t>
      </w:r>
      <w:r>
        <w:t xml:space="preserve"> </w:t>
      </w:r>
      <w:hyperlink r:id="rId33">
        <w:r>
          <w:rPr>
            <w:rStyle w:val="Hyperlink"/>
          </w:rPr>
          <w:t xml:space="preserve">https://doi.org/10.1073/pnas.0510605103</w:t>
        </w:r>
      </w:hyperlink>
      <w:r>
        <w:t xml:space="preserve">.</w:t>
      </w:r>
    </w:p>
    <w:bookmarkEnd w:id="34"/>
    <w:bookmarkStart w:id="35" w:name="ref-Gourlet-Fleury2004"/>
    <w:p>
      <w:pPr>
        <w:pStyle w:val="Bibliography"/>
      </w:pPr>
      <w:r>
        <w:t xml:space="preserve">Gourlet-Fleury, Sylvie, Jean Marc Guehl, and Olivier Laroussinie.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w:t>
      </w:r>
      <w:r>
        <w:t xml:space="preserve"> </w:t>
      </w:r>
      <w:r>
        <w:t xml:space="preserve">Paris</w:t>
      </w:r>
      <w:r>
        <w:t xml:space="preserve">:</w:t>
      </w:r>
      <w:r>
        <w:t xml:space="preserve"> </w:t>
      </w:r>
      <w:r>
        <w:t xml:space="preserve">Elsevier</w:t>
      </w:r>
      <w:r>
        <w:t xml:space="preserve">.</w:t>
      </w:r>
    </w:p>
    <w:bookmarkEnd w:id="35"/>
    <w:bookmarkStart w:id="37" w:name="ref-Grilli2012"/>
    <w:p>
      <w:pPr>
        <w:pStyle w:val="Bibliography"/>
      </w:pPr>
      <w:r>
        <w:t xml:space="preserve">Grilli, Jacopo, Sandro Azaele, Jayanth R. Banavar, and Amos Maritan. 2012.</w:t>
      </w:r>
      <w:r>
        <w:t xml:space="preserve"> </w:t>
      </w:r>
      <w:r>
        <w:t xml:space="preserve">“Spatial Aggregation and the Species</w:t>
      </w:r>
      <w:r>
        <w:t xml:space="preserve">area Relationship Across Scales.”</w:t>
      </w:r>
      <w:r>
        <w:t xml:space="preserve"> </w:t>
      </w:r>
      <w:r>
        <w:rPr>
          <w:iCs/>
          <w:i/>
        </w:rPr>
        <w:t xml:space="preserve">Journal of Theoretical Biology</w:t>
      </w:r>
      <w:r>
        <w:t xml:space="preserve"> </w:t>
      </w:r>
      <w:r>
        <w:t xml:space="preserve">313 (0): 87–97.</w:t>
      </w:r>
      <w:r>
        <w:t xml:space="preserve"> </w:t>
      </w:r>
      <w:hyperlink r:id="rId36">
        <w:r>
          <w:rPr>
            <w:rStyle w:val="Hyperlink"/>
          </w:rPr>
          <w:t xml:space="preserve">https://doi.org/10.1016/j.jtbi.2012.07.030</w:t>
        </w:r>
      </w:hyperlink>
      <w:r>
        <w:t xml:space="preserve">.</w:t>
      </w:r>
    </w:p>
    <w:bookmarkEnd w:id="37"/>
    <w:bookmarkStart w:id="39" w:name="ref-Harte1999"/>
    <w:p>
      <w:pPr>
        <w:pStyle w:val="Bibliography"/>
      </w:pPr>
      <w:r>
        <w:t xml:space="preserve">Harte, John, Ann Kinzig, and Jessica Green. 1999.</w:t>
      </w:r>
      <w:r>
        <w:t xml:space="preserve"> </w:t>
      </w:r>
      <w:r>
        <w:t xml:space="preserve">“Self-Similarity in the Distribution and Abundance of Species.”</w:t>
      </w:r>
      <w:r>
        <w:t xml:space="preserve"> </w:t>
      </w:r>
      <w:r>
        <w:rPr>
          <w:iCs/>
          <w:i/>
        </w:rPr>
        <w:t xml:space="preserve">Science</w:t>
      </w:r>
      <w:r>
        <w:t xml:space="preserve"> </w:t>
      </w:r>
      <w:r>
        <w:t xml:space="preserve">284 (5412): 334–36.</w:t>
      </w:r>
      <w:r>
        <w:t xml:space="preserve"> </w:t>
      </w:r>
      <w:hyperlink r:id="rId38">
        <w:r>
          <w:rPr>
            <w:rStyle w:val="Hyperlink"/>
          </w:rPr>
          <w:t xml:space="preserve">https://doi.org/10.1126/science.284.5412.334</w:t>
        </w:r>
      </w:hyperlink>
      <w:r>
        <w:t xml:space="preserve">.</w:t>
      </w:r>
    </w:p>
    <w:bookmarkEnd w:id="39"/>
    <w:bookmarkStart w:id="41" w:name="ref-Harte1999a"/>
    <w:p>
      <w:pPr>
        <w:pStyle w:val="Bibliography"/>
      </w:pPr>
      <w:r>
        <w:t xml:space="preserve">Harte, John, Sarah Mccarthy, Kevin Taylor, Ann Kinzig, and Marc L. Fischer. 1999.</w:t>
      </w:r>
      <w:r>
        <w:t xml:space="preserve"> </w:t>
      </w:r>
      <w:r>
        <w:t xml:space="preserve">“Estimating Species-Area Relationships from Scale Plot to Landscape Data Using Species Spatial-Turnover.”</w:t>
      </w:r>
      <w:r>
        <w:t xml:space="preserve"> </w:t>
      </w:r>
      <w:r>
        <w:rPr>
          <w:iCs/>
          <w:i/>
        </w:rPr>
        <w:t xml:space="preserve">Oikos</w:t>
      </w:r>
      <w:r>
        <w:t xml:space="preserve"> </w:t>
      </w:r>
      <w:r>
        <w:t xml:space="preserve">86 (1): 45–54.</w:t>
      </w:r>
      <w:r>
        <w:t xml:space="preserve"> </w:t>
      </w:r>
      <w:hyperlink r:id="rId40">
        <w:r>
          <w:rPr>
            <w:rStyle w:val="Hyperlink"/>
          </w:rPr>
          <w:t xml:space="preserve">https://doi.org/10.2307/3546568</w:t>
        </w:r>
      </w:hyperlink>
      <w:r>
        <w:t xml:space="preserve">.</w:t>
      </w:r>
    </w:p>
    <w:bookmarkEnd w:id="41"/>
    <w:bookmarkStart w:id="43" w:name="ref-Krishnamani2004"/>
    <w:p>
      <w:pPr>
        <w:pStyle w:val="Bibliography"/>
      </w:pPr>
      <w:r>
        <w:t xml:space="preserve">Krishnamani, R., A. Kumar, and John Harte. 2004.</w:t>
      </w:r>
      <w:r>
        <w:t xml:space="preserve"> </w:t>
      </w:r>
      <w:r>
        <w:t xml:space="preserve">“Estimating Species Richness at Large Spatial Scales Using Data from Small Discrete Plots.”</w:t>
      </w:r>
      <w:r>
        <w:t xml:space="preserve"> </w:t>
      </w:r>
      <w:r>
        <w:rPr>
          <w:iCs/>
          <w:i/>
        </w:rPr>
        <w:t xml:space="preserve">Ecography</w:t>
      </w:r>
      <w:r>
        <w:t xml:space="preserve"> </w:t>
      </w:r>
      <w:r>
        <w:t xml:space="preserve">27 (5): 637–42.</w:t>
      </w:r>
      <w:r>
        <w:t xml:space="preserve"> </w:t>
      </w:r>
      <w:hyperlink r:id="rId42">
        <w:r>
          <w:rPr>
            <w:rStyle w:val="Hyperlink"/>
          </w:rPr>
          <w:t xml:space="preserve">https://doi.org/10.1111/j.0906-7590.2004.03790.x</w:t>
        </w:r>
      </w:hyperlink>
      <w:r>
        <w:t xml:space="preserve">.</w:t>
      </w:r>
    </w:p>
    <w:bookmarkEnd w:id="43"/>
    <w:bookmarkStart w:id="44" w:name="ref-R"/>
    <w:p>
      <w:pPr>
        <w:pStyle w:val="Bibliography"/>
      </w:pPr>
      <w:r>
        <w:t xml:space="preserve">R Core Team. 2022.</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w:t>
      </w:r>
      <w:r>
        <w:t xml:space="preserve"> </w:t>
      </w:r>
      <w:r>
        <w:t xml:space="preserve">Vienna, Austria</w:t>
      </w:r>
      <w:r>
        <w:t xml:space="preserve">:</w:t>
      </w:r>
      <w:r>
        <w:t xml:space="preserve"> </w:t>
      </w:r>
      <w:r>
        <w:t xml:space="preserve">R Foundation for Statistical Computing</w:t>
      </w:r>
      <w:r>
        <w:t xml:space="preserve">.</w:t>
      </w:r>
    </w:p>
    <w:bookmarkEnd w:id="44"/>
    <w:bookmarkStart w:id="46" w:name="ref-Slik2015"/>
    <w:p>
      <w:pPr>
        <w:pStyle w:val="Bibliography"/>
      </w:pPr>
      <w:r>
        <w:t xml:space="preserve">Slik, J. W. Ferry, Víctor Arroyo-Rodríguez, Shin-Ichiro Aiba, Patricia Alvarez-Loayza, Luciana F. Alves, Peter S. Ashton, Patricia Balvanera, et al. 2015.</w:t>
      </w:r>
      <w:r>
        <w:t xml:space="preserve"> </w:t>
      </w:r>
      <w:r>
        <w:t xml:space="preserve">“An Estimate of the Number of Tropical Tree Species.”</w:t>
      </w:r>
      <w:r>
        <w:t xml:space="preserve"> </w:t>
      </w:r>
      <w:r>
        <w:rPr>
          <w:iCs/>
          <w:i/>
        </w:rPr>
        <w:t xml:space="preserve">Proceedings of the National Academy of Sciences of the United States of America</w:t>
      </w:r>
      <w:r>
        <w:t xml:space="preserve"> </w:t>
      </w:r>
      <w:r>
        <w:t xml:space="preserve">112 (24): 7472–77.</w:t>
      </w:r>
      <w:r>
        <w:t xml:space="preserve"> </w:t>
      </w:r>
      <w:hyperlink r:id="rId45">
        <w:r>
          <w:rPr>
            <w:rStyle w:val="Hyperlink"/>
          </w:rPr>
          <w:t xml:space="preserve">https://doi.org/10.1073/pnas.1423147112</w:t>
        </w:r>
      </w:hyperlink>
      <w:r>
        <w:t xml:space="preserve">.</w:t>
      </w:r>
    </w:p>
    <w:bookmarkEnd w:id="46"/>
    <w:bookmarkStart w:id="47" w:name="ref-Sorensen1948"/>
    <w:p>
      <w:pPr>
        <w:pStyle w:val="Bibliography"/>
      </w:pPr>
      <w:r>
        <w:t xml:space="preserve">Sørensen, T. 1948.</w:t>
      </w:r>
      <w:r>
        <w:t xml:space="preserve"> </w:t>
      </w:r>
      <w:r>
        <w:t xml:space="preserve">“A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 Biologiske skrifter, 5 (4): 1–34.</w:t>
      </w:r>
    </w:p>
    <w:bookmarkEnd w:id="47"/>
    <w:bookmarkStart w:id="49" w:name="ref-TerSteege2013"/>
    <w:p>
      <w:pPr>
        <w:pStyle w:val="Bibliography"/>
      </w:pPr>
      <w:r>
        <w:t xml:space="preserve">ter Steege, Hans, Nigel C. A. Pitman, Daniel Sabatier, Christopher Baraloto, Rafael P. Salomão, Juan Ernesto Guevara, Oliver L. Phillips, et al. 2013.</w:t>
      </w:r>
      <w:r>
        <w:t xml:space="preserve"> </w:t>
      </w:r>
      <w:r>
        <w:t xml:space="preserve">“Hyperdominance in the Amazonian Tree Flora.”</w:t>
      </w:r>
      <w:r>
        <w:t xml:space="preserve"> </w:t>
      </w:r>
      <w:r>
        <w:rPr>
          <w:iCs/>
          <w:i/>
        </w:rPr>
        <w:t xml:space="preserve">Science</w:t>
      </w:r>
      <w:r>
        <w:t xml:space="preserve"> </w:t>
      </w:r>
      <w:r>
        <w:t xml:space="preserve">342 (6156): 1243092.</w:t>
      </w:r>
      <w:r>
        <w:t xml:space="preserve"> </w:t>
      </w:r>
      <w:hyperlink r:id="rId48">
        <w:r>
          <w:rPr>
            <w:rStyle w:val="Hyperlink"/>
          </w:rPr>
          <w:t xml:space="preserve">https://doi.org/10.1126/science.1243092</w:t>
        </w:r>
      </w:hyperlink>
      <w:r>
        <w:t xml:space="preserve">.</w:t>
      </w:r>
    </w:p>
    <w:bookmarkEnd w:id="49"/>
    <w:bookmarkStart w:id="51" w:name="ref-TerSteege2020"/>
    <w:p>
      <w:pPr>
        <w:pStyle w:val="Bibliography"/>
      </w:pPr>
      <w:r>
        <w:t xml:space="preserve">ter Steege, Hans, Paulo I. Prado, Renato A. F. de Lima, Edwin Pos, Luiz de Souza Coelho, Diogenes de Andrade Lima Filho, Rafael P. Salomão, et al. 2020.</w:t>
      </w:r>
      <w:r>
        <w:t xml:space="preserve"> </w:t>
      </w:r>
      <w:r>
        <w:t xml:space="preserve">“Biased-Corrected Richness Estimates for the</w:t>
      </w:r>
      <w:r>
        <w:t xml:space="preserve"> </w:t>
      </w:r>
      <w:r>
        <w:t xml:space="preserve">Amazonian</w:t>
      </w:r>
      <w:r>
        <w:t xml:space="preserve"> </w:t>
      </w:r>
      <w:r>
        <w:t xml:space="preserve">Tree Flora.”</w:t>
      </w:r>
      <w:r>
        <w:t xml:space="preserve"> </w:t>
      </w:r>
      <w:r>
        <w:rPr>
          <w:iCs/>
          <w:i/>
        </w:rPr>
        <w:t xml:space="preserve">Scientific Reports</w:t>
      </w:r>
      <w:r>
        <w:t xml:space="preserve"> </w:t>
      </w:r>
      <w:r>
        <w:t xml:space="preserve">10 (1): 10130.</w:t>
      </w:r>
      <w:r>
        <w:t xml:space="preserve"> </w:t>
      </w:r>
      <w:hyperlink r:id="rId50">
        <w:r>
          <w:rPr>
            <w:rStyle w:val="Hyperlink"/>
          </w:rPr>
          <w:t xml:space="preserve">https://doi.org/10.1038/s41598-020-66686-3</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hyperlink" Id="rId36" Target="https://doi.org/10.1016/j.jtbi.2012.07.030" TargetMode="External" /><Relationship Type="http://schemas.openxmlformats.org/officeDocument/2006/relationships/hyperlink" Id="rId50" Target="https://doi.org/10.1038/s41598-020-66686-3" TargetMode="External" /><Relationship Type="http://schemas.openxmlformats.org/officeDocument/2006/relationships/hyperlink" Id="rId33" Target="https://doi.org/10.1073/pnas.0510605103" TargetMode="External" /><Relationship Type="http://schemas.openxmlformats.org/officeDocument/2006/relationships/hyperlink" Id="rId45" Target="https://doi.org/10.1073/pnas.1423147112" TargetMode="External" /><Relationship Type="http://schemas.openxmlformats.org/officeDocument/2006/relationships/hyperlink" Id="rId42" Target="https://doi.org/10.1111/j.0906-7590.2004.03790.x" TargetMode="External" /><Relationship Type="http://schemas.openxmlformats.org/officeDocument/2006/relationships/hyperlink" Id="rId48" Target="https://doi.org/10.1126/science.1243092" TargetMode="External" /><Relationship Type="http://schemas.openxmlformats.org/officeDocument/2006/relationships/hyperlink" Id="rId38" Target="https://doi.org/10.1126/science.284.5412.334" TargetMode="External" /><Relationship Type="http://schemas.openxmlformats.org/officeDocument/2006/relationships/hyperlink" Id="rId31" Target="https://doi.org/10.2307/2255763" TargetMode="External" /><Relationship Type="http://schemas.openxmlformats.org/officeDocument/2006/relationships/hyperlink" Id="rId40" Target="https://doi.org/10.2307/3546568" TargetMode="External" /></Relationships>
</file>

<file path=word/_rels/footnotes.xml.rels><?xml version="1.0" encoding="UTF-8"?><Relationships xmlns="http://schemas.openxmlformats.org/package/2006/relationships"><Relationship Type="http://schemas.openxmlformats.org/officeDocument/2006/relationships/hyperlink" Id="rId36" Target="https://doi.org/10.1016/j.jtbi.2012.07.030" TargetMode="External" /><Relationship Type="http://schemas.openxmlformats.org/officeDocument/2006/relationships/hyperlink" Id="rId50" Target="https://doi.org/10.1038/s41598-020-66686-3" TargetMode="External" /><Relationship Type="http://schemas.openxmlformats.org/officeDocument/2006/relationships/hyperlink" Id="rId33" Target="https://doi.org/10.1073/pnas.0510605103" TargetMode="External" /><Relationship Type="http://schemas.openxmlformats.org/officeDocument/2006/relationships/hyperlink" Id="rId45" Target="https://doi.org/10.1073/pnas.1423147112" TargetMode="External" /><Relationship Type="http://schemas.openxmlformats.org/officeDocument/2006/relationships/hyperlink" Id="rId42" Target="https://doi.org/10.1111/j.0906-7590.2004.03790.x" TargetMode="External" /><Relationship Type="http://schemas.openxmlformats.org/officeDocument/2006/relationships/hyperlink" Id="rId48" Target="https://doi.org/10.1126/science.1243092" TargetMode="External" /><Relationship Type="http://schemas.openxmlformats.org/officeDocument/2006/relationships/hyperlink" Id="rId38" Target="https://doi.org/10.1126/science.284.5412.334" TargetMode="External" /><Relationship Type="http://schemas.openxmlformats.org/officeDocument/2006/relationships/hyperlink" Id="rId31" Target="https://doi.org/10.2307/2255763" TargetMode="External" /><Relationship Type="http://schemas.openxmlformats.org/officeDocument/2006/relationships/hyperlink" Id="rId40" Target="https://doi.org/10.2307/35465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keyword1, keyword2, etc</cp:keywords>
  <dcterms:created xsi:type="dcterms:W3CDTF">2022-01-13T11:14:36Z</dcterms:created>
  <dcterms:modified xsi:type="dcterms:W3CDTF">2022-01-13T11:14:36Z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Guyadiv is a network of forest plots installed over the whole territory of French Guiana, where trees over 10 cm DBH are identified. We use its information (1180 species censused in 76 one-hectare plots) to estimate the exponent of the species-area relationship, assuming Arrhenius’s power law. We can then extrapolate the number of species from a local, wide inventory (62.5 ha in Paracou research station). We evaluate the number of tree species around 2000 over the territory.</vt:lpwstr>
  </property>
  <property fmtid="{D5CDD505-2E9C-101B-9397-08002B2CF9AE}" pid="3" name="affiliation">
    <vt:lpwstr/>
  </property>
  <property fmtid="{D5CDD505-2E9C-101B-9397-08002B2CF9AE}" pid="4" name="always_allow_html">
    <vt:lpwstr>yes</vt:lpwstr>
  </property>
  <property fmtid="{D5CDD505-2E9C-101B-9397-08002B2CF9AE}" pid="5" name="archive">
    <vt:lpwstr>DOI: xxx/xx</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date">
    <vt:lpwstr>13 January 2022</vt:lpwstr>
  </property>
  <property fmtid="{D5CDD505-2E9C-101B-9397-08002B2CF9AE}" pid="10" name="github-repo">
    <vt:lpwstr>GitHubID/Repository</vt:lpwstr>
  </property>
  <property fmtid="{D5CDD505-2E9C-101B-9397-08002B2CF9AE}" pid="11" name="journalinfo">
    <vt:lpwstr>Publication reference</vt:lpwstr>
  </property>
  <property fmtid="{D5CDD505-2E9C-101B-9397-08002B2CF9AE}" pid="12" name="output">
    <vt:lpwstr/>
  </property>
  <property fmtid="{D5CDD505-2E9C-101B-9397-08002B2CF9AE}" pid="13" name="pdftoc">
    <vt:lpwstr>False</vt:lpwstr>
  </property>
  <property fmtid="{D5CDD505-2E9C-101B-9397-08002B2CF9AE}" pid="14" name="preamble">
    <vt:lpwstr/>
  </property>
  <property fmtid="{D5CDD505-2E9C-101B-9397-08002B2CF9AE}" pid="15" name="toc-depth">
    <vt:lpwstr>3</vt:lpwstr>
  </property>
  <property fmtid="{D5CDD505-2E9C-101B-9397-08002B2CF9AE}" pid="16" name="url">
    <vt:lpwstr>https://GitHubID.github.io/Repository/</vt:lpwstr>
  </property>
</Properties>
</file>