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19</w:t>
      </w:r>
      <w:r>
        <w:t xml:space="preserve"> </w:t>
      </w:r>
      <w:r>
        <w:t xml:space="preserve">May</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 Smith, and Storch 2009)</w:t>
      </w:r>
      <w:r>
        <w:t xml:space="preserve"> </w:t>
      </w:r>
      <w:r>
        <w:t xml:space="preserve">and the grid-aggregated occurrence-based estimation by</w:t>
      </w:r>
      <w:r>
        <w:t xml:space="preserve"> </w:t>
      </w:r>
      <w:r>
        <w:t xml:space="preserve">Cazzolla Gatti et al. (2022)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w:t>
      </w:r>
      <w:r>
        <w:t xml:space="preserve"> </w:t>
      </w:r>
      <w:r>
        <w:t xml:space="preserve">5.3</w:t>
      </w:r>
      <w:r>
        <w:t xml:space="preserve">.</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Cazzolla Gatti et al. (2022)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w:t>
      </w:r>
      <w:r>
        <w:t xml:space="preserve"> </w:t>
      </w:r>
      <w:r>
        <w:t xml:space="preserve">5.3</w:t>
      </w:r>
      <w:r>
        <w:t xml:space="preserve">),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5.4</w:t>
      </w:r>
      <w:r>
        <w:t xml:space="preserve">.</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w:t>
      </w:r>
      <w:r>
        <w:t xml:space="preserve"> </w:t>
      </w:r>
      <w:r>
        <w:t xml:space="preserve">5.5</w:t>
      </w:r>
      <w:r>
        <w:t xml:space="preserve">), compared to 1.4% in Amazonia as a whole</w:t>
      </w:r>
      <w:r>
        <w:t xml:space="preserve"> </w:t>
      </w:r>
      <w:r>
        <w:t xml:space="preserve">(ter Steege et al. 2013)</w:t>
      </w:r>
      <w:r>
        <w:t xml:space="preserve">.</w:t>
      </w:r>
    </w:p>
    <w:p>
      <w:pPr>
        <w:pStyle w:val="Corpsdetexte"/>
      </w:pPr>
      <w:r>
        <w:t xml:space="preserve">Harte et al. (2008)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 Smith, and Storch 2009; Xu et al. 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w:t>
      </w:r>
      <w:r>
        <w:t xml:space="preserve"> </w:t>
      </w:r>
      <w:r>
        <w:t xml:space="preserve">5.6</w:t>
      </w:r>
      <w:r>
        <w:t xml:space="preserve">).</w:t>
      </w:r>
      <w:r>
        <w:t xml:space="preserve"> </w:t>
      </w:r>
      <w:r>
        <w:t xml:space="preserve">Again, this model implies a log-series distribution as it integrates as few assumptions as possible</w:t>
      </w:r>
      <w:r>
        <w:t xml:space="preserve"> </w:t>
      </w:r>
      <w:r>
        <w:t xml:space="preserve">(Harte et al. 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5"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p>
    <w:p>
      <w:pPr>
        <w:pStyle w:val="Corpsdetexte"/>
      </w:pPr>
    </w:p>
    <w:p>
      <w:pPr>
        <w:pStyle w:val="Corpsdetexte"/>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 et al. (2022)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is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34"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 Smith, and Storch (2009)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the geometric mean is applied: its logarithm equals the average logarithm of the number of trees in all 1-ha plots.</w:t>
      </w:r>
      <w:r>
        <w:t xml:space="preserve"> </w:t>
      </w:r>
      <w:r>
        <w:t xml:space="preserve">We retain 602 trees/ha.</w:t>
      </w:r>
    </w:p>
    <w:p>
      <w:pPr>
        <w:pStyle w:val="Corpsdetexte"/>
      </w:pPr>
      <w:r>
        <w:t xml:space="preserve">Initial inventories, e.g. 740 trees in 484 ha in Paracou (see the Methods section) and the geometric-mean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The curves are almost perfectly fitted by a Michaelis-Menten model, estimated by the linear model</w:t>
      </w:r>
      <w:r>
        <w:t xml:space="preserve"> </w:t>
      </w:r>
      <w:r>
        <w:t xml:space="preserve">(Lineweaver and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then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End w:id="34"/>
    <w:bookmarkEnd w:id="35"/>
    <w:bookmarkStart w:id="109" w:name="references"/>
    <w:p>
      <w:pPr>
        <w:pStyle w:val="Titre1"/>
      </w:pPr>
      <w:r>
        <w:t xml:space="preserve">References</w:t>
      </w:r>
    </w:p>
    <w:bookmarkStart w:id="108" w:name="refs"/>
    <w:bookmarkStart w:id="37"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Lienhypertexte"/>
          </w:rPr>
          <w:t xml:space="preserve">https://doi.org/10.2307/2255763</w:t>
        </w:r>
      </w:hyperlink>
      <w:r>
        <w:t xml:space="preserve">.</w:t>
      </w:r>
    </w:p>
    <w:bookmarkEnd w:id="37"/>
    <w:bookmarkStart w:id="39"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8">
        <w:r>
          <w:rPr>
            <w:rStyle w:val="Lienhypertexte"/>
          </w:rPr>
          <w:t xml:space="preserve">https://doi.org/10.9734/ARRB/2015/22351</w:t>
        </w:r>
      </w:hyperlink>
      <w:r>
        <w:t xml:space="preserve">.</w:t>
      </w:r>
    </w:p>
    <w:bookmarkEnd w:id="39"/>
    <w:bookmarkStart w:id="41"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40">
        <w:r>
          <w:rPr>
            <w:rStyle w:val="Lienhypertexte"/>
          </w:rPr>
          <w:t xml:space="preserve">https://doi.org/10.1111/j.1365-2486.2008.01610.x</w:t>
        </w:r>
      </w:hyperlink>
      <w:r>
        <w:t xml:space="preserve">.</w:t>
      </w:r>
    </w:p>
    <w:bookmarkEnd w:id="41"/>
    <w:bookmarkStart w:id="42"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2"/>
    <w:bookmarkStart w:id="44"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3">
        <w:r>
          <w:rPr>
            <w:rStyle w:val="Lienhypertexte"/>
          </w:rPr>
          <w:t xml:space="preserve">https://doi.org/10.2307/2335915</w:t>
        </w:r>
      </w:hyperlink>
      <w:r>
        <w:t xml:space="preserve">.</w:t>
      </w:r>
    </w:p>
    <w:bookmarkEnd w:id="44"/>
    <w:bookmarkStart w:id="46" w:name="ref-CazzollaGatti2022"/>
    <w:p>
      <w:pPr>
        <w:pStyle w:val="Bibliographie"/>
      </w:pPr>
      <w:r>
        <w:t xml:space="preserve">Cazzolla Gatti, Roberto, Peter B. Reich, Javier G. P. Gamarra, Tom Crowther, Cang Hui, Albert Morera, Jean-Francois Bastin, et al. 2022.</w:t>
      </w:r>
      <w:r>
        <w:t xml:space="preserve"> </w:t>
      </w:r>
      <w:r>
        <w:t xml:space="preserve">“The Number of Tree Species on</w:t>
      </w:r>
      <w:r>
        <w:t xml:space="preserve"> </w:t>
      </w:r>
      <w:r>
        <w:t xml:space="preserve">Earth</w:t>
      </w:r>
      <w:r>
        <w:t xml:space="preserve">.”</w:t>
      </w:r>
      <w:r>
        <w:t xml:space="preserve"> </w:t>
      </w:r>
      <w:r>
        <w:rPr>
          <w:iCs/>
          <w:i/>
        </w:rPr>
        <w:t xml:space="preserve">Proceedings of the National Academy of Sciences</w:t>
      </w:r>
      <w:r>
        <w:t xml:space="preserve"> </w:t>
      </w:r>
      <w:r>
        <w:t xml:space="preserve">119 (6): e2115329119.</w:t>
      </w:r>
      <w:r>
        <w:t xml:space="preserve"> </w:t>
      </w:r>
      <w:hyperlink r:id="rId45">
        <w:r>
          <w:rPr>
            <w:rStyle w:val="Lienhypertexte"/>
          </w:rPr>
          <w:t xml:space="preserve">https://doi.org/10.1073/pnas.2115329119</w:t>
        </w:r>
      </w:hyperlink>
      <w:r>
        <w:t xml:space="preserve">.</w:t>
      </w:r>
    </w:p>
    <w:bookmarkEnd w:id="46"/>
    <w:bookmarkStart w:id="48" w:name="ref-Chao1987"/>
    <w:p>
      <w:pPr>
        <w:pStyle w:val="Bibliographie"/>
      </w:pPr>
      <w:r>
        <w:t xml:space="preserve">Chao, Anne. 1987.</w:t>
      </w:r>
      <w:r>
        <w:t xml:space="preserve"> </w:t>
      </w:r>
      <w:r>
        <w:t xml:space="preserve">“Estimating the Population Size for Capture-Recapture Data with Unequal Catchability.”</w:t>
      </w:r>
      <w:r>
        <w:t xml:space="preserve"> </w:t>
      </w:r>
      <w:r>
        <w:rPr>
          <w:iCs/>
          <w:i/>
        </w:rPr>
        <w:t xml:space="preserve">Biometrics</w:t>
      </w:r>
      <w:r>
        <w:t xml:space="preserve"> </w:t>
      </w:r>
      <w:r>
        <w:t xml:space="preserve">43 (4): 783–91.</w:t>
      </w:r>
      <w:r>
        <w:t xml:space="preserve"> </w:t>
      </w:r>
      <w:hyperlink r:id="rId47">
        <w:r>
          <w:rPr>
            <w:rStyle w:val="Lienhypertexte"/>
          </w:rPr>
          <w:t xml:space="preserve">https://doi.org/10.2307/2531532</w:t>
        </w:r>
      </w:hyperlink>
      <w:r>
        <w:t xml:space="preserve">.</w:t>
      </w:r>
    </w:p>
    <w:bookmarkEnd w:id="48"/>
    <w:bookmarkStart w:id="49" w:name="ref-Chao2004"/>
    <w:p>
      <w:pPr>
        <w:pStyle w:val="Bibliographie"/>
      </w:pPr>
      <w:r>
        <w:t xml:space="preserv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9"/>
    <w:bookmarkStart w:id="51"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50">
        <w:r>
          <w:rPr>
            <w:rStyle w:val="Lienhypertexte"/>
          </w:rPr>
          <w:t xml:space="preserve">https://doi.org/10.1111/2041-210X.12349</w:t>
        </w:r>
      </w:hyperlink>
      <w:r>
        <w:t xml:space="preserve">.</w:t>
      </w:r>
    </w:p>
    <w:bookmarkEnd w:id="51"/>
    <w:bookmarkStart w:id="52"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52"/>
    <w:bookmarkStart w:id="54"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53">
        <w:r>
          <w:rPr>
            <w:rStyle w:val="Lienhypertexte"/>
          </w:rPr>
          <w:t xml:space="preserve">https://doi.org/10.1073/pnas.0510605103</w:t>
        </w:r>
      </w:hyperlink>
      <w:r>
        <w:t xml:space="preserve">.</w:t>
      </w:r>
    </w:p>
    <w:bookmarkEnd w:id="54"/>
    <w:bookmarkStart w:id="55" w:name="ref-Gonzalez2022"/>
    <w:p>
      <w:pPr>
        <w:pStyle w:val="Bibliographie"/>
      </w:pPr>
      <w:r>
        <w:t xml:space="preserve">Gonzalez, Sophie, Véronique Bilot-Guérin, Piero G. Delprete, C. Geniez, Jean-François Molino, Jean-Louis Smock, and et al.,.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55"/>
    <w:bookmarkStart w:id="57"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6">
        <w:r>
          <w:rPr>
            <w:rStyle w:val="Lienhypertexte"/>
          </w:rPr>
          <w:t xml:space="preserve">https://doi.org/10.1093/biomet/40.3-4.237</w:t>
        </w:r>
      </w:hyperlink>
      <w:r>
        <w:t xml:space="preserve">.</w:t>
      </w:r>
    </w:p>
    <w:bookmarkEnd w:id="57"/>
    <w:bookmarkStart w:id="59"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8">
        <w:r>
          <w:rPr>
            <w:rStyle w:val="Lienhypertexte"/>
          </w:rPr>
          <w:t xml:space="preserve">https://doi.org/10.1046/j.1461-0248.2001.00230.x</w:t>
        </w:r>
      </w:hyperlink>
      <w:r>
        <w:t xml:space="preserve">.</w:t>
      </w:r>
    </w:p>
    <w:bookmarkEnd w:id="59"/>
    <w:bookmarkStart w:id="60"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60"/>
    <w:bookmarkStart w:id="62"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61">
        <w:r>
          <w:rPr>
            <w:rStyle w:val="Lienhypertexte"/>
          </w:rPr>
          <w:t xml:space="preserve">https://doi.org/10.1016/j.jtbi.2012.07.030</w:t>
        </w:r>
      </w:hyperlink>
      <w:r>
        <w:t xml:space="preserve">.</w:t>
      </w:r>
    </w:p>
    <w:bookmarkEnd w:id="62"/>
    <w:bookmarkStart w:id="64"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63">
        <w:r>
          <w:rPr>
            <w:rStyle w:val="Lienhypertexte"/>
          </w:rPr>
          <w:t xml:space="preserve">https://doi.org/10.1007/s10531-014-0854-8</w:t>
        </w:r>
      </w:hyperlink>
      <w:r>
        <w:t xml:space="preserve">.</w:t>
      </w:r>
    </w:p>
    <w:bookmarkEnd w:id="64"/>
    <w:bookmarkStart w:id="66"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65">
        <w:r>
          <w:rPr>
            <w:rStyle w:val="Lienhypertexte"/>
          </w:rPr>
          <w:t xml:space="preserve">https://doi.org/10.1126/science.284.5412.334</w:t>
        </w:r>
      </w:hyperlink>
      <w:r>
        <w:t xml:space="preserve">.</w:t>
      </w:r>
    </w:p>
    <w:bookmarkEnd w:id="66"/>
    <w:bookmarkStart w:id="68"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7">
        <w:r>
          <w:rPr>
            <w:rStyle w:val="Lienhypertexte"/>
          </w:rPr>
          <w:t xml:space="preserve">https://doi.org/10.2307/3546568</w:t>
        </w:r>
      </w:hyperlink>
      <w:r>
        <w:t xml:space="preserve">.</w:t>
      </w:r>
    </w:p>
    <w:bookmarkEnd w:id="68"/>
    <w:bookmarkStart w:id="70" w:name="ref-Harte2009"/>
    <w:p>
      <w:pPr>
        <w:pStyle w:val="Bibliographie"/>
      </w:pPr>
      <w:r>
        <w:t xml:space="preserve">Harte, John, Adam B. Smith, and David Storch. 2009.</w:t>
      </w:r>
      <w:r>
        <w:t xml:space="preserve"> </w:t>
      </w:r>
      <w:r>
        <w:t xml:space="preserve">“Biodiversity Scales from Plots to Biomes with a Universal Species-Area Curve.”</w:t>
      </w:r>
      <w:r>
        <w:t xml:space="preserve"> </w:t>
      </w:r>
      <w:r>
        <w:rPr>
          <w:iCs/>
          <w:i/>
        </w:rPr>
        <w:t xml:space="preserve">Ecology Letters</w:t>
      </w:r>
      <w:r>
        <w:t xml:space="preserve"> </w:t>
      </w:r>
      <w:r>
        <w:t xml:space="preserve">12 (8): 789–97.</w:t>
      </w:r>
      <w:r>
        <w:t xml:space="preserve"> </w:t>
      </w:r>
      <w:hyperlink r:id="rId69">
        <w:r>
          <w:rPr>
            <w:rStyle w:val="Lienhypertexte"/>
          </w:rPr>
          <w:t xml:space="preserve">https://doi.org/10.1111/j.1461-0248.2009.01328.x</w:t>
        </w:r>
      </w:hyperlink>
      <w:r>
        <w:t xml:space="preserve">.</w:t>
      </w:r>
    </w:p>
    <w:bookmarkEnd w:id="70"/>
    <w:bookmarkStart w:id="72" w:name="ref-Harte2008"/>
    <w:p>
      <w:pPr>
        <w:pStyle w:val="Bibliographie"/>
      </w:pPr>
      <w:r>
        <w:t xml:space="preserve">Harte, John, Tommaso Zillio, Erin Conlisk, and Adam B. Smith. 2008.</w:t>
      </w:r>
      <w:r>
        <w:t xml:space="preserve"> </w:t>
      </w:r>
      <w:r>
        <w:t xml:space="preserve">“Maximum Entropy and the State-Variable Approach to Macroecology.”</w:t>
      </w:r>
      <w:r>
        <w:t xml:space="preserve"> </w:t>
      </w:r>
      <w:r>
        <w:rPr>
          <w:iCs/>
          <w:i/>
        </w:rPr>
        <w:t xml:space="preserve">Ecology</w:t>
      </w:r>
      <w:r>
        <w:t xml:space="preserve"> </w:t>
      </w:r>
      <w:r>
        <w:t xml:space="preserve">89 (10): 2700–2711.</w:t>
      </w:r>
      <w:r>
        <w:t xml:space="preserve"> </w:t>
      </w:r>
      <w:hyperlink r:id="rId71">
        <w:r>
          <w:rPr>
            <w:rStyle w:val="Lienhypertexte"/>
          </w:rPr>
          <w:t xml:space="preserve">https://doi.org/10.1890/07-1369.1</w:t>
        </w:r>
      </w:hyperlink>
      <w:r>
        <w:t xml:space="preserve">.</w:t>
      </w:r>
    </w:p>
    <w:bookmarkEnd w:id="72"/>
    <w:bookmarkStart w:id="7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3"/>
    <w:bookmarkStart w:id="7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74">
        <w:r>
          <w:rPr>
            <w:rStyle w:val="Lienhypertexte"/>
          </w:rPr>
          <w:t xml:space="preserve">https://doi.org/10.1111/j.0906-7590.2004.03790.x</w:t>
        </w:r>
      </w:hyperlink>
      <w:r>
        <w:t xml:space="preserve">.</w:t>
      </w:r>
    </w:p>
    <w:bookmarkEnd w:id="75"/>
    <w:bookmarkStart w:id="77" w:name="ref-Lineweaver1934"/>
    <w:p>
      <w:pPr>
        <w:pStyle w:val="Bibliographie"/>
      </w:pPr>
      <w:r>
        <w:t xml:space="preserve">Lineweaver, Hans, and Dean Burk. 1934.</w:t>
      </w:r>
      <w:r>
        <w:t xml:space="preserve"> </w:t>
      </w:r>
      <w:r>
        <w:t xml:space="preserve">“The Determination of Enzyme Dissociation Constants.”</w:t>
      </w:r>
      <w:r>
        <w:t xml:space="preserve"> </w:t>
      </w:r>
      <w:r>
        <w:rPr>
          <w:iCs/>
          <w:i/>
        </w:rPr>
        <w:t xml:space="preserve">Journal of the American Chemical Society</w:t>
      </w:r>
      <w:r>
        <w:t xml:space="preserve"> </w:t>
      </w:r>
      <w:r>
        <w:t xml:space="preserve">56 (3): 658–66.</w:t>
      </w:r>
      <w:r>
        <w:t xml:space="preserve"> </w:t>
      </w:r>
      <w:hyperlink r:id="rId76">
        <w:r>
          <w:rPr>
            <w:rStyle w:val="Lienhypertexte"/>
          </w:rPr>
          <w:t xml:space="preserve">https://doi.org/10.1021/ja01318a036</w:t>
        </w:r>
      </w:hyperlink>
      <w:r>
        <w:t xml:space="preserve">.</w:t>
      </w:r>
    </w:p>
    <w:bookmarkEnd w:id="77"/>
    <w:bookmarkStart w:id="78"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8"/>
    <w:bookmarkStart w:id="80"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79">
        <w:r>
          <w:rPr>
            <w:rStyle w:val="Lienhypertexte"/>
          </w:rPr>
          <w:t xml:space="preserve">https://doi.org/10.18637/jss.v067.i08</w:t>
        </w:r>
      </w:hyperlink>
      <w:r>
        <w:t xml:space="preserve">.</w:t>
      </w:r>
    </w:p>
    <w:bookmarkEnd w:id="80"/>
    <w:bookmarkStart w:id="82"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81">
        <w:r>
          <w:rPr>
            <w:rStyle w:val="Lienhypertexte"/>
          </w:rPr>
          <w:t xml:space="preserve">https://doi.org/10.1016/J.SCITOTENV.2020.137397</w:t>
        </w:r>
      </w:hyperlink>
      <w:r>
        <w:t xml:space="preserve">.</w:t>
      </w:r>
    </w:p>
    <w:bookmarkEnd w:id="82"/>
    <w:bookmarkStart w:id="84"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83">
        <w:r>
          <w:rPr>
            <w:rStyle w:val="Lienhypertexte"/>
          </w:rPr>
          <w:t xml:space="preserve">https://doi.org/10.1002/ece3.7634</w:t>
        </w:r>
      </w:hyperlink>
      <w:r>
        <w:t xml:space="preserve">.</w:t>
      </w:r>
    </w:p>
    <w:bookmarkEnd w:id="84"/>
    <w:bookmarkStart w:id="86"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85">
        <w:r>
          <w:rPr>
            <w:rStyle w:val="Lienhypertexte"/>
          </w:rPr>
          <w:t xml:space="preserve">https://doi.org/10.1126/science.1060284</w:t>
        </w:r>
      </w:hyperlink>
      <w:r>
        <w:t xml:space="preserve">.</w:t>
      </w:r>
    </w:p>
    <w:bookmarkEnd w:id="86"/>
    <w:bookmarkStart w:id="87"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87"/>
    <w:bookmarkStart w:id="89"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88">
        <w:r>
          <w:rPr>
            <w:rStyle w:val="Lienhypertexte"/>
          </w:rPr>
          <w:t xml:space="preserve">https://doi.org/10.2307/1931976</w:t>
        </w:r>
      </w:hyperlink>
      <w:r>
        <w:t xml:space="preserve">.</w:t>
      </w:r>
    </w:p>
    <w:bookmarkEnd w:id="89"/>
    <w:bookmarkStart w:id="90"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90"/>
    <w:bookmarkStart w:id="92"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91">
        <w:r>
          <w:rPr>
            <w:rStyle w:val="Lienhypertexte"/>
          </w:rPr>
          <w:t xml:space="preserve">https://doi.org/10.1890/0012-9658(2003)084[0798:PTNONS]2.0.CO;2</w:t>
        </w:r>
      </w:hyperlink>
      <w:r>
        <w:t xml:space="preserve">.</w:t>
      </w:r>
    </w:p>
    <w:bookmarkEnd w:id="92"/>
    <w:bookmarkStart w:id="94"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93">
        <w:r>
          <w:rPr>
            <w:rStyle w:val="Lienhypertexte"/>
          </w:rPr>
          <w:t xml:space="preserve">https://doi.org/10.1073/pnas.1423147112</w:t>
        </w:r>
      </w:hyperlink>
      <w:r>
        <w:t xml:space="preserve">.</w:t>
      </w:r>
    </w:p>
    <w:bookmarkEnd w:id="94"/>
    <w:bookmarkStart w:id="95"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95"/>
    <w:bookmarkStart w:id="97"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96">
        <w:r>
          <w:rPr>
            <w:rStyle w:val="Lienhypertexte"/>
          </w:rPr>
          <w:t xml:space="preserve">https://doi.org/10.1126/science.1243092</w:t>
        </w:r>
      </w:hyperlink>
      <w:r>
        <w:t xml:space="preserve">.</w:t>
      </w:r>
    </w:p>
    <w:bookmarkEnd w:id="97"/>
    <w:bookmarkStart w:id="99"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98">
        <w:r>
          <w:rPr>
            <w:rStyle w:val="Lienhypertexte"/>
          </w:rPr>
          <w:t xml:space="preserve">https://doi.org/10.1038/s41598-020-66686-3</w:t>
        </w:r>
      </w:hyperlink>
      <w:r>
        <w:t xml:space="preserve">.</w:t>
      </w:r>
    </w:p>
    <w:bookmarkEnd w:id="99"/>
    <w:bookmarkStart w:id="101"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100">
        <w:r>
          <w:rPr>
            <w:rStyle w:val="Lienhypertexte"/>
          </w:rPr>
          <w:t xml:space="preserve">https://doi.org/10.1111/j.1365-2699.2011.02652.x</w:t>
        </w:r>
      </w:hyperlink>
      <w:r>
        <w:t xml:space="preserve">.</w:t>
      </w:r>
    </w:p>
    <w:bookmarkEnd w:id="101"/>
    <w:bookmarkStart w:id="103"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102">
        <w:r>
          <w:rPr>
            <w:rStyle w:val="Lienhypertexte"/>
          </w:rPr>
          <w:t xml:space="preserve">https://doi.org/10.1038/nature01883</w:t>
        </w:r>
      </w:hyperlink>
      <w:r>
        <w:t xml:space="preserve">.</w:t>
      </w:r>
    </w:p>
    <w:bookmarkEnd w:id="103"/>
    <w:bookmarkStart w:id="105"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104">
        <w:r>
          <w:rPr>
            <w:rStyle w:val="Lienhypertexte"/>
          </w:rPr>
          <w:t xml:space="preserve">https://doi.org/10.1046/j.1365-2699.2001.00603.x</w:t>
        </w:r>
      </w:hyperlink>
      <w:r>
        <w:t xml:space="preserve">.</w:t>
      </w:r>
    </w:p>
    <w:bookmarkEnd w:id="105"/>
    <w:bookmarkStart w:id="107" w:name="ref-Xu2012"/>
    <w:p>
      <w:pPr>
        <w:pStyle w:val="Bibliographie"/>
      </w:pPr>
      <w:r>
        <w:t xml:space="preserve">Xu, Han, Shirong Liu, Yide Li, Runguo Zang, and Fangliang He. 2012.</w:t>
      </w:r>
      <w:r>
        <w:t xml:space="preserve"> </w:t>
      </w:r>
      <w:r>
        <w:t xml:space="preserve">“Assessing Non-Parametric and Area-Based Methods for Estimating Regional Species Richness.”</w:t>
      </w:r>
      <w:r>
        <w:t xml:space="preserve"> </w:t>
      </w:r>
      <w:r>
        <w:rPr>
          <w:iCs/>
          <w:i/>
        </w:rPr>
        <w:t xml:space="preserve">Journal of Vegetation Science</w:t>
      </w:r>
      <w:r>
        <w:t xml:space="preserve"> </w:t>
      </w:r>
      <w:r>
        <w:t xml:space="preserve">23 (6): 1006–12.</w:t>
      </w:r>
      <w:r>
        <w:t xml:space="preserve"> </w:t>
      </w:r>
      <w:hyperlink r:id="rId106">
        <w:r>
          <w:rPr>
            <w:rStyle w:val="Lienhypertexte"/>
          </w:rPr>
          <w:t xml:space="preserve">https://doi.org/10.1111/j.1654-1103.2012.01423.x</w:t>
        </w:r>
      </w:hyperlink>
      <w:r>
        <w:t xml:space="preserve">.</w:t>
      </w:r>
    </w:p>
    <w:bookmarkEnd w:id="107"/>
    <w:bookmarkEnd w:id="108"/>
    <w:bookmarkEnd w:id="109"/>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2022-05-19T11:51:20Z</dcterms:created>
  <dcterms:modified xsi:type="dcterms:W3CDTF">2022-05-19T11:51:20Z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19 May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19 May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