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2.png" ContentType="image/png"/>
  <Override PartName="/word/media/rId57.png" ContentType="image/png"/>
  <Override PartName="/word/media/rId3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2024</w:t>
      </w:r>
      <w:r>
        <w:t xml:space="preserve"> </w:t>
      </w:r>
      <w:r>
        <w:t xml:space="preserve">March</w:t>
      </w:r>
      <w:r>
        <w:t xml:space="preserve"> </w:t>
      </w:r>
      <w:r>
        <w:t xml:space="preserve">14</w:t>
      </w:r>
    </w:p>
    <w:p>
      <w:pPr>
        <w:pStyle w:val="AbstractTitle"/>
      </w:pPr>
      <w:r>
        <w:t xml:space="preserve">Abstract</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We</w:t>
      </w:r>
      <w:r>
        <w:t xml:space="preserve"> </w:t>
      </w:r>
      <w:r>
        <w:t xml:space="preserve">reviewed</w:t>
      </w:r>
      <w:r>
        <w:t xml:space="preserve"> </w:t>
      </w:r>
      <w:r>
        <w:t xml:space="preserve">the</w:t>
      </w:r>
      <w:r>
        <w:t xml:space="preserve"> </w:t>
      </w:r>
      <w:r>
        <w:t xml:space="preserve">methods</w:t>
      </w:r>
      <w:r>
        <w:t xml:space="preserve"> </w:t>
      </w:r>
      <w:r>
        <w:t xml:space="preserve">available,</w:t>
      </w:r>
      <w:r>
        <w:t xml:space="preserve"> </w:t>
      </w:r>
      <w:r>
        <w:t xml:space="preserve">which</w:t>
      </w:r>
      <w:r>
        <w:t xml:space="preserve"> </w:t>
      </w:r>
      <w:r>
        <w:t xml:space="preserve">are</w:t>
      </w:r>
      <w:r>
        <w:t xml:space="preserve"> </w:t>
      </w:r>
      <w:r>
        <w:t xml:space="preserve">nonparametric</w:t>
      </w:r>
      <w:r>
        <w:t xml:space="preserve"> </w:t>
      </w:r>
      <w:r>
        <w:t xml:space="preserve">estimators</w:t>
      </w:r>
      <w:r>
        <w:t xml:space="preserve"> </w:t>
      </w:r>
      <w:r>
        <w:t xml:space="preserve">based</w:t>
      </w:r>
      <w:r>
        <w:t xml:space="preserve"> </w:t>
      </w:r>
      <w:r>
        <w:t xml:space="preserve">on</w:t>
      </w:r>
      <w:r>
        <w:t xml:space="preserve"> </w:t>
      </w:r>
      <w:r>
        <w:t xml:space="preserve">abundance</w:t>
      </w:r>
      <w:r>
        <w:t xml:space="preserve"> </w:t>
      </w:r>
      <w:r>
        <w:t xml:space="preserve">or</w:t>
      </w:r>
      <w:r>
        <w:t xml:space="preserve"> </w:t>
      </w:r>
      <w:r>
        <w:t xml:space="preserve">incidence</w:t>
      </w:r>
      <w:r>
        <w:t xml:space="preserve"> </w:t>
      </w:r>
      <w:r>
        <w:t xml:space="preserve">data,</w:t>
      </w:r>
      <w:r>
        <w:t xml:space="preserve"> </w:t>
      </w:r>
      <w:r>
        <w:t xml:space="preserve">log-series</w:t>
      </w:r>
      <w:r>
        <w:t xml:space="preserve"> </w:t>
      </w:r>
      <w:r>
        <w:t xml:space="preserve">extrapolation</w:t>
      </w:r>
      <w:r>
        <w:t xml:space="preserve"> </w:t>
      </w:r>
      <w:r>
        <w:t xml:space="preserve">and</w:t>
      </w:r>
      <w:r>
        <w:t xml:space="preserve"> </w:t>
      </w:r>
      <w:r>
        <w:t xml:space="preserve">the</w:t>
      </w:r>
      <w:r>
        <w:t xml:space="preserve"> </w:t>
      </w:r>
      <w:r>
        <w:t xml:space="preserve">universal</w:t>
      </w:r>
      <w:r>
        <w:t xml:space="preserve"> </w:t>
      </w:r>
      <w:r>
        <w:t xml:space="preserve">species-area</w:t>
      </w:r>
      <w:r>
        <w:t xml:space="preserve"> </w:t>
      </w:r>
      <w:r>
        <w:t xml:space="preserve">relationship</w:t>
      </w:r>
      <w:r>
        <w:t xml:space="preserve"> </w:t>
      </w:r>
      <w:r>
        <w:t xml:space="preserve">based</w:t>
      </w:r>
      <w:r>
        <w:t xml:space="preserve"> </w:t>
      </w:r>
      <w:r>
        <w:t xml:space="preserve">on</w:t>
      </w:r>
      <w:r>
        <w:t xml:space="preserve"> </w:t>
      </w:r>
      <w:r>
        <w:t xml:space="preserve">maximum</w:t>
      </w:r>
      <w:r>
        <w:t xml:space="preserve"> </w:t>
      </w:r>
      <w:r>
        <w:t xml:space="preserve">entropy.</w:t>
      </w:r>
      <w:r>
        <w:t xml:space="preserve"> </w:t>
      </w:r>
      <w:r>
        <w:t xml:space="preserve">Appropriate</w:t>
      </w:r>
      <w:r>
        <w:t xml:space="preserve"> </w:t>
      </w:r>
      <w:r>
        <w:t xml:space="preserve">methods</w:t>
      </w:r>
      <w:r>
        <w:t xml:space="preserve"> </w:t>
      </w:r>
      <w:r>
        <w:t xml:space="preserve">depend</w:t>
      </w:r>
      <w:r>
        <w:t xml:space="preserve"> </w:t>
      </w:r>
      <w:r>
        <w:t xml:space="preserve">on</w:t>
      </w:r>
      <w:r>
        <w:t xml:space="preserve"> </w:t>
      </w:r>
      <w:r>
        <w:t xml:space="preserve">the</w:t>
      </w:r>
      <w:r>
        <w:t xml:space="preserve"> </w:t>
      </w:r>
      <w:r>
        <w:t xml:space="preserve">scale</w:t>
      </w:r>
      <w:r>
        <w:t xml:space="preserve"> </w:t>
      </w:r>
      <w:r>
        <w:t xml:space="preserve">considered.</w:t>
      </w:r>
      <w:r>
        <w:t xml:space="preserve"> </w:t>
      </w:r>
      <w:r>
        <w:t xml:space="preserve">Harte’s</w:t>
      </w:r>
      <w:r>
        <w:t xml:space="preserve"> </w:t>
      </w:r>
      <w:r>
        <w:t xml:space="preserve">self-similarity</w:t>
      </w:r>
      <w:r>
        <w:t xml:space="preserve"> </w:t>
      </w:r>
      <w:r>
        <w:t xml:space="preserve">model</w:t>
      </w:r>
      <w:r>
        <w:t xml:space="preserve"> </w:t>
      </w:r>
      <w:r>
        <w:t xml:space="preserve">is</w:t>
      </w:r>
      <w:r>
        <w:t xml:space="preserve"> </w:t>
      </w:r>
      <w:r>
        <w:t xml:space="preserve">suitable</w:t>
      </w:r>
      <w:r>
        <w:t xml:space="preserve"> </w:t>
      </w:r>
      <w:r>
        <w:t xml:space="preserve">at</w:t>
      </w:r>
      <w:r>
        <w:t xml:space="preserve"> </w:t>
      </w:r>
      <w:r>
        <w:t xml:space="preserve">the</w:t>
      </w:r>
      <w:r>
        <w:t xml:space="preserve"> </w:t>
      </w:r>
      <w:r>
        <w:t xml:space="preserve">regional</w:t>
      </w:r>
      <w:r>
        <w:t xml:space="preserve"> </w:t>
      </w:r>
      <w:r>
        <w:t xml:space="preserve">scale,</w:t>
      </w:r>
      <w:r>
        <w:t xml:space="preserve"> </w:t>
      </w:r>
      <w:r>
        <w:t xml:space="preserve">while</w:t>
      </w:r>
      <w:r>
        <w:t xml:space="preserve"> </w:t>
      </w:r>
      <w:r>
        <w:t xml:space="preserve">the</w:t>
      </w:r>
      <w:r>
        <w:t xml:space="preserve"> </w:t>
      </w:r>
      <w:r>
        <w:t xml:space="preserve">log-series</w:t>
      </w:r>
      <w:r>
        <w:t xml:space="preserve"> </w:t>
      </w:r>
      <w:r>
        <w:t xml:space="preserve">extrapolation</w:t>
      </w:r>
      <w:r>
        <w:t xml:space="preserve"> </w:t>
      </w:r>
      <w:r>
        <w:t xml:space="preserve">is</w:t>
      </w:r>
      <w:r>
        <w:t xml:space="preserve"> </w:t>
      </w:r>
      <w:r>
        <w:t xml:space="preserve">not.</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used</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could</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evaluated</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(ForestPlots.net</w:t>
      </w:r>
      <w:r>
        <w:t xml:space="preserve"> </w:t>
      </w:r>
      <w:r>
        <w:rPr>
          <w:iCs/>
          <w:i/>
        </w:rPr>
        <w:t xml:space="preserve">et al.</w:t>
      </w:r>
      <w:r>
        <w:t xml:space="preserve"> </w:t>
      </w:r>
      <w:r>
        <w:t xml:space="preserve">2021)</w:t>
      </w:r>
      <w:r>
        <w:t xml:space="preserve"> </w:t>
      </w:r>
      <w:r>
        <w:t xml:space="preserve">and a set of methods to apply to their data.</w:t>
      </w:r>
    </w:p>
    <w:p>
      <w:pPr>
        <w:pStyle w:val="Corpsdetexte"/>
      </w:pPr>
      <w:r>
        <w:t xml:space="preserve">At the local scale, the number of species is related to the sampling effort by species-accumulation curves</w:t>
      </w:r>
      <w:r>
        <w:t xml:space="preserve"> </w:t>
      </w:r>
      <w:r>
        <w:t xml:space="preserve">(Gotelli &amp; Colwell 2001)</w:t>
      </w:r>
      <w:r>
        <w:t xml:space="preserve">.</w:t>
      </w:r>
      <w:r>
        <w:t xml:space="preserve"> </w:t>
      </w:r>
      <w:r>
        <w:t xml:space="preserve">The number of sampled species is a matter of well-known statistics based on independent and identically distributed (iid) samples, and estimators of the total number of species of a homogeneous community are available, among which the best known are Chao’s</w:t>
      </w:r>
      <w:r>
        <w:t xml:space="preserve"> </w:t>
      </w:r>
      <w:r>
        <w:t xml:space="preserve">(Chao 1984)</w:t>
      </w:r>
      <w:r>
        <w:t xml:space="preserve"> </w:t>
      </w:r>
      <w:r>
        <w:t xml:space="preserve">and the jackknife</w:t>
      </w:r>
      <w:r>
        <w:t xml:space="preserve"> </w:t>
      </w:r>
      <w:r>
        <w:t xml:space="preserve">(Burnham &amp; Overton 1978)</w:t>
      </w:r>
      <w:r>
        <w:t xml:space="preserve">.</w:t>
      </w:r>
      <w:r>
        <w:t xml:space="preserve"> </w:t>
      </w:r>
      <w:r>
        <w:t xml:space="preserve">These estimators can be applied to incidence data (i.e. the number of sampled plots that contain a given species) as well as abundance data (the number of sampled individuals of a given species).</w:t>
      </w:r>
      <w:r>
        <w:t xml:space="preserve"> </w:t>
      </w:r>
      <w:r>
        <w:t xml:space="preserve">Yet, these tools fail to estimate regional diversity because increasing the sampled area implies including new, different communities, preventing iid sampling in practice.</w:t>
      </w:r>
    </w:p>
    <w:p>
      <w:pPr>
        <w:pStyle w:val="Corpsdetexte"/>
      </w:pPr>
      <w:r>
        <w:t xml:space="preserve">Yet,</w:t>
      </w:r>
      <w:r>
        <w:t xml:space="preserve"> </w:t>
      </w:r>
      <w:r>
        <w:t xml:space="preserve">Cazzolla Gatti</w:t>
      </w:r>
      <w:r>
        <w:t xml:space="preserve"> </w:t>
      </w:r>
      <w:r>
        <w:rPr>
          <w:iCs/>
          <w:i/>
        </w:rPr>
        <w:t xml:space="preserve">et al.</w:t>
      </w:r>
      <w:r>
        <w:t xml:space="preserve"> </w:t>
      </w:r>
      <w:r>
        <w:t xml:space="preserve">(2022)</w:t>
      </w:r>
      <w:r>
        <w:t xml:space="preserve"> </w:t>
      </w:r>
      <w:r>
        <w:t xml:space="preserve">successfully applied the incidence-based Chao estimator to 100- by 100-km cells (each cell considered as a plot) covering all forests in the world to assess the number of tree species at the scale of continents.</w:t>
      </w:r>
      <w:r>
        <w:t xml:space="preserve"> </w:t>
      </w:r>
      <w:r>
        <w:t xml:space="preserve">The method requires huge datasets to avoid undersampling and sampling biases.</w:t>
      </w:r>
    </w:p>
    <w:p>
      <w:pPr>
        <w:pStyle w:val="Corpsdetexte"/>
      </w:pPr>
      <w:r>
        <w:t xml:space="preserve">At very large scales, the unified neutral theory of biodiversity and biogeography</w:t>
      </w:r>
      <w:r>
        <w:t xml:space="preserve"> </w:t>
      </w:r>
      <w:r>
        <w:t xml:space="preserve">(Hubbell 2001)</w:t>
      </w:r>
      <w:r>
        <w:t xml:space="preserve"> </w:t>
      </w:r>
      <w:r>
        <w:t xml:space="preserve">implies that the distribution of the metacommunity’s species abundances is in log-series</w:t>
      </w:r>
      <w:r>
        <w:t xml:space="preserve"> </w:t>
      </w:r>
      <w:r>
        <w:t xml:space="preserve">(Fisher</w:t>
      </w:r>
      <w:r>
        <w:t xml:space="preserve"> </w:t>
      </w:r>
      <w:r>
        <w:rPr>
          <w:iCs/>
          <w:i/>
        </w:rPr>
        <w:t xml:space="preserve">et al.</w:t>
      </w:r>
      <w:r>
        <w:t xml:space="preserve"> </w:t>
      </w:r>
      <w:r>
        <w:t xml:space="preserve">1943)</w:t>
      </w:r>
      <w:r>
        <w:t xml:space="preserve">, allowing the extrapolation of the rank-abundance curve of sampled species up to the rarest one, represented by a single individual and counting the number of necessary species.</w:t>
      </w:r>
      <w:r>
        <w:t xml:space="preserve"> </w:t>
      </w:r>
      <w:r>
        <w:t xml:space="preserve">Based on this method, the diversity of tree species has been estimated in Amazonia</w:t>
      </w:r>
      <w:r>
        <w:t xml:space="preserve"> </w:t>
      </w:r>
      <w:r>
        <w:t xml:space="preserve">(ter Steege</w:t>
      </w:r>
      <w:r>
        <w:t xml:space="preserve"> </w:t>
      </w:r>
      <w:r>
        <w:rPr>
          <w:iCs/>
          <w:i/>
        </w:rPr>
        <w:t xml:space="preserve">et al.</w:t>
      </w:r>
      <w:r>
        <w:t xml:space="preserve"> </w:t>
      </w:r>
      <w:r>
        <w:t xml:space="preserve">2013; ter Steege</w:t>
      </w:r>
      <w:r>
        <w:t xml:space="preserve"> </w:t>
      </w:r>
      <w:r>
        <w:rPr>
          <w:iCs/>
          <w:i/>
        </w:rPr>
        <w:t xml:space="preserve">et al.</w:t>
      </w:r>
      <w:r>
        <w:t xml:space="preserve"> </w:t>
      </w:r>
      <w:r>
        <w:t xml:space="preserve">2020)</w:t>
      </w:r>
      <w:r>
        <w:t xml:space="preserve"> </w:t>
      </w:r>
      <w:r>
        <w:t xml:space="preserve">and at the world scale</w:t>
      </w:r>
      <w:r>
        <w:t xml:space="preserve"> </w:t>
      </w:r>
      <w:r>
        <w:t xml:space="preserve">(Slik</w:t>
      </w:r>
      <w:r>
        <w:t xml:space="preserve"> </w:t>
      </w:r>
      <w:r>
        <w:rPr>
          <w:iCs/>
          <w:i/>
        </w:rPr>
        <w:t xml:space="preserve">et al.</w:t>
      </w:r>
      <w:r>
        <w:t xml:space="preserve"> </w:t>
      </w:r>
      <w:r>
        <w:t xml:space="preserve">2015)</w:t>
      </w:r>
      <w:r>
        <w:t xml:space="preserve">.</w:t>
      </w:r>
    </w:p>
    <w:p>
      <w:pPr>
        <w:pStyle w:val="Corpsdetexte"/>
      </w:pPr>
      <w:r>
        <w:t xml:space="preserve">Regional diversity, i.e. at intermediate scales between single communities and the metacommunity, brought less attention.</w:t>
      </w:r>
      <w:r>
        <w:t xml:space="preserve"> </w:t>
      </w:r>
      <w:r>
        <w:t xml:space="preserve">The large and spatially uniform datasets necessary to apply incidence data extrapolation are not easy to gather so alternative methods must be considered: this motivated this study, along with a particular interest for the forest of French Guiana.</w:t>
      </w:r>
    </w:p>
    <w:p>
      <w:pPr>
        <w:pStyle w:val="Corpsdetexte"/>
      </w:pPr>
      <w:r>
        <w:t xml:space="preserve">The main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self-similarity model</w:t>
      </w:r>
      <w:r>
        <w:t xml:space="preserve"> </w:t>
      </w:r>
      <w:r>
        <w:t xml:space="preserve">(Harte</w:t>
      </w:r>
      <w:r>
        <w:t xml:space="preserve"> </w:t>
      </w:r>
      <w:r>
        <w:rPr>
          <w:iCs/>
          <w:i/>
        </w:rPr>
        <w:t xml:space="preserve">et al.</w:t>
      </w:r>
      <w:r>
        <w:t xml:space="preserve"> </w:t>
      </w:r>
      <w:r>
        <w:t xml:space="preserve">1999a)</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w:t>
      </w:r>
      <w:r>
        <w:t xml:space="preserve"> </w:t>
      </w:r>
      <w:r>
        <w:rPr>
          <w:iCs/>
          <w:i/>
        </w:rPr>
        <w:t xml:space="preserve">et al.</w:t>
      </w:r>
      <w:r>
        <w:t xml:space="preserve"> </w:t>
      </w:r>
      <w:r>
        <w:t xml:space="preserve">1999b)</w:t>
      </w:r>
      <w:r>
        <w:t xml:space="preserve">, previously applied by</w:t>
      </w:r>
      <w:r>
        <w:t xml:space="preserve"> </w:t>
      </w:r>
      <w:r>
        <w:t xml:space="preserve">Krishnamani</w:t>
      </w:r>
      <w:r>
        <w:t xml:space="preserve"> </w:t>
      </w:r>
      <w:r>
        <w:rPr>
          <w:iCs/>
          <w:i/>
        </w:rPr>
        <w:t xml:space="preserve">et al.</w:t>
      </w:r>
      <w:r>
        <w:t xml:space="preserve"> </w:t>
      </w:r>
      <w:r>
        <w:t xml:space="preserve">(2004)</w:t>
      </w:r>
      <w:r>
        <w:t xml:space="preserve"> </w:t>
      </w:r>
      <w:r>
        <w:t xml:space="preserve">in the Western Ghats, India, a 60,000-ha tropical forest with around 1,000 tree species.</w:t>
      </w:r>
      <w:r>
        <w:t xml:space="preserve"> </w:t>
      </w:r>
      <w:r>
        <w:t xml:space="preserve">The current checklist contains close to 1800 tree species</w:t>
      </w:r>
      <w:r>
        <w:t xml:space="preserve"> </w:t>
      </w:r>
      <w:r>
        <w:t xml:space="preserve">(Molino</w:t>
      </w:r>
      <w:r>
        <w:t xml:space="preserve"> </w:t>
      </w:r>
      <w:r>
        <w:rPr>
          <w:iCs/>
          <w:i/>
        </w:rPr>
        <w:t xml:space="preserve">et al.</w:t>
      </w:r>
      <w:r>
        <w:t xml:space="preserve"> </w:t>
      </w:r>
      <w:r>
        <w:t xml:space="preserve">2022)</w:t>
      </w:r>
      <w:r>
        <w:t xml:space="preserve"> </w:t>
      </w:r>
      <w:r>
        <w:t xml:space="preserve">in French Guiana.</w:t>
      </w:r>
      <w:r>
        <w:t xml:space="preserve"> </w:t>
      </w:r>
      <w:r>
        <w:t xml:space="preserve">Our estimate is around 2200.</w:t>
      </w:r>
    </w:p>
    <w:p>
      <w:pPr>
        <w:pStyle w:val="Corpsdetexte"/>
      </w:pPr>
      <w:r>
        <w:t xml:space="preserve">We also compare our work to all methods reviewed above and the lesser-known, scale-independent universal species-area relationship based on maximum entropy</w:t>
      </w:r>
      <w:r>
        <w:t xml:space="preserve"> </w:t>
      </w:r>
      <w:r>
        <w:t xml:space="preserve">(Harte</w:t>
      </w:r>
      <w:r>
        <w:t xml:space="preserve"> </w:t>
      </w:r>
      <w:r>
        <w:rPr>
          <w:iCs/>
          <w:i/>
        </w:rPr>
        <w:t xml:space="preserve">et al.</w:t>
      </w:r>
      <w:r>
        <w:t xml:space="preserve"> </w:t>
      </w:r>
      <w:r>
        <w:t xml:space="preserve">2009)</w:t>
      </w:r>
      <w:r>
        <w:t xml:space="preserve">.</w:t>
      </w:r>
      <w:r>
        <w:t xml:space="preserve"> </w:t>
      </w:r>
      <w:r>
        <w:t xml:space="preserve">We discuss in depth which method may be applied according to the addressed spatial scale.</w:t>
      </w:r>
    </w:p>
    <w:bookmarkEnd w:id="20"/>
    <w:bookmarkStart w:id="30" w:name="methods"/>
    <w:p>
      <w:pPr>
        <w:pStyle w:val="Titre1"/>
      </w:pPr>
      <w:r>
        <w:rPr>
          <w:rStyle w:val="SectionNumber"/>
        </w:rPr>
        <w:t xml:space="preserve">2</w:t>
      </w:r>
      <w:r>
        <w:tab/>
      </w:r>
      <w:r>
        <w:t xml:space="preserve">Methods</w:t>
      </w:r>
    </w:p>
    <w:bookmarkStart w:id="25" w:name="data"/>
    <w:p>
      <w:pPr>
        <w:pStyle w:val="Titre2"/>
      </w:pPr>
      <w:r>
        <w:rPr>
          <w:rStyle w:val="SectionNumber"/>
        </w:rPr>
        <w:t xml:space="preserve">2.1</w:t>
      </w:r>
      <w:r>
        <w:tab/>
      </w:r>
      <w:r>
        <w:t xml:space="preserve">Data</w:t>
      </w:r>
    </w:p>
    <w:p>
      <w:pPr>
        <w:pStyle w:val="FirstParagraph"/>
      </w:pPr>
      <w:r>
        <w:t xml:space="preserve">To apply the methods detailed below, a large enough inventory is necessary along with a set of small, widely spread forest plots.</w:t>
      </w:r>
      <w:r>
        <w:t xml:space="preserve"> </w:t>
      </w:r>
      <w:r>
        <w:t xml:space="preserve">We gathered 3 local, large inventories to account for environmental variability and a network of plot covering the whole region.</w:t>
      </w:r>
    </w:p>
    <w:p>
      <w:pPr>
        <w:pStyle w:val="Corpsdetexte"/>
      </w:pP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w:t>
      </w:r>
      <w:r>
        <w:t xml:space="preserve"> </w:t>
      </w:r>
      <w:r>
        <w:t xml:space="preserve">We took into account the 68 one-hectare plots of the network (figure</w:t>
      </w:r>
      <w:r>
        <w:t xml:space="preserve"> </w:t>
      </w:r>
      <w:r>
        <w:t xml:space="preserve">2.1</w:t>
      </w:r>
      <w:r>
        <w:t xml:space="preserve">).</w:t>
      </w:r>
      <w:r>
        <w:t xml:space="preserve"> </w:t>
      </w:r>
      <w:r>
        <w:t xml:space="preserve">They are located in 21 sites, which provides fairly good coverage of the variability of the forest.</w:t>
      </w:r>
      <w:r>
        <w:t xml:space="preserve"> </w:t>
      </w:r>
      <w:r>
        <w:t xml:space="preserve">They contain 43081 trees among which 415 were removed from the analyses because they could not be assigned to a species or morphospecies.</w:t>
      </w:r>
    </w:p>
    <w:p>
      <w:pPr>
        <w:pStyle w:val="Corpsdetexte"/>
      </w:pPr>
    </w:p>
    <w:p>
      <w:pPr>
        <w:pStyle w:val="CaptionedFigure"/>
      </w:pPr>
      <w:r>
        <w:drawing>
          <wp:inline>
            <wp:extent cx="4620126" cy="3696101"/>
            <wp:effectExtent b="0" l="0" r="0" t="0"/>
            <wp:docPr descr="Figure 2.1: The GuyaDiv network of tropical forest plots, 1-ha plots only. All trees above 10 cm DBH are localized, measured and determined botanically at species level. Each circle represents a location where several forest plots were established: the circle size is proportional to the number of plots. Paracou, Piste de Saint-Elie and Nouragues large inventories locations are shown (Paracou contains no 1-ha GuyaDiv plot). The map background represents the tree cover, as of ESA Land Cover (Zanaga et al. 2021)." title="" id="22" name="Picture"/>
            <a:graphic>
              <a:graphicData uri="http://schemas.openxmlformats.org/drawingml/2006/picture">
                <pic:pic>
                  <pic:nvPicPr>
                    <pic:cNvPr descr="JTE-22-105_files/figure-docx/GuyaDivMap-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GuyaDivMap"/>
      <w:bookmarkEnd w:id="24"/>
      <w:r>
        <w:t xml:space="preserve">Figure 2.1: The GuyaDiv network of tropical forest plots, 1-ha plots only. All trees above 10 cm DBH are localized, measured and determined botanically at species level. Each circle represents a location where several forest plots were established: the circle size is proportional to the number of plots. Paracou, Piste de Saint-Elie and Nouragues large inventories locations are shown (Paracou contains no 1-ha GuyaDiv plot). The map background represents the tree cover, as of ESA Land Cover</w:t>
      </w:r>
      <w:r>
        <w:t xml:space="preserve"> </w:t>
      </w:r>
      <w:r>
        <w:t xml:space="preserve">(Zanaga</w:t>
      </w:r>
      <w:r>
        <w:t xml:space="preserve"> </w:t>
      </w:r>
      <w:r>
        <w:rPr>
          <w:iCs/>
          <w:i/>
        </w:rPr>
        <w:t xml:space="preserve">et al.</w:t>
      </w:r>
      <w:r>
        <w:t xml:space="preserve"> </w:t>
      </w:r>
      <w:r>
        <w:t xml:space="preserve">2021)</w:t>
      </w:r>
      <w:r>
        <w:t xml:space="preserve">.</w:t>
      </w:r>
    </w:p>
    <w:p>
      <w:pPr>
        <w:pStyle w:val="Corpsdetexte"/>
      </w:pPr>
    </w:p>
    <w:p>
      <w:pPr>
        <w:pStyle w:val="Corpsdetexte"/>
      </w:pPr>
      <w:r>
        <w:t xml:space="preserve">The Paracou research station</w:t>
      </w:r>
      <w:r>
        <w:t xml:space="preserve"> </w:t>
      </w:r>
      <w:r>
        <w:t xml:space="preserve">(Gourlet-Fleury</w:t>
      </w:r>
      <w:r>
        <w:t xml:space="preserve"> </w:t>
      </w:r>
      <w:r>
        <w:rPr>
          <w:iCs/>
          <w:i/>
        </w:rPr>
        <w:t xml:space="preserve">et al.</w:t>
      </w:r>
      <w:r>
        <w:t xml:space="preserve"> </w:t>
      </w:r>
      <w:r>
        <w:t xml:space="preserve">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w:t>
      </w:r>
      <w:r>
        <w:t xml:space="preserve"> </w:t>
      </w:r>
      <w:r>
        <w:rPr>
          <w:iCs/>
          <w:i/>
        </w:rPr>
        <w:t xml:space="preserve">et al.</w:t>
      </w:r>
      <w:r>
        <w:t xml:space="preserve"> </w:t>
      </w:r>
      <w:r>
        <w:t xml:space="preserve">2021)</w:t>
      </w:r>
      <w:r>
        <w:t xml:space="preserve"> </w:t>
      </w:r>
      <w:r>
        <w:t xml:space="preserve">and the functional diversity</w:t>
      </w:r>
      <w:r>
        <w:t xml:space="preserve"> </w:t>
      </w:r>
      <w:r>
        <w:t xml:space="preserve">(Mirabel</w:t>
      </w:r>
      <w:r>
        <w:t xml:space="preserve"> </w:t>
      </w:r>
      <w:r>
        <w:rPr>
          <w:iCs/>
          <w:i/>
        </w:rPr>
        <w:t xml:space="preserve">et al.</w:t>
      </w:r>
      <w:r>
        <w:t xml:space="preserve"> </w:t>
      </w:r>
      <w:r>
        <w:t xml:space="preserve">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&amp; Sabatier (2001)</w:t>
      </w:r>
      <w:r>
        <w:t xml:space="preserve"> </w:t>
      </w:r>
      <w:r>
        <w:t xml:space="preserve">and ten 0.49-ha plots around the Guyaflux tower</w:t>
      </w:r>
      <w:r>
        <w:t xml:space="preserve"> </w:t>
      </w:r>
      <w:r>
        <w:t xml:space="preserve">(Bonal</w:t>
      </w:r>
      <w:r>
        <w:t xml:space="preserve"> </w:t>
      </w:r>
      <w:r>
        <w:rPr>
          <w:iCs/>
          <w:i/>
        </w:rPr>
        <w:t xml:space="preserve">et al.</w:t>
      </w:r>
      <w:r>
        <w:t xml:space="preserve"> </w:t>
      </w:r>
      <w:r>
        <w:t xml:space="preserve">2008)</w:t>
      </w:r>
      <w:r>
        <w:t xml:space="preserve"> </w:t>
      </w:r>
      <w:r>
        <w:t xml:space="preserve">contain 575 species, including 132 new ones.</w:t>
      </w:r>
      <w:r>
        <w:t xml:space="preserve"> </w:t>
      </w:r>
      <w:r>
        <w:t xml:space="preserve">37 more species at the French Guiana IRD Herbarium</w:t>
      </w:r>
      <w:r>
        <w:t xml:space="preserve"> </w:t>
      </w:r>
      <w:r>
        <w:t xml:space="preserve">(CAY: Gonzalez</w:t>
      </w:r>
      <w:r>
        <w:t xml:space="preserve"> </w:t>
      </w:r>
      <w:r>
        <w:rPr>
          <w:iCs/>
          <w:i/>
        </w:rPr>
        <w:t xml:space="preserve">et al.</w:t>
      </w:r>
      <w:r>
        <w:t xml:space="preserve"> </w:t>
      </w:r>
      <w:r>
        <w:t xml:space="preserve">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w:t>
      </w:r>
      <w:r>
        <w:t xml:space="preserve"> </w:t>
      </w:r>
      <w:r>
        <w:rPr>
          <w:iCs/>
          <w:i/>
        </w:rPr>
        <w:t xml:space="preserve">et al.</w:t>
      </w:r>
      <w:r>
        <w:t xml:space="preserve"> </w:t>
      </w:r>
      <w:r>
        <w:t xml:space="preserve">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bookmarkEnd w:id="25"/>
    <w:bookmarkStart w:id="26" w:name="self-similarity"/>
    <w:p>
      <w:pPr>
        <w:pStyle w:val="Titre2"/>
      </w:pPr>
      <w:r>
        <w:rPr>
          <w:rStyle w:val="SectionNumber"/>
        </w:rPr>
        <w:t xml:space="preserve">2.2</w:t>
      </w:r>
      <w:r>
        <w:tab/>
      </w:r>
      <w:r>
        <w:t xml:space="preserve">Self-similarity</w:t>
      </w:r>
    </w:p>
    <w:p>
      <w:pPr>
        <w:pStyle w:val="FirstParagraph"/>
      </w:pPr>
      <w:r>
        <w:t xml:space="preserve">Self-similarity</w:t>
      </w:r>
      <w:r>
        <w:t xml:space="preserve"> </w:t>
      </w:r>
      <w:r>
        <w:t xml:space="preserve">(Harte</w:t>
      </w:r>
      <w:r>
        <w:t xml:space="preserve"> </w:t>
      </w:r>
      <w:r>
        <w:rPr>
          <w:iCs/>
          <w:i/>
        </w:rPr>
        <w:t xml:space="preserve">et al.</w:t>
      </w:r>
      <w:r>
        <w:t xml:space="preserve"> </w:t>
      </w:r>
      <w:r>
        <w:t xml:space="preserve">1999a)</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 in</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on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w:t>
      </w:r>
      <w:r>
        <w:t xml:space="preserve"> </w:t>
      </w:r>
      <w:r>
        <w:rPr>
          <w:iCs/>
          <w:i/>
        </w:rPr>
        <w:t xml:space="preserve">et al.</w:t>
      </w:r>
      <w:r>
        <w:t xml:space="preserve"> </w:t>
      </w:r>
      <w:r>
        <w:t xml:space="preserve">1999a)</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(Gárcia Martín &amp; Goldenfeld 2006; Williamson</w:t>
      </w:r>
      <w:r>
        <w:t xml:space="preserve"> </w:t>
      </w:r>
      <w:r>
        <w:rPr>
          <w:iCs/>
          <w:i/>
        </w:rPr>
        <w:t xml:space="preserve">et al.</w:t>
      </w:r>
      <w:r>
        <w:t xml:space="preserve"> </w:t>
      </w:r>
      <w:r>
        <w:t xml:space="preserve">2001)</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r>
          <m:t>S</m:t>
        </m:r>
        <m:d>
          <m:dPr>
            <m:begChr m:val="("/>
            <m:endChr m:val=")"/>
            <m:sepChr m:val=""/>
            <m:grow/>
          </m:dPr>
          <m:e>
            <m:r>
              <m:t>b</m:t>
            </m:r>
          </m:e>
        </m:d>
        <m:r>
          <m:rPr>
            <m:sty m:val="p"/>
          </m:rPr>
          <m:t>/</m:t>
        </m:r>
        <m:sSup>
          <m:e>
            <m:r>
              <m:t>b</m:t>
            </m:r>
          </m:e>
          <m:sup>
            <m:r>
              <m:t>z</m:t>
            </m:r>
          </m:sup>
        </m:sSup>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w:t>
      </w:r>
      <w:r>
        <w:t xml:space="preserve"> </w:t>
      </w:r>
      <w:r>
        <w:rPr>
          <w:iCs/>
          <w:i/>
        </w:rPr>
        <w:t xml:space="preserve">et al.</w:t>
      </w:r>
      <w:r>
        <w:t xml:space="preserve"> </w:t>
      </w:r>
      <w:r>
        <w:t xml:space="preserve">(1999b)</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w:t>
      </w:r>
      <w:r>
        <w:t xml:space="preserve"> </w:t>
      </w:r>
      <w:r>
        <w:rPr>
          <w:iCs/>
          <w:i/>
        </w:rPr>
        <w:t xml:space="preserve">et al.</w:t>
      </w:r>
      <w:r>
        <w:t xml:space="preserve"> </w:t>
      </w:r>
      <w:r>
        <w:t xml:space="preserve">1999b)</w:t>
      </w:r>
      <w:r>
        <w:t xml:space="preserve"> </w:t>
      </w:r>
      <w:r>
        <w:t xml:space="preserve">that can be estimated by the linear model</w:t>
      </w:r>
    </w:p>
    <w:p>
      <w:pPr>
        <w:pStyle w:val="Corpsdetexte"/>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Krishnamani</w:t>
      </w:r>
      <w:r>
        <w:t xml:space="preserve"> </w:t>
      </w:r>
      <w:r>
        <w:rPr>
          <w:iCs/>
          <w:i/>
        </w:rPr>
        <w:t xml:space="preserve">et al.</w:t>
      </w:r>
      <w:r>
        <w:t xml:space="preserve"> </w:t>
      </w:r>
      <w:r>
        <w:t xml:space="preserve">(2004)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sty m:val="p"/>
          </m:rPr>
          <m:t>log</m:t>
        </m:r>
        <m:d>
          <m:dPr>
            <m:begChr m:val="("/>
            <m:endChr m:val=")"/>
            <m:sepChr m:val=""/>
            <m:grow/>
          </m:dPr>
          <m:e>
            <m:r>
              <m:t>χ</m:t>
            </m:r>
          </m:e>
        </m:d>
        <m:r>
          <m:rPr>
            <m:sty m:val="p"/>
          </m:rPr>
          <m:t>∼</m:t>
        </m:r>
        <m:r>
          <m:rP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r>
        <w:t xml:space="preserve">The confidence interval of the estimation of the number of species was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was estimated by the empirical variance of the values calculated at Paracou, Piste de Saint-Elie and Nouragues.</w:t>
      </w:r>
      <w:r>
        <w:t xml:space="preserve"> </w:t>
      </w:r>
      <w:r>
        <w:t xml:space="preserve">That of</w:t>
      </w:r>
      <w:r>
        <w:t xml:space="preserve"> </w:t>
      </w:r>
      <m:oMath>
        <m:sSup>
          <m:e>
            <m:r>
              <m:t>A</m:t>
            </m:r>
          </m:e>
          <m:sup>
            <m:r>
              <m:t>z</m:t>
            </m:r>
          </m:sup>
        </m:sSup>
      </m:oMath>
      <w:r>
        <w:t xml:space="preserve"> </w:t>
      </w:r>
      <w:r>
        <w:t xml:space="preserve">was obtained from the empirical distribution of</w:t>
      </w:r>
      <w:r>
        <w:t xml:space="preserve"> </w:t>
      </w:r>
      <m:oMath>
        <m:r>
          <m:t>z</m:t>
        </m:r>
      </m:oMath>
      <w:r>
        <w:t xml:space="preserve">.</w:t>
      </w:r>
      <w:r>
        <w:t xml:space="preserve"> </w:t>
      </w:r>
      <w:r>
        <w:t xml:space="preserve">The variance of their product was calculated (the formula and its derivation are in the appendix).</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2023)</w:t>
      </w:r>
      <w:r>
        <w:t xml:space="preserve"> </w:t>
      </w:r>
      <w:r>
        <w:t xml:space="preserve">v. 4.3.1.</w:t>
      </w:r>
    </w:p>
    <w:bookmarkEnd w:id="26"/>
    <w:bookmarkStart w:id="27" w:name="nonparametric-estimators"/>
    <w:p>
      <w:pPr>
        <w:pStyle w:val="Titre2"/>
      </w:pPr>
      <w:r>
        <w:rPr>
          <w:rStyle w:val="SectionNumber"/>
        </w:rPr>
        <w:t xml:space="preserve">2.3</w:t>
      </w:r>
      <w:r>
        <w:tab/>
      </w:r>
      <w:r>
        <w:t xml:space="preserve">Nonparametric estimators</w:t>
      </w:r>
    </w:p>
    <w:p>
      <w:pPr>
        <w:pStyle w:val="FirstParagraph"/>
      </w:pPr>
      <w:r>
        <w:t xml:space="preserve">At smaller scales, i.e. inside a single community, the relation between area and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After replacing the sampled area by the number of individuals it contains, well-known estimators of richness such as Chao’s</w:t>
      </w:r>
      <w:r>
        <w:t xml:space="preserve"> </w:t>
      </w:r>
      <w:r>
        <w:t xml:space="preserve">(Chao 1984)</w:t>
      </w:r>
      <w:r>
        <w:t xml:space="preserve"> </w:t>
      </w:r>
      <w:r>
        <w:t xml:space="preserve">or the jackknife</w:t>
      </w:r>
      <w:r>
        <w:t xml:space="preserve"> </w:t>
      </w:r>
      <w:r>
        <w:t xml:space="preserve">(Burnham &amp; Overton 1978)</w:t>
      </w:r>
      <w:r>
        <w:t xml:space="preserve"> </w:t>
      </w:r>
      <w:r>
        <w:t xml:space="preserve">apply.</w:t>
      </w:r>
    </w:p>
    <w:p>
      <w:pPr>
        <w:pStyle w:val="Corpsdetexte"/>
      </w:pPr>
      <w:r>
        <w:t xml:space="preserve">The Chao1 estimator is</w:t>
      </w:r>
    </w:p>
    <w:p>
      <w:pPr>
        <w:pStyle w:val="Corpsdetexte"/>
      </w:pPr>
      <w:r>
        <w:t xml:space="preserve">where</w:t>
      </w:r>
      <w:r>
        <w:t xml:space="preserve"> </w:t>
      </w:r>
      <m:oMath>
        <m:sSub>
          <m:e>
            <m:r>
              <m:t>s</m:t>
            </m:r>
          </m:e>
          <m:sub>
            <m:r>
              <m:t>o</m:t>
            </m:r>
            <m:r>
              <m:t>b</m:t>
            </m:r>
            <m:r>
              <m:t>s</m:t>
            </m:r>
          </m:sub>
        </m:sSub>
      </m:oMath>
      <w:r>
        <w:t xml:space="preserve"> </w:t>
      </w:r>
      <w:r>
        <w:t xml:space="preserve">is the number of observed species,</w:t>
      </w:r>
      <w:r>
        <w:t xml:space="preserve"> </w:t>
      </w:r>
      <m:oMath>
        <m:r>
          <m:t>n</m:t>
        </m:r>
      </m:oMath>
      <w:r>
        <w:t xml:space="preserve"> </w:t>
      </w:r>
      <w:r>
        <w:t xml:space="preserve">is the sample size,</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the number of species observed once and twice.</w:t>
      </w:r>
      <w:r>
        <w:t xml:space="preserve"> </w:t>
      </w:r>
      <w:r>
        <w:t xml:space="preserve">Since</w:t>
      </w:r>
      <w:r>
        <w:t xml:space="preserve"> </w:t>
      </w:r>
      <m:oMath>
        <m:r>
          <m:t>n</m:t>
        </m:r>
      </m:oMath>
      <w:r>
        <w:t xml:space="preserve"> </w:t>
      </w:r>
      <w:r>
        <w:t xml:space="preserve">is large,</w:t>
      </w:r>
      <w:r>
        <w:t xml:space="preserve"> </w:t>
      </w:r>
      <m:oMath>
        <m:d>
          <m:dPr>
            <m:begChr m:val="("/>
            <m:endChr m:val=")"/>
            <m:sepChr m:val=""/>
            <m:grow/>
          </m:dPr>
          <m:e>
            <m:r>
              <m:t>n</m:t>
            </m:r>
            <m:r>
              <m:rPr>
                <m:sty m:val="p"/>
              </m:rPr>
              <m:t>−</m:t>
            </m:r>
            <m:r>
              <m:t>1</m:t>
            </m:r>
          </m:e>
        </m:d>
        <m:r>
          <m:rPr>
            <m:sty m:val="p"/>
          </m:rPr>
          <m:t>/</m:t>
        </m:r>
        <m:r>
          <m:t>2</m:t>
        </m:r>
        <m:r>
          <m:t>n</m:t>
        </m:r>
      </m:oMath>
      <w:r>
        <w:t xml:space="preserve"> </w:t>
      </w:r>
      <w:r>
        <w:t xml:space="preserve">can be approximated by</w:t>
      </w:r>
      <w:r>
        <w:t xml:space="preserve"> </w:t>
      </w:r>
      <m:oMath>
        <m:r>
          <m:t>1</m:t>
        </m:r>
        <m:r>
          <m:rPr>
            <m:sty m:val="p"/>
          </m:rPr>
          <m:t>/</m:t>
        </m:r>
        <m:r>
          <m:t>2</m:t>
        </m:r>
      </m:oMath>
      <w:r>
        <w:t xml:space="preserve">.</w:t>
      </w:r>
    </w:p>
    <w:p>
      <w:pPr>
        <w:pStyle w:val="Corpsdetexte"/>
      </w:pPr>
      <w:r>
        <w:t xml:space="preserve">The jackknife estimator depends on the sampling level of the data.</w:t>
      </w:r>
      <w:r>
        <w:t xml:space="preserve"> </w:t>
      </w:r>
      <w:r>
        <w:t xml:space="preserve">The estimator of order</w:t>
      </w:r>
      <w:r>
        <w:t xml:space="preserve"> </w:t>
      </w:r>
      <m:oMath>
        <m:r>
          <m:t>k</m:t>
        </m:r>
      </m:oMath>
      <w:r>
        <w:t xml:space="preserve"> </w:t>
      </w:r>
      <w:r>
        <w:t xml:space="preserve">includes</w:t>
      </w:r>
      <w:r>
        <w:t xml:space="preserve"> </w:t>
      </w:r>
      <m:oMath>
        <m:sSub>
          <m:e>
            <m:r>
              <m:t>f</m:t>
            </m:r>
          </m:e>
          <m:sub>
            <m:r>
              <m:t>1</m:t>
            </m:r>
          </m:sub>
        </m:sSub>
        <m:r>
          <m:rPr>
            <m:sty m:val="p"/>
          </m:rPr>
          <m:t>,</m:t>
        </m:r>
        <m:sSub>
          <m:e>
            <m:r>
              <m:t>f</m:t>
            </m:r>
          </m:e>
          <m:sub>
            <m:r>
              <m:t>2</m:t>
            </m:r>
          </m:sub>
        </m:sSub>
        <m:r>
          <m:rPr>
            <m:sty m:val="p"/>
          </m:rPr>
          <m:t>,</m:t>
        </m:r>
        <m:r>
          <m:rPr>
            <m:sty m:val="p"/>
          </m:rPr>
          <m:t>.</m:t>
        </m:r>
        <m:r>
          <m:rPr>
            <m:sty m:val="p"/>
          </m:rPr>
          <m:t>.</m:t>
        </m:r>
        <m:r>
          <m:rPr>
            <m:sty m:val="p"/>
          </m:rPr>
          <m:t>.</m:t>
        </m:r>
        <m:r>
          <m:rPr>
            <m:sty m:val="p"/>
          </m:rPr>
          <m:t>,</m:t>
        </m:r>
        <m:sSub>
          <m:e>
            <m:r>
              <m:t>f</m:t>
            </m:r>
          </m:e>
          <m:sub>
            <m:r>
              <m:t>k</m:t>
            </m:r>
          </m:sub>
        </m:sSub>
      </m:oMath>
      <w:r>
        <w:t xml:space="preserve">, the number of species observed up to</w:t>
      </w:r>
      <w:r>
        <w:t xml:space="preserve"> </w:t>
      </w:r>
      <m:oMath>
        <m:r>
          <m:t>k</m:t>
        </m:r>
      </m:oMath>
      <w:r>
        <w:t xml:space="preserve"> </w:t>
      </w:r>
      <w:r>
        <w:t xml:space="preserve">times.</w:t>
      </w:r>
      <w:r>
        <w:t xml:space="preserve"> </w:t>
      </w:r>
      <w:r>
        <w:t xml:space="preserve">Increasing the order implies increasing both the estimate and its uncertainty: starting from order 1, the order is incremented as long as the new estimator is significantly higher than the previous one</w:t>
      </w:r>
      <w:r>
        <w:t xml:space="preserve"> </w:t>
      </w:r>
      <w:r>
        <w:t xml:space="preserve">(Burnham &amp; Overton 1978)</w:t>
      </w:r>
      <w:r>
        <w:t xml:space="preserve">.</w:t>
      </w:r>
      <w:r>
        <w:t xml:space="preserve"> </w:t>
      </w:r>
      <w:r>
        <w:t xml:space="preserve">For large</w:t>
      </w:r>
      <w:r>
        <w:t xml:space="preserve"> </w:t>
      </w:r>
      <m:oMath>
        <m:r>
          <m:t>n</m:t>
        </m:r>
      </m:oMath>
      <w:r>
        <w:t xml:space="preserve">, the jackknife estimator of order 3, used below, is</w:t>
      </w:r>
    </w:p>
    <w:p>
      <w:pPr>
        <w:pStyle w:val="Corpsdetexte"/>
      </w:pPr>
      <w:r>
        <w:t xml:space="preserve">An alternative, following</w:t>
      </w:r>
      <w:r>
        <w:t xml:space="preserve"> </w:t>
      </w:r>
      <w:r>
        <w:t xml:space="preserve">Cazzolla Gatti</w:t>
      </w:r>
      <w:r>
        <w:t xml:space="preserve"> </w:t>
      </w:r>
      <w:r>
        <w:rPr>
          <w:iCs/>
          <w:i/>
        </w:rPr>
        <w:t xml:space="preserve">et al.</w:t>
      </w:r>
      <w:r>
        <w:t xml:space="preserve"> </w:t>
      </w:r>
      <w:r>
        <w:t xml:space="preserve">(2022)</w:t>
      </w:r>
      <w:r>
        <w:t xml:space="preserve">, consists of paving the territory with a grid whose size does not change the estimation, say 100 km.</w:t>
      </w:r>
      <w:r>
        <w:t xml:space="preserve"> </w:t>
      </w:r>
      <w:r>
        <w:t xml:space="preserve">In each 100 by 100 km cell of the grid, all available data is aggregated to obtain an incidence dataset.</w:t>
      </w:r>
      <w:r>
        <w:t xml:space="preserve"> </w:t>
      </w:r>
      <w:r>
        <w:t xml:space="preserve">The Chao2 estimator (whose formula is identical to that of Chao1, with</w:t>
      </w:r>
      <w:r>
        <w:t xml:space="preserve"> </w:t>
      </w:r>
      <m:oMath>
        <m:r>
          <m:t>n</m:t>
        </m:r>
      </m:oMath>
      <w:r>
        <w:t xml:space="preserve"> </w:t>
      </w:r>
      <w:r>
        <w:t xml:space="preserve">equal to the number of grid cells) is finally applied: it combines the number of species observed in only one or two cells to estimate the number of unobserved species.</w:t>
      </w:r>
    </w:p>
    <w:p>
      <w:pPr>
        <w:pStyle w:val="Corpsdetexte"/>
      </w:pPr>
      <w:r>
        <w:t xml:space="preserve">The Chao and Jackknife estimators variance can be estimated and a confidence interval is available</w:t>
      </w:r>
      <w:r>
        <w:t xml:space="preserve"> </w:t>
      </w:r>
      <w:r>
        <w:t xml:space="preserve">(Burnham &amp; Overton 1978; Chao 1987)</w:t>
      </w:r>
      <w:r>
        <w:t xml:space="preserve">.</w:t>
      </w:r>
    </w:p>
    <w:bookmarkEnd w:id="27"/>
    <w:bookmarkStart w:id="28" w:name="log-series-extrapolation"/>
    <w:p>
      <w:pPr>
        <w:pStyle w:val="Titre2"/>
      </w:pPr>
      <w:r>
        <w:rPr>
          <w:rStyle w:val="SectionNumber"/>
        </w:rPr>
        <w:t xml:space="preserve">2.4</w:t>
      </w:r>
      <w:r>
        <w:tab/>
      </w:r>
      <w:r>
        <w:t xml:space="preserve">Log-series extrapolation</w:t>
      </w:r>
    </w:p>
    <w:p>
      <w:pPr>
        <w:pStyle w:val="FirstParagraph"/>
      </w:pPr>
      <w:r>
        <w:t xml:space="preserve">Assuming that the plots are samples of a metacommunity that follows a log-series distribution, the rank-abundance curve can be extrapolated following</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First, the total number of trees is estimated by extrapolation of the average number of trees per 1-ha plot of the Guyadiv network to the 8 million hectares of the French Guiana forest.</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&amp; Jost (2015)</w:t>
      </w:r>
      <w:r>
        <w:t xml:space="preserve">, with the</w:t>
      </w:r>
      <w:r>
        <w:t xml:space="preserve"> </w:t>
      </w:r>
      <w:r>
        <w:rPr>
          <w:iCs/>
          <w:i/>
        </w:rPr>
        <w:t xml:space="preserve">entropart</w:t>
      </w:r>
      <w:r>
        <w:t xml:space="preserve"> </w:t>
      </w:r>
      <w:r>
        <w:t xml:space="preserve">package</w:t>
      </w:r>
      <w:r>
        <w:t xml:space="preserve"> </w:t>
      </w:r>
      <w:r>
        <w:t xml:space="preserve">(Marcon &amp; Hérault 2015)</w:t>
      </w:r>
      <w:r>
        <w:t xml:space="preserve">.</w:t>
      </w:r>
    </w:p>
    <w:p>
      <w:pPr>
        <w:pStyle w:val="Corpsdetexte"/>
      </w:pPr>
      <w:r>
        <w:t xml:space="preserve">The number of trees per species is then obtained by multiplying the total number of trees by the probability of each species.</w:t>
      </w:r>
      <w:r>
        <w:t xml:space="preserve"> </w:t>
      </w:r>
      <w:r>
        <w:t xml:space="preserve">A rank-abundance curve is produced.</w:t>
      </w:r>
      <w:r>
        <w:t xml:space="preserve"> </w:t>
      </w:r>
      <w:r>
        <w:t xml:space="preserve">Its center part is a straight line (see figure</w:t>
      </w:r>
      <w:r>
        <w:t xml:space="preserve"> </w:t>
      </w:r>
      <w:r>
        <w:t xml:space="preserve">3.2</w:t>
      </w:r>
      <w:r>
        <w:t xml:space="preserve">) that can be extrapolated down to the last species, represented by a single tree.</w:t>
      </w:r>
      <w:r>
        <w:t xml:space="preserve"> </w:t>
      </w:r>
      <w:r>
        <w:t xml:space="preserve">The number of species is finally counted.</w:t>
      </w:r>
    </w:p>
    <w:p>
      <w:pPr>
        <w:pStyle w:val="Corpsdetexte"/>
      </w:pPr>
      <w:r>
        <w:t xml:space="preserve">Its confidence interval is not available: the extrapolation of the curve is very robust, but the estimation of the total number of trees and of the probabilities of species are sources of uncertainty.</w:t>
      </w:r>
    </w:p>
    <w:bookmarkEnd w:id="28"/>
    <w:bookmarkStart w:id="29" w:name="universal-species-area-relationship"/>
    <w:p>
      <w:pPr>
        <w:pStyle w:val="Titre2"/>
      </w:pPr>
      <w:r>
        <w:rPr>
          <w:rStyle w:val="SectionNumber"/>
        </w:rPr>
        <w:t xml:space="preserve">2.5</w:t>
      </w:r>
      <w:r>
        <w:tab/>
      </w:r>
      <w:r>
        <w:t xml:space="preserve">Universal species-area relationship</w:t>
      </w:r>
    </w:p>
    <w:p>
      <w:pPr>
        <w:pStyle w:val="FirstParagraph"/>
      </w:pPr>
      <w:r>
        <w:t xml:space="preserve">Harte</w:t>
      </w:r>
      <w:r>
        <w:t xml:space="preserve"> </w:t>
      </w:r>
      <w:r>
        <w:rPr>
          <w:iCs/>
          <w:i/>
        </w:rPr>
        <w:t xml:space="preserve">et al.</w:t>
      </w:r>
      <w:r>
        <w:t xml:space="preserve"> </w:t>
      </w:r>
      <w:r>
        <w:t xml:space="preserve">(2008)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w:t>
      </w:r>
      <w:r>
        <w:t xml:space="preserve"> </w:t>
      </w:r>
      <w:r>
        <w:rPr>
          <w:iCs/>
          <w:i/>
        </w:rPr>
        <w:t xml:space="preserve">et al.</w:t>
      </w:r>
      <w:r>
        <w:t xml:space="preserve"> </w:t>
      </w:r>
      <w:r>
        <w:t xml:space="preserve">2009; Xu</w:t>
      </w:r>
      <w:r>
        <w:t xml:space="preserve"> </w:t>
      </w:r>
      <w:r>
        <w:rPr>
          <w:iCs/>
          <w:i/>
        </w:rPr>
        <w:t xml:space="preserve">et al.</w:t>
      </w:r>
      <w:r>
        <w:t xml:space="preserve"> </w:t>
      </w:r>
      <w:r>
        <w:t xml:space="preserve">2012)</w:t>
      </w:r>
      <w:r>
        <w:t xml:space="preserve">.</w:t>
      </w:r>
      <w:r>
        <w:t xml:space="preserve"> </w:t>
      </w:r>
      <w:r>
        <w:t xml:space="preserve">Starting from a local sample, that may be a single 1-ha plot or one of our large inventories, the area can be doubled until the target size is reached.</w:t>
      </w:r>
    </w:p>
    <w:p>
      <w:pPr>
        <w:pStyle w:val="Corpsdetexte"/>
      </w:pPr>
      <w:r>
        <w:t xml:space="preserve">The number of trees per hectare is estimated from the Guyadiv network to obtain a single starting point rather than a different one for each plot.</w:t>
      </w:r>
      <w:r>
        <w:t xml:space="preserve"> </w:t>
      </w:r>
      <w:r>
        <w:t xml:space="preserve">To be consistent with the model, the geometric mean is applied: its logarithm equals the average logarithm of the number of trees in all 1-ha plots.</w:t>
      </w:r>
    </w:p>
    <w:p>
      <w:pPr>
        <w:pStyle w:val="Corpsdetexte"/>
      </w:pPr>
      <w:r>
        <w:t xml:space="preserve">Each step of the estimation consists of doubling the area and calculating the new number of species.</w:t>
      </w:r>
      <w:r>
        <w:t xml:space="preserve"> </w:t>
      </w:r>
      <w:r>
        <w:t xml:space="preserve">This operation is repeated until the target area (8 Mha) is reached, i.e. between 15 times for Paracou (the largest inventory: 484 ha) and 24 times for the 1-ha plots.</w:t>
      </w:r>
    </w:p>
    <w:bookmarkEnd w:id="29"/>
    <w:bookmarkEnd w:id="30"/>
    <w:bookmarkStart w:id="49" w:name="results"/>
    <w:p>
      <w:pPr>
        <w:pStyle w:val="Titre1"/>
      </w:pPr>
      <w:r>
        <w:rPr>
          <w:rStyle w:val="SectionNumber"/>
        </w:rPr>
        <w:t xml:space="preserve">3</w:t>
      </w:r>
      <w:r>
        <w:tab/>
      </w:r>
      <w:r>
        <w:t xml:space="preserve">Results</w:t>
      </w:r>
    </w:p>
    <w:bookmarkStart w:id="35" w:name="self-similarity-1"/>
    <w:p>
      <w:pPr>
        <w:pStyle w:val="Titre2"/>
      </w:pPr>
      <w:r>
        <w:rPr>
          <w:rStyle w:val="SectionNumber"/>
        </w:rPr>
        <w:t xml:space="preserve">3.1</w:t>
      </w:r>
      <w:r>
        <w:tab/>
      </w:r>
      <w:r>
        <w:t xml:space="preserve">Self-similarity</w:t>
      </w:r>
    </w:p>
    <w:p>
      <w:pPr>
        <w:pStyle w:val="FirstParagraph"/>
      </w:pPr>
      <w:r>
        <w:t xml:space="preserve">The relation between Sørensen’s similarity and distance is presented in figure</w:t>
      </w:r>
      <w:r>
        <w:t xml:space="preserve"> </w:t>
      </w:r>
      <w:r>
        <w:t xml:space="preserve">3.1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 and the regression line of the figure illustrates the relation.</w:t>
      </w:r>
      <w:r>
        <w:t xml:space="preserve"> </w:t>
      </w:r>
      <w:r>
        <w:t xml:space="preserve">Actually, the estimation of</w:t>
      </w:r>
      <w:r>
        <w:t xml:space="preserve"> </w:t>
      </w:r>
      <m:oMath>
        <m:r>
          <m:t>z</m:t>
        </m:r>
      </m:oMath>
      <w:r>
        <w:t xml:space="preserve"> </w:t>
      </w:r>
      <w:r>
        <w:t xml:space="preserve">was made as explained in the methods by 1000 random draws of sets of a single random plot per location.</w:t>
      </w:r>
    </w:p>
    <w:p>
      <w:pPr>
        <w:pStyle w:val="Corpsdetexte"/>
      </w:pPr>
    </w:p>
    <w:p>
      <w:pPr>
        <w:pStyle w:val="CaptionedFigure"/>
      </w:pPr>
      <w:r>
        <w:drawing>
          <wp:inline>
            <wp:extent cx="4620126" cy="3696101"/>
            <wp:effectExtent b="0" l="0" r="0" t="0"/>
            <wp:docPr descr="Figure 3.1: Relation between Sørensen’s similarity and the distance between pairs of plots. Both axes are in base-10 logarithms, distances are in meters. Each point is a pair of plots more than 1000 m (10^3) apart, up to 377 km. A linear model is fitted: the slope of the regression is -2z." title="" id="32" name="Picture"/>
            <a:graphic>
              <a:graphicData uri="http://schemas.openxmlformats.org/drawingml/2006/picture">
                <pic:pic>
                  <pic:nvPicPr>
                    <pic:cNvPr descr="JTE-22-105_files/figure-docx/slop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4" w:name="fig:slope"/>
      <w:bookmarkEnd w:id="34"/>
      <w:r>
        <w:t xml:space="preserve">Figure 3.1: Relation between Sørensen’s similarity and the distance between pairs of plots. Both axes are in base-10 logarithms, distances are in meters. Each point is a pair of plots more than 1000 m (</w:t>
      </w:r>
      <m:oMath>
        <m:sSup>
          <m:e>
            <m:r>
              <m:t>10</m:t>
            </m:r>
          </m:e>
          <m:sup>
            <m:r>
              <m:t>3</m:t>
            </m:r>
          </m:sup>
        </m:sSup>
      </m:oMath>
      <w:r>
        <w:t xml:space="preserve">) apart, up to 377 km. A linear model is fitted: the slope of the regression is</w:t>
      </w:r>
      <w:r>
        <w:t xml:space="preserve"> </w:t>
      </w:r>
      <m:oMath>
        <m:r>
          <m:rPr>
            <m:sty m:val="p"/>
          </m:rPr>
          <m:t>−</m:t>
        </m:r>
        <m:r>
          <m:t>2</m:t>
        </m:r>
        <m:r>
          <m:t>z</m:t>
        </m:r>
      </m:oMath>
      <w:r>
        <w:t xml:space="preserve">.</w:t>
      </w:r>
    </w:p>
    <w:p>
      <w:pPr>
        <w:pStyle w:val="Corpsdetexte"/>
      </w:pPr>
    </w:p>
    <w:p>
      <w:pPr>
        <w:pStyle w:val="Corpsdetexte"/>
      </w:pPr>
      <w:r>
        <w:t xml:space="preserve">The estimated value of</w:t>
      </w:r>
      <w:r>
        <w:t xml:space="preserve"> </w:t>
      </w:r>
      <m:oMath>
        <m:r>
          <m:t>z</m:t>
        </m:r>
      </m:oMath>
      <w:r>
        <w:t xml:space="preserve"> </w:t>
      </w:r>
      <w:r>
        <w:t xml:space="preserve">is 0.104 with a 95% confidence interval between 0.088 and 0.120.</w:t>
      </w:r>
    </w:p>
    <w:p>
      <w:pPr>
        <w:pStyle w:val="Corpsdetexte"/>
      </w:pPr>
      <w:r>
        <w:t xml:space="preserve">The estimated number of species per square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r>
        <w:t xml:space="preserve">Finally, the estimated number of species is 2234.</w:t>
      </w:r>
      <w:r>
        <w:t xml:space="preserve"> </w:t>
      </w:r>
      <w:r>
        <w:t xml:space="preserve">Taking into account the uncertainty about</w:t>
      </w:r>
      <w:r>
        <w:t xml:space="preserve"> </w:t>
      </w:r>
      <m:oMath>
        <m:r>
          <m:t>c</m:t>
        </m:r>
      </m:oMath>
      <w:r>
        <w:t xml:space="preserve"> </w:t>
      </w:r>
      <w:r>
        <w:t xml:space="preserve">and</w:t>
      </w:r>
      <w:r>
        <w:t xml:space="preserve"> </w:t>
      </w:r>
      <m:oMath>
        <m:r>
          <m:t>z</m:t>
        </m:r>
      </m:oMath>
      <w:r>
        <w:t xml:space="preserve">, its 95% confidence interval is between 1587 and 2882.</w:t>
      </w:r>
    </w:p>
    <w:bookmarkEnd w:id="35"/>
    <w:bookmarkStart w:id="36" w:name="species-accumulation"/>
    <w:p>
      <w:pPr>
        <w:pStyle w:val="Titre2"/>
      </w:pPr>
      <w:r>
        <w:rPr>
          <w:rStyle w:val="SectionNumber"/>
        </w:rPr>
        <w:t xml:space="preserve">3.2</w:t>
      </w:r>
      <w:r>
        <w:tab/>
      </w:r>
      <w:r>
        <w:t xml:space="preserve">Species accumulation</w:t>
      </w:r>
    </w:p>
    <w:p>
      <w:pPr>
        <w:pStyle w:val="FirstParagraph"/>
      </w:pP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r>
        <w:t xml:space="preserve"> </w:t>
      </w:r>
      <w:r>
        <w:t xml:space="preserve">Its confidence interval is between 1563 and 1791 at the 5% risk level.</w:t>
      </w:r>
    </w:p>
    <w:p>
      <w:pPr>
        <w:pStyle w:val="Corpsdetexte"/>
      </w:pPr>
      <w:r>
        <w:t xml:space="preserve">The Chao2 estimator applied to the same plots aggregated into 100 x 100 km cells is 1643.</w:t>
      </w:r>
      <w:r>
        <w:t xml:space="preserve"> </w:t>
      </w:r>
      <w:r>
        <w:t xml:space="preserve">Its confidence interval is between 1436 and 1564 at the 5% risk level.</w:t>
      </w:r>
    </w:p>
    <w:bookmarkEnd w:id="36"/>
    <w:bookmarkStart w:id="41" w:name="log-series-extrapolation-1"/>
    <w:p>
      <w:pPr>
        <w:pStyle w:val="Titre2"/>
      </w:pPr>
      <w:r>
        <w:rPr>
          <w:rStyle w:val="SectionNumber"/>
        </w:rPr>
        <w:t xml:space="preserve">3.3</w:t>
      </w:r>
      <w:r>
        <w:tab/>
      </w:r>
      <w:r>
        <w:t xml:space="preserve">Log-series extrapolation</w:t>
      </w:r>
    </w:p>
    <w:p>
      <w:pPr>
        <w:pStyle w:val="FirstParagraph"/>
      </w:pPr>
      <w:r>
        <w:t xml:space="preserve">The mean number of trees per ha in the Guyadiv 1-ha plots is 627.</w:t>
      </w:r>
      <w:r>
        <w:t xml:space="preserve"> </w:t>
      </w:r>
      <w:r>
        <w:t xml:space="preserve">There are close to 5 billion trees in French Guiana.</w:t>
      </w:r>
    </w:p>
    <w:p>
      <w:pPr>
        <w:pStyle w:val="Corpsdetexte"/>
      </w:pPr>
      <w:r>
        <w:t xml:space="preserve">Figure</w:t>
      </w:r>
      <w:r>
        <w:t xml:space="preserve"> </w:t>
      </w:r>
      <w:r>
        <w:t xml:space="preserve">3.2</w:t>
      </w:r>
      <w:r>
        <w:t xml:space="preserve"> </w:t>
      </w:r>
      <w:r>
        <w:t xml:space="preserve">is the rank-abundance curve of the species.</w:t>
      </w:r>
      <w:r>
        <w:t xml:space="preserve"> </w:t>
      </w:r>
      <w:r>
        <w:t xml:space="preserve">The most abundant tree species is</w:t>
      </w:r>
      <w:r>
        <w:t xml:space="preserve"> </w:t>
      </w:r>
      <w:r>
        <w:rPr>
          <w:iCs/>
          <w:i/>
        </w:rPr>
        <w:t xml:space="preserve">sp_200</w:t>
      </w:r>
      <w:r>
        <w:t xml:space="preserve"> </w:t>
      </w:r>
      <w:r>
        <w:t xml:space="preserve">with around 151 million trees.</w:t>
      </w:r>
      <w:r>
        <w:t xml:space="preserve"> </w:t>
      </w:r>
      <w:r>
        <w:t xml:space="preserve">The log-abundances of the 25 to 75 percentiles of species are linearly related to the rank, allowing the extrapolation of the curve (the red line).</w:t>
      </w:r>
    </w:p>
    <w:p>
      <w:pPr>
        <w:pStyle w:val="Corpsdetexte"/>
      </w:pPr>
    </w:p>
    <w:p>
      <w:pPr>
        <w:pStyle w:val="CaptionedFigure"/>
      </w:pPr>
      <w:r>
        <w:drawing>
          <wp:inline>
            <wp:extent cx="4620126" cy="3696101"/>
            <wp:effectExtent b="0" l="0" r="0" t="0"/>
            <wp:docPr descr="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38" name="Picture"/>
            <a:graphic>
              <a:graphicData uri="http://schemas.openxmlformats.org/drawingml/2006/picture">
                <pic:pic>
                  <pic:nvPicPr>
                    <pic:cNvPr descr="JTE-22-105_files/figure-docx/logseries-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0" w:name="fig:logseries"/>
      <w:bookmarkEnd w:id="40"/>
      <w:r>
        <w:t xml:space="preserve">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p>
    <w:bookmarkEnd w:id="41"/>
    <w:bookmarkStart w:id="46" w:name="universal-species-area-relationship-1"/>
    <w:p>
      <w:pPr>
        <w:pStyle w:val="Titre2"/>
      </w:pPr>
      <w:r>
        <w:rPr>
          <w:rStyle w:val="SectionNumber"/>
        </w:rPr>
        <w:t xml:space="preserve">3.4</w:t>
      </w:r>
      <w:r>
        <w:tab/>
      </w:r>
      <w:r>
        <w:t xml:space="preserve">Universal species-area relationship</w:t>
      </w:r>
    </w:p>
    <w:p>
      <w:pPr>
        <w:pStyle w:val="FirstParagraph"/>
      </w:pPr>
      <w:r>
        <w:t xml:space="preserve">The method from</w:t>
      </w:r>
      <w:r>
        <w:t xml:space="preserve"> </w:t>
      </w:r>
      <w:r>
        <w:t xml:space="preserve">Harte</w:t>
      </w:r>
      <w:r>
        <w:t xml:space="preserve"> </w:t>
      </w:r>
      <w:r>
        <w:rPr>
          <w:iCs/>
          <w:i/>
        </w:rPr>
        <w:t xml:space="preserve">et al.</w:t>
      </w:r>
      <w:r>
        <w:t xml:space="preserve"> </w:t>
      </w:r>
      <w:r>
        <w:t xml:space="preserve">(2009)</w:t>
      </w:r>
      <w:r>
        <w:t xml:space="preserve"> </w:t>
      </w:r>
      <w:r>
        <w:t xml:space="preserve">is applied to our data.</w:t>
      </w:r>
      <w:r>
        <w:t xml:space="preserve"> </w:t>
      </w:r>
      <w:r>
        <w:t xml:space="preserve">The geometric mean number of trees per hectare estimated from the Guyadiv network is 602 trees/ha.</w:t>
      </w:r>
    </w:p>
    <w:p>
      <w:pPr>
        <w:pStyle w:val="Corpsdetexte"/>
      </w:pPr>
      <w:r>
        <w:t xml:space="preserve">Initial inventories, e.g. 740 trees species in 484 ha in Paracou and the geometric mean number of species in Guyadiv plots, are the starting points of the estimation.</w:t>
      </w:r>
      <w:r>
        <w:t xml:space="preserve"> </w:t>
      </w:r>
      <w:r>
        <w:t xml:space="preserve">Figure</w:t>
      </w:r>
      <w:r>
        <w:t xml:space="preserve"> </w:t>
      </w:r>
      <w:r>
        <w:t xml:space="preserve">3.3</w:t>
      </w:r>
      <w:r>
        <w:t xml:space="preserve"> </w:t>
      </w:r>
      <w:r>
        <w:t xml:space="preserve">shows the species-area curves obtained by successive doubling of the areas.</w:t>
      </w:r>
    </w:p>
    <w:p>
      <w:pPr>
        <w:pStyle w:val="Corpsdetexte"/>
      </w:pPr>
    </w:p>
    <w:p>
      <w:pPr>
        <w:pStyle w:val="CaptionedFigure"/>
      </w:pPr>
      <w:r>
        <w:drawing>
          <wp:inline>
            <wp:extent cx="4620126" cy="3696101"/>
            <wp:effectExtent b="0" l="0" r="0" t="0"/>
            <wp:docPr descr="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 title="" id="43" name="Picture"/>
            <a:graphic>
              <a:graphicData uri="http://schemas.openxmlformats.org/drawingml/2006/picture">
                <pic:pic>
                  <pic:nvPicPr>
                    <pic:cNvPr descr="JTE-22-105_files/figure-docx/harte2009sar-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5" w:name="fig:harte2009sar"/>
      <w:bookmarkEnd w:id="45"/>
      <w:r>
        <w:t xml:space="preserve">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w:t>
      </w:r>
    </w:p>
    <w:p>
      <w:pPr>
        <w:pStyle w:val="Corpsdetexte"/>
      </w:pPr>
    </w:p>
    <w:p>
      <w:pPr>
        <w:pStyle w:val="Corpsdetexte"/>
      </w:pPr>
      <w:r>
        <w:t xml:space="preserve">The curves are almost perfectly fitted by a Michaelis-Menten model, estimated by the linear model</w:t>
      </w:r>
      <w:r>
        <w:t xml:space="preserve"> </w:t>
      </w:r>
      <w:r>
        <w:t xml:space="preserve">(Lineweaver &amp; Burk 1934)</w:t>
      </w:r>
      <w:r>
        <w:t xml:space="preserve"> </w:t>
      </w:r>
      <m:oMath>
        <m:f>
          <m:fPr>
            <m:type m:val="bar"/>
          </m:fPr>
          <m:num>
            <m:r>
              <m:t>1</m:t>
            </m:r>
          </m:num>
          <m:den>
            <m:r>
              <m:rPr>
                <m:sty m:val="p"/>
              </m:rPr>
              <m:t>log</m:t>
            </m:r>
            <m:r>
              <m:t>S</m:t>
            </m:r>
          </m:den>
        </m:f>
        <m:r>
          <m:rPr>
            <m:sty m:val="p"/>
          </m:rPr>
          <m:t>∼</m:t>
        </m:r>
        <m:f>
          <m:fPr>
            <m:type m:val="bar"/>
          </m:fPr>
          <m:num>
            <m:r>
              <m:t>1</m:t>
            </m:r>
          </m:num>
          <m:den>
            <m:r>
              <m:rP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 allowing a very accurate interpolation at any number of trees.</w:t>
      </w:r>
      <w:r>
        <w:t xml:space="preserve"> </w:t>
      </w:r>
      <w:r>
        <w:t xml:space="preserve">The estimated number of species is thus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p>
      <w:pPr>
        <w:pStyle w:val="FirstParagraph"/>
      </w:pPr>
      <w:r>
        <w:t xml:space="preserve">The extrapolation from the average 1-ha plot is 4737 species.</w:t>
      </w:r>
      <w:r>
        <w:t xml:space="preserve"> </w:t>
      </w:r>
      <w:r>
        <w:t xml:space="preserve">Since it is far less reliable than those from the wide inventories, with 7 to 9 more doubling steps, we do not retain it to produce the average estimate of the universal SAR.</w:t>
      </w:r>
      <w:r>
        <w:t xml:space="preserve"> </w:t>
      </w:r>
      <w:r>
        <w:t xml:space="preserve">Finally, we obtain 2787 species.</w:t>
      </w:r>
    </w:p>
    <w:bookmarkEnd w:id="46"/>
    <w:bookmarkStart w:id="48" w:name="summary"/>
    <w:p>
      <w:pPr>
        <w:pStyle w:val="Titre2"/>
      </w:pPr>
      <w:r>
        <w:rPr>
          <w:rStyle w:val="SectionNumber"/>
        </w:rPr>
        <w:t xml:space="preserve">3.5</w:t>
      </w:r>
      <w:r>
        <w:tab/>
      </w:r>
      <w:r>
        <w:t xml:space="preserve">Summary</w:t>
      </w:r>
    </w:p>
    <w:p>
      <w:pPr>
        <w:pStyle w:val="FirstParagraph"/>
      </w:pPr>
      <w:r>
        <w:t xml:space="preserve">The estimated number of species according to the different methods is summarized in table</w:t>
      </w:r>
      <w:r>
        <w:t xml:space="preserve"> </w:t>
      </w:r>
      <w:r>
        <w:t xml:space="preserve">3.1</w:t>
      </w:r>
      <w:r>
        <w:t xml:space="preserve">.</w:t>
      </w:r>
    </w:p>
    <w:p>
      <w:pPr>
        <w:pStyle w:val="Corpsdetexte"/>
      </w:pPr>
    </w:p>
    <w:p>
      <w:pPr>
        <w:pStyle w:val="Corpsdetexte"/>
      </w:pPr>
      <w:bookmarkStart w:id="47" w:name="tab:summary"/>
      <w:bookmarkEnd w:id="47"/>
      <w:r>
        <w:t xml:space="preserve">Table 3.1: (#tab:summary)Estimated number of tree species in French Guiana,</w:t>
      </w:r>
      <w:r>
        <w:t xml:space="preserve"> </w:t>
      </w:r>
      <w:r>
        <w:t xml:space="preserve">according to all methods detailed in the text.</w:t>
      </w:r>
      <w:r>
        <w:t xml:space="preserve"> </w:t>
      </w:r>
      <w:r>
        <w:t xml:space="preserve">Self-similarity is the appropriate method at this scale.</w:t>
      </w:r>
    </w:p>
    <w:p>
      <w:pPr>
        <w:pStyle w:val="Corpsdetexte"/>
      </w:pPr>
      <w:r>
        <w:t xml:space="preserve">Method</w:t>
      </w:r>
    </w:p>
    <w:p>
      <w:pPr>
        <w:pStyle w:val="Corpsdetexte"/>
      </w:pPr>
      <w:r>
        <w:t xml:space="preserve">Number of species</w:t>
      </w:r>
    </w:p>
    <w:p>
      <w:pPr>
        <w:pStyle w:val="Corpsdetexte"/>
      </w:pPr>
      <w:r>
        <w:t xml:space="preserve">Lower bound</w:t>
      </w:r>
    </w:p>
    <w:p>
      <w:pPr>
        <w:pStyle w:val="Corpsdetexte"/>
      </w:pPr>
      <w:r>
        <w:t xml:space="preserve">Upper bound</w:t>
      </w:r>
    </w:p>
    <w:p>
      <w:pPr>
        <w:pStyle w:val="Corpsdetexte"/>
      </w:pPr>
      <w:r>
        <w:t xml:space="preserve">Self-similarity</w:t>
      </w:r>
    </w:p>
    <w:p>
      <w:pPr>
        <w:pStyle w:val="Corpsdetexte"/>
      </w:pPr>
      <w:r>
        <w:t xml:space="preserve">2234</w:t>
      </w:r>
    </w:p>
    <w:p>
      <w:pPr>
        <w:pStyle w:val="Corpsdetexte"/>
      </w:pPr>
      <w:r>
        <w:t xml:space="preserve">1587</w:t>
      </w:r>
    </w:p>
    <w:p>
      <w:pPr>
        <w:pStyle w:val="Corpsdetexte"/>
      </w:pPr>
      <w:r>
        <w:t xml:space="preserve">2882</w:t>
      </w:r>
    </w:p>
    <w:p>
      <w:pPr>
        <w:pStyle w:val="Corpsdetexte"/>
      </w:pPr>
      <w:r>
        <w:t xml:space="preserve">Species accumulation (abundance)</w:t>
      </w:r>
    </w:p>
    <w:p>
      <w:pPr>
        <w:pStyle w:val="Corpsdetexte"/>
      </w:pPr>
      <w:r>
        <w:t xml:space="preserve">1677</w:t>
      </w:r>
    </w:p>
    <w:p>
      <w:pPr>
        <w:pStyle w:val="Corpsdetexte"/>
      </w:pPr>
      <w:r>
        <w:t xml:space="preserve">1563</w:t>
      </w:r>
    </w:p>
    <w:p>
      <w:pPr>
        <w:pStyle w:val="Corpsdetexte"/>
      </w:pPr>
      <w:r>
        <w:t xml:space="preserve">1791</w:t>
      </w:r>
    </w:p>
    <w:p>
      <w:pPr>
        <w:pStyle w:val="Corpsdetexte"/>
      </w:pPr>
      <w:r>
        <w:t xml:space="preserve">Species accumulation (incidence)</w:t>
      </w:r>
    </w:p>
    <w:p>
      <w:pPr>
        <w:pStyle w:val="Corpsdetexte"/>
      </w:pPr>
      <w:r>
        <w:t xml:space="preserve">1643</w:t>
      </w:r>
    </w:p>
    <w:p>
      <w:pPr>
        <w:pStyle w:val="Corpsdetexte"/>
      </w:pPr>
      <w:r>
        <w:t xml:space="preserve">1436</w:t>
      </w:r>
    </w:p>
    <w:p>
      <w:pPr>
        <w:pStyle w:val="Corpsdetexte"/>
      </w:pPr>
      <w:r>
        <w:t xml:space="preserve">1564</w:t>
      </w:r>
    </w:p>
    <w:p>
      <w:pPr>
        <w:pStyle w:val="Corpsdetexte"/>
      </w:pPr>
      <w:r>
        <w:t xml:space="preserve">Log-series extrapolation</w:t>
      </w:r>
    </w:p>
    <w:p>
      <w:pPr>
        <w:pStyle w:val="Corpsdetexte"/>
      </w:pPr>
      <w:r>
        <w:t xml:space="preserve">4368</w:t>
      </w:r>
    </w:p>
    <w:p>
      <w:pPr>
        <w:pStyle w:val="Corpsdetexte"/>
      </w:pPr>
      <w:r>
        <w:t xml:space="preserve">Universal species-area relationship</w:t>
      </w:r>
    </w:p>
    <w:p>
      <w:pPr>
        <w:pStyle w:val="Corpsdetexte"/>
      </w:pPr>
      <w:r>
        <w:t xml:space="preserve">2787</w:t>
      </w:r>
    </w:p>
    <w:p>
      <w:pPr>
        <w:pStyle w:val="Corpsdetexte"/>
      </w:pPr>
      <w:r>
        <w:t xml:space="preserve">2385</w:t>
      </w:r>
    </w:p>
    <w:p>
      <w:pPr>
        <w:pStyle w:val="Corpsdetexte"/>
      </w:pPr>
      <w:r>
        <w:t xml:space="preserve">4737</w:t>
      </w:r>
    </w:p>
    <w:p>
      <w:pPr>
        <w:pStyle w:val="Corpsdetexte"/>
      </w:pPr>
    </w:p>
    <w:bookmarkEnd w:id="48"/>
    <w:bookmarkEnd w:id="49"/>
    <w:bookmarkStart w:id="55" w:name="discussion"/>
    <w:p>
      <w:pPr>
        <w:pStyle w:val="Titre1"/>
      </w:pPr>
      <w:r>
        <w:rPr>
          <w:rStyle w:val="SectionNumber"/>
        </w:rPr>
        <w:t xml:space="preserve">4</w:t>
      </w:r>
      <w:r>
        <w:tab/>
      </w:r>
      <w:r>
        <w:t xml:space="preserve">Discussion</w:t>
      </w:r>
    </w:p>
    <w:bookmarkStart w:id="50" w:name="Xe37bb51935a08ee5bb4dea50d3990b48311b826"/>
    <w:p>
      <w:pPr>
        <w:pStyle w:val="Titre2"/>
      </w:pPr>
      <w:r>
        <w:rPr>
          <w:rStyle w:val="SectionNumber"/>
        </w:rPr>
        <w:t xml:space="preserve">4.1</w:t>
      </w:r>
      <w:r>
        <w:tab/>
      </w:r>
      <w:r>
        <w:t xml:space="preserve">The species-area relationship varies across scales</w:t>
      </w:r>
    </w:p>
    <w:p>
      <w:pPr>
        <w:pStyle w:val="FirstParagraph"/>
      </w:pPr>
      <w:r>
        <w:t xml:space="preserve">We consider three different spatial scales where different models apply.</w:t>
      </w:r>
    </w:p>
    <w:p>
      <w:pPr>
        <w:pStyle w:val="Corpsdetexte"/>
      </w:pPr>
      <w:r>
        <w:t xml:space="preserve">At the local scale, i.e. inside a single community, the relation between the area and the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Local SACs have been extensively studied and are out of the scope of this paper, but a few results are important here.</w:t>
      </w:r>
      <w:r>
        <w:t xml:space="preserve"> </w:t>
      </w:r>
      <w:r>
        <w:t xml:space="preserve">The distributions of local, tropical moist forest communities are often approximately log-normal.</w:t>
      </w:r>
      <w:r>
        <w:t xml:space="preserve"> </w:t>
      </w:r>
      <w:r>
        <w:t xml:space="preserve">This has been shown empirically</w:t>
      </w:r>
      <w:r>
        <w:t xml:space="preserve"> </w:t>
      </w:r>
      <w:r>
        <w:t xml:space="preserve">(e.g. Duque</w:t>
      </w:r>
      <w:r>
        <w:t xml:space="preserve"> </w:t>
      </w:r>
      <w:r>
        <w:rPr>
          <w:iCs/>
          <w:i/>
        </w:rPr>
        <w:t xml:space="preserve">et al.</w:t>
      </w:r>
      <w:r>
        <w:t xml:space="preserve"> </w:t>
      </w:r>
      <w:r>
        <w:t xml:space="preserve">2017)</w:t>
      </w:r>
      <w:r>
        <w:t xml:space="preserve"> </w:t>
      </w:r>
      <w:r>
        <w:t xml:space="preserve">and theoretically</w:t>
      </w:r>
      <w:r>
        <w:t xml:space="preserve"> </w:t>
      </w:r>
      <w:r>
        <w:t xml:space="preserve">(May 1975; Preston 1948, 1962)</w:t>
      </w:r>
      <w:r>
        <w:t xml:space="preserve">.</w:t>
      </w:r>
      <w:r>
        <w:t xml:space="preserve"> </w:t>
      </w:r>
      <w:r>
        <w:t xml:space="preserve">In the framework of the neutral theory</w:t>
      </w:r>
      <w:r>
        <w:t xml:space="preserve"> </w:t>
      </w:r>
      <w:r>
        <w:t xml:space="preserve">(Hubbell 2001)</w:t>
      </w:r>
      <w:r>
        <w:t xml:space="preserve">, the local community follows a zero-sum multinomial distribution, derived by</w:t>
      </w:r>
      <w:r>
        <w:t xml:space="preserve"> </w:t>
      </w:r>
      <w:r>
        <w:t xml:space="preserve">Volkov</w:t>
      </w:r>
      <w:r>
        <w:t xml:space="preserve"> </w:t>
      </w:r>
      <w:r>
        <w:rPr>
          <w:iCs/>
          <w:i/>
        </w:rPr>
        <w:t xml:space="preserve">et al.</w:t>
      </w:r>
      <w:r>
        <w:t xml:space="preserve"> </w:t>
      </w:r>
      <w:r>
        <w:t xml:space="preserve">(2003)</w:t>
      </w:r>
      <w:r>
        <w:t xml:space="preserve"> </w:t>
      </w:r>
      <w:r>
        <w:t xml:space="preserve">but challenged empirically by</w:t>
      </w:r>
      <w:r>
        <w:t xml:space="preserve"> </w:t>
      </w:r>
      <w:r>
        <w:t xml:space="preserve">McGill (2003)</w:t>
      </w:r>
      <w:r>
        <w:t xml:space="preserve">, in favor of the log-normal distribution.</w:t>
      </w:r>
    </w:p>
    <w:p>
      <w:pPr>
        <w:pStyle w:val="Corpsdetexte"/>
      </w:pPr>
      <w:r>
        <w:t xml:space="preserve">The SAC, plotted as the number of species against the number of individuals in natural scale, is concave downwards since its slope is the probability for the next individual to belong to a new species</w:t>
      </w:r>
      <w:r>
        <w:t xml:space="preserve"> </w:t>
      </w:r>
      <w:r>
        <w:t xml:space="preserve">(Chao</w:t>
      </w:r>
      <w:r>
        <w:t xml:space="preserve"> </w:t>
      </w:r>
      <w:r>
        <w:rPr>
          <w:iCs/>
          <w:i/>
        </w:rPr>
        <w:t xml:space="preserve">et al.</w:t>
      </w:r>
      <w:r>
        <w:t xml:space="preserve"> </w:t>
      </w:r>
      <w:r>
        <w:t xml:space="preserve">2013; Grabchak</w:t>
      </w:r>
      <w:r>
        <w:t xml:space="preserve"> </w:t>
      </w:r>
      <w:r>
        <w:rPr>
          <w:iCs/>
          <w:i/>
        </w:rPr>
        <w:t xml:space="preserve">et al.</w:t>
      </w:r>
      <w:r>
        <w:t xml:space="preserve"> </w:t>
      </w:r>
      <w:r>
        <w:t xml:space="preserve">2017)</w:t>
      </w:r>
      <w:r>
        <w:t xml:space="preserve">, which decreases with the sampling effort.</w:t>
      </w:r>
      <w:r>
        <w:t xml:space="preserve"> </w:t>
      </w:r>
      <w:r>
        <w:t xml:space="preserve">This means that the Arrhenius power law does not apply at the local scale.</w:t>
      </w:r>
      <w:r>
        <w:t xml:space="preserve"> </w:t>
      </w:r>
      <w:r>
        <w:t xml:space="preserve">The power law can be estimated empirically</w:t>
      </w:r>
      <w:r>
        <w:t xml:space="preserve"> </w:t>
      </w:r>
      <w:r>
        <w:t xml:space="preserve">(Condit</w:t>
      </w:r>
      <w:r>
        <w:t xml:space="preserve"> </w:t>
      </w:r>
      <w:r>
        <w:rPr>
          <w:iCs/>
          <w:i/>
        </w:rPr>
        <w:t xml:space="preserve">et al.</w:t>
      </w:r>
      <w:r>
        <w:t xml:space="preserve"> </w:t>
      </w:r>
      <w:r>
        <w:t xml:space="preserve">1996; Plotkin</w:t>
      </w:r>
      <w:r>
        <w:t xml:space="preserve"> </w:t>
      </w:r>
      <w:r>
        <w:rPr>
          <w:iCs/>
          <w:i/>
        </w:rPr>
        <w:t xml:space="preserve">et al.</w:t>
      </w:r>
      <w:r>
        <w:t xml:space="preserve"> </w:t>
      </w:r>
      <w:r>
        <w:t xml:space="preserve">2000)</w:t>
      </w:r>
      <w:r>
        <w:t xml:space="preserve"> </w:t>
      </w:r>
      <w:r>
        <w:t xml:space="preserve">but then the value of</w:t>
      </w:r>
      <w:r>
        <w:t xml:space="preserve"> </w:t>
      </w:r>
      <m:oMath>
        <m:r>
          <m:t>z</m:t>
        </m:r>
      </m:oMath>
      <w:r>
        <w:t xml:space="preserve"> </w:t>
      </w:r>
      <w:r>
        <w:t xml:space="preserve">depends on the distance, which is in contradiction with the model, which relies on a constant</w:t>
      </w:r>
      <w:r>
        <w:t xml:space="preserve"> </w:t>
      </w:r>
      <m:oMath>
        <m:r>
          <m:t>z</m:t>
        </m:r>
      </m:oMath>
      <w:r>
        <w:t xml:space="preserve">.</w:t>
      </w:r>
    </w:p>
    <w:p>
      <w:pPr>
        <w:pStyle w:val="Corpsdetexte"/>
      </w:pPr>
      <w:r>
        <w:t xml:space="preserve">At the regional scale, the mixture of local communities makes a new pattern emerge, namely the power law of</w:t>
      </w:r>
      <w:r>
        <w:t xml:space="preserve"> </w:t>
      </w:r>
      <w:r>
        <w:t xml:space="preserve">Arrhenius (1921)</w:t>
      </w:r>
      <w:r>
        <w:t xml:space="preserve">.</w:t>
      </w:r>
      <w:r>
        <w:t xml:space="preserve"> </w:t>
      </w:r>
      <w:r>
        <w:t xml:space="preserve">Its origin is empirical, with a lot of support</w:t>
      </w:r>
      <w:r>
        <w:t xml:space="preserve"> </w:t>
      </w:r>
      <w:r>
        <w:t xml:space="preserve">(e.g. Dengler 2009; Triantis</w:t>
      </w:r>
      <w:r>
        <w:t xml:space="preserve"> </w:t>
      </w:r>
      <w:r>
        <w:rPr>
          <w:iCs/>
          <w:i/>
        </w:rPr>
        <w:t xml:space="preserve">et al.</w:t>
      </w:r>
      <w:r>
        <w:t xml:space="preserve"> </w:t>
      </w:r>
      <w:r>
        <w:t xml:space="preserve">2012; Williamson</w:t>
      </w:r>
      <w:r>
        <w:t xml:space="preserve"> </w:t>
      </w:r>
      <w:r>
        <w:rPr>
          <w:iCs/>
          <w:i/>
        </w:rPr>
        <w:t xml:space="preserve">et al.</w:t>
      </w:r>
      <w:r>
        <w:t xml:space="preserve"> </w:t>
      </w:r>
      <w:r>
        <w:t xml:space="preserve">2001)</w:t>
      </w:r>
      <w:r>
        <w:t xml:space="preserve">.</w:t>
      </w:r>
      <w:r>
        <w:t xml:space="preserve"> </w:t>
      </w:r>
      <w:r>
        <w:t xml:space="preserve">Theoretically,</w:t>
      </w:r>
      <w:r>
        <w:t xml:space="preserve"> </w:t>
      </w:r>
      <w:r>
        <w:t xml:space="preserve">Hubbell (2001)</w:t>
      </w:r>
      <w:r>
        <w:t xml:space="preserve"> </w:t>
      </w:r>
      <w:r>
        <w:t xml:space="preserve">showed that the power law applied to intermediate scales of the neutral theory and</w:t>
      </w:r>
      <w:r>
        <w:t xml:space="preserve"> </w:t>
      </w:r>
      <w:r>
        <w:t xml:space="preserve">Grilli</w:t>
      </w:r>
      <w:r>
        <w:t xml:space="preserve"> </w:t>
      </w:r>
      <w:r>
        <w:rPr>
          <w:iCs/>
          <w:i/>
        </w:rPr>
        <w:t xml:space="preserve">et al.</w:t>
      </w:r>
      <w:r>
        <w:t xml:space="preserve"> </w:t>
      </w:r>
      <w:r>
        <w:t xml:space="preserve">(2012)</w:t>
      </w:r>
      <w:r>
        <w:t xml:space="preserve"> </w:t>
      </w:r>
      <w:r>
        <w:t xml:space="preserve">derived it from a spatially-explicit model only based on the clustering of species.</w:t>
      </w:r>
      <w:r>
        <w:t xml:space="preserve"> </w:t>
      </w:r>
      <w:r>
        <w:t xml:space="preserve">Preston (1962)</w:t>
      </w:r>
      <w:r>
        <w:t xml:space="preserve"> </w:t>
      </w:r>
      <w:r>
        <w:t xml:space="preserve">showed that local, log-normal communities imply the power law at the regional scale.</w:t>
      </w:r>
      <w:r>
        <w:t xml:space="preserve"> </w:t>
      </w:r>
      <w:r>
        <w:t xml:space="preserve">At this scale, the species-area relationship (SAR) properly speaking is not just a matter of accumulation due to sampling (SAC) but the consequence of the inclusion of different communities.</w:t>
      </w:r>
    </w:p>
    <w:p>
      <w:pPr>
        <w:pStyle w:val="Corpsdetexte"/>
      </w:pPr>
      <w:r>
        <w:t xml:space="preserve">A long empirical controversy</w:t>
      </w:r>
      <w:r>
        <w:t xml:space="preserve"> </w:t>
      </w:r>
      <w:r>
        <w:t xml:space="preserve">(Connor &amp; McCoy 1979)</w:t>
      </w:r>
      <w:r>
        <w:t xml:space="preserve"> </w:t>
      </w:r>
      <w:r>
        <w:t xml:space="preserve">opposed Arrhenius and</w:t>
      </w:r>
      <w:r>
        <w:t xml:space="preserve"> </w:t>
      </w:r>
      <w:r>
        <w:t xml:space="preserve">Gleason (1922)</w:t>
      </w:r>
      <w:r>
        <w:t xml:space="preserve">, who argued that the number of species predicted by the power law was far too high and proposed</w:t>
      </w:r>
      <w:r>
        <w:t xml:space="preserve"> </w:t>
      </w:r>
      <m:oMath>
        <m:r>
          <m:rPr>
            <m:sty m:val="p"/>
          </m:rPr>
          <m:t>S</m:t>
        </m:r>
        <m:d>
          <m:dPr>
            <m:begChr m:val="("/>
            <m:endChr m:val=")"/>
            <m:sepChr m:val=""/>
            <m:grow/>
          </m:dPr>
          <m:e>
            <m:r>
              <m:t>A</m:t>
            </m:r>
          </m:e>
        </m:d>
        <m:r>
          <m:rPr>
            <m:sty m:val="p"/>
          </m:rPr>
          <m:t>=</m:t>
        </m:r>
        <m:r>
          <m:t>z</m:t>
        </m:r>
        <m:r>
          <m:rPr>
            <m:sty m:val="p"/>
          </m:rPr>
          <m:t>ln</m:t>
        </m:r>
        <m:r>
          <m:t>A</m:t>
        </m:r>
        <m:r>
          <m:rPr>
            <m:sty m:val="p"/>
          </m:rPr>
          <m:t>+</m:t>
        </m:r>
        <m:sSub>
          <m:e>
            <m:r>
              <m:t>c</m:t>
            </m:r>
          </m:e>
          <m:sub>
            <m:r>
              <m:t>g</m:t>
            </m:r>
          </m:sub>
        </m:sSub>
      </m:oMath>
      <w:r>
        <w:t xml:space="preserve"> </w:t>
      </w:r>
      <w:r>
        <w:t xml:space="preserve">rather than the equivalent of eq.</w:t>
      </w:r>
      <w:r>
        <w:t xml:space="preserve"> </w:t>
      </w:r>
      <w:r>
        <w:t xml:space="preserve">(2.1), i.e. </w:t>
      </w:r>
      <m:oMath>
        <m:r>
          <m:rPr>
            <m:sty m:val="p"/>
          </m:rPr>
          <m:t>ln</m:t>
        </m:r>
        <m:r>
          <m:rPr>
            <m:sty m:val="p"/>
          </m:rPr>
          <m:t>S</m:t>
        </m:r>
        <m:d>
          <m:dPr>
            <m:begChr m:val="("/>
            <m:endChr m:val=")"/>
            <m:sepChr m:val=""/>
            <m:grow/>
          </m:dPr>
          <m:e>
            <m:r>
              <m:t>A</m:t>
            </m:r>
          </m:e>
        </m:d>
        <m:r>
          <m:rPr>
            <m:sty m:val="p"/>
          </m:rPr>
          <m:t>=</m:t>
        </m:r>
        <m:r>
          <m:t>z</m:t>
        </m:r>
        <m:r>
          <m:rPr>
            <m:sty m:val="p"/>
          </m:rPr>
          <m:t>ln</m:t>
        </m:r>
        <m:r>
          <m:t>A</m:t>
        </m:r>
        <m:r>
          <m:rPr>
            <m:sty m:val="p"/>
          </m:rPr>
          <m:t>+</m:t>
        </m:r>
        <m:sSub>
          <m:e>
            <m:r>
              <m:t>c</m:t>
            </m:r>
          </m:e>
          <m:sub>
            <m:r>
              <m:t>a</m:t>
            </m:r>
          </m:sub>
        </m:sSub>
      </m:oMath>
      <w:r>
        <w:t xml:space="preserve"> </w:t>
      </w:r>
      <w:r>
        <w:t xml:space="preserve">(where</w:t>
      </w:r>
      <w:r>
        <w:t xml:space="preserve"> </w:t>
      </w:r>
      <m:oMath>
        <m:sSub>
          <m:e>
            <m:r>
              <m:t>c</m:t>
            </m:r>
          </m:e>
          <m:sub>
            <m:r>
              <m:t>g</m:t>
            </m:r>
          </m:sub>
        </m:sSub>
      </m:oMath>
      <w:r>
        <w:t xml:space="preserve">,</w:t>
      </w:r>
      <w:r>
        <w:t xml:space="preserve"> </w:t>
      </w:r>
      <m:oMath>
        <m:sSub>
          <m:e>
            <m:r>
              <m:t>c</m:t>
            </m:r>
          </m:e>
          <m:sub>
            <m:r>
              <m:t>a</m:t>
            </m:r>
          </m:sub>
        </m:sSub>
      </m:oMath>
      <w:r>
        <w:t xml:space="preserve"> </w:t>
      </w:r>
      <w:r>
        <w:t xml:space="preserve">and</w:t>
      </w:r>
      <w:r>
        <w:t xml:space="preserve"> </w:t>
      </w:r>
      <m:oMath>
        <m:sSub>
          <m:e>
            <m:r>
              <m:t>c</m:t>
            </m:r>
          </m:e>
          <m:sub>
            <m:r>
              <m:t>f</m:t>
            </m:r>
          </m:sub>
        </m:sSub>
      </m:oMath>
      <w:r>
        <w:t xml:space="preserve"> </w:t>
      </w:r>
      <w:r>
        <w:t xml:space="preserve">below are constants).</w:t>
      </w:r>
      <w:r>
        <w:t xml:space="preserve"> </w:t>
      </w:r>
      <w:r>
        <w:t xml:space="preserve">Actually, Gleason’s model is equivalent to Fisher’s, where</w:t>
      </w:r>
      <w:r>
        <w:t xml:space="preserve"> </w:t>
      </w:r>
      <m:oMath>
        <m:r>
          <m:rPr>
            <m:sty m:val="p"/>
          </m:rPr>
          <m:t>S</m:t>
        </m:r>
        <m:d>
          <m:dPr>
            <m:begChr m:val="("/>
            <m:endChr m:val=")"/>
            <m:sepChr m:val=""/>
            <m:grow/>
          </m:dPr>
          <m:e>
            <m:r>
              <m:t>A</m:t>
            </m:r>
          </m:e>
        </m:d>
        <m:r>
          <m:rPr>
            <m:sty m:val="p"/>
          </m:rPr>
          <m:t>=</m:t>
        </m:r>
        <m:r>
          <m:t>α</m:t>
        </m:r>
        <m:r>
          <m:rPr>
            <m:sty m:val="p"/>
          </m:rPr>
          <m:t>ln</m:t>
        </m:r>
        <m:r>
          <m:t>A</m:t>
        </m:r>
        <m:r>
          <m:rPr>
            <m:sty m:val="p"/>
          </m:rPr>
          <m:t>+</m:t>
        </m:r>
        <m:sSub>
          <m:e>
            <m:r>
              <m:t>c</m:t>
            </m:r>
          </m:e>
          <m:sub>
            <m:r>
              <m:t>f</m:t>
            </m:r>
          </m:sub>
        </m:sSub>
      </m:oMath>
      <w:r>
        <w:t xml:space="preserve"> </w:t>
      </w:r>
      <w:r>
        <w:t xml:space="preserve">if the number of trees is large and is proportional to the area</w:t>
      </w:r>
      <w:r>
        <w:t xml:space="preserve"> </w:t>
      </w:r>
      <w:r>
        <w:t xml:space="preserve">(Engen 1977)</w:t>
      </w:r>
      <w:r>
        <w:t xml:space="preserve">.</w:t>
      </w:r>
      <w:r>
        <w:t xml:space="preserve"> </w:t>
      </w:r>
      <w:r>
        <w:t xml:space="preserve">There is no theoretical support to apply Gleason’s model at the regional scale</w:t>
      </w:r>
      <w:r>
        <w:t xml:space="preserve"> </w:t>
      </w:r>
      <w:r>
        <w:t xml:space="preserve">(Gárcia Martín &amp; Goldenfeld 2006)</w:t>
      </w:r>
      <w:r>
        <w:t xml:space="preserve">; in other words, the regional distribution of species is not log-series.</w:t>
      </w:r>
    </w:p>
    <w:p>
      <w:pPr>
        <w:pStyle w:val="Corpsdetexte"/>
      </w:pPr>
      <w:r>
        <w:t xml:space="preserve">The widest scale is that of the metacommunity, in the sense of the neutral theory.</w:t>
      </w:r>
      <w:r>
        <w:t xml:space="preserve"> </w:t>
      </w:r>
      <w:r>
        <w:t xml:space="preserve">Its follows a log-series distribution</w:t>
      </w:r>
      <w:r>
        <w:t xml:space="preserve"> </w:t>
      </w:r>
      <w:r>
        <w:t xml:space="preserve">(Hubbell 2001)</w:t>
      </w:r>
      <w:r>
        <w:t xml:space="preserve"> </w:t>
      </w:r>
      <w:r>
        <w:t xml:space="preserve">with Fisher’s</w:t>
      </w:r>
      <w:r>
        <w:t xml:space="preserve"> </w:t>
      </w:r>
      <m:oMath>
        <m:r>
          <m:t>α</m:t>
        </m:r>
      </m:oMath>
      <w:r>
        <w:t xml:space="preserve"> </w:t>
      </w:r>
      <w:r>
        <w:t xml:space="preserve">equal to</w:t>
      </w:r>
      <w:r>
        <w:t xml:space="preserve"> </w:t>
      </w:r>
      <m:oMath>
        <m:r>
          <m:t>θ</m:t>
        </m:r>
      </m:oMath>
      <w:r>
        <w:t xml:space="preserve">, known as the fundamental biodiversity number.</w:t>
      </w:r>
      <w:r>
        <w:t xml:space="preserve"> </w:t>
      </w:r>
      <w:r>
        <w:t xml:space="preserve">The log-series does not apply to the local or regional scale: the empirical estimates of Fisher’s</w:t>
      </w:r>
      <w:r>
        <w:t xml:space="preserve"> </w:t>
      </w:r>
      <m:oMath>
        <m:r>
          <m:t>α</m:t>
        </m:r>
      </m:oMath>
      <w:r>
        <w:t xml:space="preserve"> </w:t>
      </w:r>
      <w:r>
        <w:t xml:space="preserve">at these scales increase with the sampling size</w:t>
      </w:r>
      <w:r>
        <w:t xml:space="preserve"> </w:t>
      </w:r>
      <w:r>
        <w:t xml:space="preserve">(e.g. Condit</w:t>
      </w:r>
      <w:r>
        <w:t xml:space="preserve"> </w:t>
      </w:r>
      <w:r>
        <w:rPr>
          <w:iCs/>
          <w:i/>
        </w:rPr>
        <w:t xml:space="preserve">et al.</w:t>
      </w:r>
      <w:r>
        <w:t xml:space="preserve"> </w:t>
      </w:r>
      <w:r>
        <w:t xml:space="preserve">1996)</w:t>
      </w:r>
      <w:r>
        <w:t xml:space="preserve">, which is again in contradiction with the model, which implies that</w:t>
      </w:r>
      <w:r>
        <w:t xml:space="preserve"> </w:t>
      </w:r>
      <m:oMath>
        <m:r>
          <m:t>α</m:t>
        </m:r>
      </m:oMath>
      <w:r>
        <w:t xml:space="preserve"> </w:t>
      </w:r>
      <w:r>
        <w:t xml:space="preserve">is a constant.</w:t>
      </w:r>
      <w:r>
        <w:t xml:space="preserve"> </w:t>
      </w:r>
      <w:r>
        <w:t xml:space="preserve">At the regional scale, Fisher’s</w:t>
      </w:r>
      <w:r>
        <w:t xml:space="preserve"> </w:t>
      </w:r>
      <m:oMath>
        <m:r>
          <m:t>α</m:t>
        </m:r>
      </m:oMath>
      <w:r>
        <w:t xml:space="preserve"> </w:t>
      </w:r>
      <w:r>
        <w:t xml:space="preserve">increases with area because Arrhenius’s law, and not Gleason’s law, is valid.</w:t>
      </w:r>
      <w:r>
        <w:t xml:space="preserve"> </w:t>
      </w:r>
      <w:r>
        <w:t xml:space="preserve">Yet, our data fit a log-series distribution quite well (figure</w:t>
      </w:r>
      <w:r>
        <w:t xml:space="preserve"> </w:t>
      </w:r>
      <w:r>
        <w:t xml:space="preserve">3.2</w:t>
      </w:r>
      <w:r>
        <w:t xml:space="preserve">): empirical tests are not efficient to reject the model at the regional scale</w:t>
      </w:r>
      <w:r>
        <w:t xml:space="preserve"> </w:t>
      </w:r>
      <w:r>
        <w:t xml:space="preserve">(Connor &amp; McCoy 1979)</w:t>
      </w:r>
      <w:r>
        <w:t xml:space="preserve">.</w:t>
      </w:r>
      <w:r>
        <w:t xml:space="preserve"> </w:t>
      </w:r>
      <w:r>
        <w:t xml:space="preserve">We must rely on theory.</w:t>
      </w:r>
    </w:p>
    <w:p>
      <w:pPr>
        <w:pStyle w:val="Corpsdetexte"/>
      </w:pPr>
      <w:r>
        <w:t xml:space="preserve">The limits between scales are obviously not sharp.</w:t>
      </w:r>
      <w:r>
        <w:t xml:space="preserve"> </w:t>
      </w:r>
      <w:r>
        <w:t xml:space="preserve">Krishnamani</w:t>
      </w:r>
      <w:r>
        <w:t xml:space="preserve"> </w:t>
      </w:r>
      <w:r>
        <w:rPr>
          <w:iCs/>
          <w:i/>
        </w:rPr>
        <w:t xml:space="preserve">et al.</w:t>
      </w:r>
      <w:r>
        <w:t xml:space="preserve"> </w:t>
      </w:r>
      <w:r>
        <w:t xml:space="preserve">(2004)</w:t>
      </w:r>
      <w:r>
        <w:t xml:space="preserve"> </w:t>
      </w:r>
      <w:r>
        <w:t xml:space="preserve">found that</w:t>
      </w:r>
      <w:r>
        <w:t xml:space="preserve"> </w:t>
      </w:r>
      <m:oMath>
        <m:r>
          <m:t>z</m:t>
        </m:r>
      </m:oMath>
      <w:r>
        <w:t xml:space="preserve"> </w:t>
      </w:r>
      <w:r>
        <w:t xml:space="preserve">stabilized when plots more than 1 km apart were considered.</w:t>
      </w:r>
      <w:r>
        <w:t xml:space="preserve"> </w:t>
      </w:r>
      <w:r>
        <w:t xml:space="preserve">We followed them here.</w:t>
      </w:r>
      <w:r>
        <w:t xml:space="preserve"> </w:t>
      </w:r>
      <w:r>
        <w:t xml:space="preserve">Increasing the regional scale makes it converge to the metacommunity.</w:t>
      </w:r>
      <w:r>
        <w:t xml:space="preserve"> </w:t>
      </w:r>
      <w:r>
        <w:t xml:space="preserve">In absence of dispersal limitation, i.e. with migration parameter equal to 1 in the neutral theory, any regional sample would represent the metacommunity and follow a log-series distribution.</w:t>
      </w:r>
      <w:r>
        <w:t xml:space="preserve"> </w:t>
      </w:r>
      <w:r>
        <w:t xml:space="preserve">So the wider the sampled area, the less distinguishable from the metacommunity the data will be, but at the scale of French Guiana, roughly 1% of Amazonia, many less species are present than in a sample of the same size taken across the whole metacommunity, even if we ignore environmental filtering.</w:t>
      </w:r>
    </w:p>
    <w:bookmarkEnd w:id="50"/>
    <w:bookmarkStart w:id="51" w:name="X22559c9a4afa329806ac3d9475099a98fd69a2d"/>
    <w:p>
      <w:pPr>
        <w:pStyle w:val="Titre2"/>
      </w:pPr>
      <w:r>
        <w:rPr>
          <w:rStyle w:val="SectionNumber"/>
        </w:rPr>
        <w:t xml:space="preserve">4.2</w:t>
      </w:r>
      <w:r>
        <w:tab/>
      </w:r>
      <w:r>
        <w:t xml:space="preserve">The self-similarity model can be applied at the regional scale</w:t>
      </w:r>
    </w:p>
    <w:p>
      <w:pPr>
        <w:pStyle w:val="FirstParagraph"/>
      </w:pPr>
      <w:r>
        <w:t xml:space="preserve">The power law is equivalent to self-similarity</w:t>
      </w:r>
      <w:r>
        <w:t xml:space="preserve"> </w:t>
      </w:r>
      <w:r>
        <w:t xml:space="preserve">(Harte</w:t>
      </w:r>
      <w:r>
        <w:t xml:space="preserve"> </w:t>
      </w:r>
      <w:r>
        <w:rPr>
          <w:iCs/>
          <w:i/>
        </w:rPr>
        <w:t xml:space="preserve">et al.</w:t>
      </w:r>
      <w:r>
        <w:t xml:space="preserve"> </w:t>
      </w:r>
      <w:r>
        <w:t xml:space="preserve">1999a)</w:t>
      </w:r>
      <w:r>
        <w:t xml:space="preserve">, justifying our preferred method to estimate the richness of the French Guiana forest.</w:t>
      </w:r>
    </w:p>
    <w:p>
      <w:pPr>
        <w:pStyle w:val="Corpsdetexte"/>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w:t>
      </w:r>
      <w:r>
        <w:t xml:space="preserve"> </w:t>
      </w:r>
      <w:r>
        <w:rPr>
          <w:iCs/>
          <w:i/>
        </w:rPr>
        <w:t xml:space="preserve">et al.</w:t>
      </w:r>
      <w:r>
        <w:t xml:space="preserve"> </w:t>
      </w:r>
      <w:r>
        <w:t xml:space="preserve">(2004)</w:t>
      </w:r>
      <w:r>
        <w:t xml:space="preserve">.</w:t>
      </w:r>
    </w:p>
    <w:p>
      <w:pPr>
        <w:pStyle w:val="Corpsdetexte"/>
      </w:pPr>
      <w:r>
        <w:t xml:space="preserve">As shown in figure</w:t>
      </w:r>
      <w:r>
        <w:t xml:space="preserve"> </w:t>
      </w:r>
      <w:r>
        <w:t xml:space="preserve">3.1</w:t>
      </w:r>
      <w:r>
        <w:t xml:space="preserve">, the fit of the linear model is not perfect.</w:t>
      </w:r>
      <w:r>
        <w:t xml:space="preserve"> </w:t>
      </w:r>
      <w:r>
        <w:t xml:space="preserve">The theory does not address habitat variation, that is well-described in French Guiana</w:t>
      </w:r>
      <w:r>
        <w:t xml:space="preserve"> </w:t>
      </w:r>
      <w:r>
        <w:t xml:space="preserve">(Guitet</w:t>
      </w:r>
      <w:r>
        <w:t xml:space="preserve"> </w:t>
      </w:r>
      <w:r>
        <w:rPr>
          <w:iCs/>
          <w:i/>
        </w:rPr>
        <w:t xml:space="preserve">et al.</w:t>
      </w:r>
      <w:r>
        <w:t xml:space="preserve"> </w:t>
      </w:r>
      <w:r>
        <w:t xml:space="preserve">2015)</w:t>
      </w:r>
      <w:r>
        <w:t xml:space="preserve">.</w:t>
      </w:r>
      <w:r>
        <w:t xml:space="preserve"> </w:t>
      </w:r>
      <w:r>
        <w:t xml:space="preserve">The dissimilarity between plot pairs is thus explained by distance and habitat dissimilarity, with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0.104 is in line with that of</w:t>
      </w:r>
      <w:r>
        <w:t xml:space="preserve"> </w:t>
      </w:r>
      <w:r>
        <w:t xml:space="preserve">Krishnamani</w:t>
      </w:r>
      <w:r>
        <w:t xml:space="preserve"> </w:t>
      </w:r>
      <w:r>
        <w:rPr>
          <w:iCs/>
          <w:i/>
        </w:rPr>
        <w:t xml:space="preserve">et al.</w:t>
      </w:r>
      <w:r>
        <w:t xml:space="preserve"> </w:t>
      </w:r>
      <w:r>
        <w:t xml:space="preserve">(2004)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&amp;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w:t>
      </w:r>
      <w:r>
        <w:t xml:space="preserve"> </w:t>
      </w:r>
      <w:r>
        <w:rPr>
          <w:iCs/>
          <w:i/>
        </w:rPr>
        <w:t xml:space="preserve">et al.</w:t>
      </w:r>
      <w:r>
        <w:t xml:space="preserve"> </w:t>
      </w:r>
      <w:r>
        <w:t xml:space="preserve">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bookmarkEnd w:id="51"/>
    <w:bookmarkStart w:id="52" w:name="chao2s-estimator-is-a-valid-alternative"/>
    <w:p>
      <w:pPr>
        <w:pStyle w:val="Titre2"/>
      </w:pPr>
      <w:r>
        <w:rPr>
          <w:rStyle w:val="SectionNumber"/>
        </w:rPr>
        <w:t xml:space="preserve">4.3</w:t>
      </w:r>
      <w:r>
        <w:tab/>
      </w:r>
      <w:r>
        <w:t xml:space="preserve">Chao2’s estimator is a valid alternative</w:t>
      </w:r>
    </w:p>
    <w:p>
      <w:pPr>
        <w:pStyle w:val="FirstParagraph"/>
      </w:pPr>
      <w:r>
        <w:t xml:space="preserve">Nonparametric estimators of richness are widely used to estimate the asymptotic richness of a community, because they are designed to estimate the number of unobserved species due to uncomplete sampling</w:t>
      </w:r>
      <w:r>
        <w:t xml:space="preserve"> </w:t>
      </w:r>
      <w:r>
        <w:t xml:space="preserve">(Colwell &amp; Coddington 1994)</w:t>
      </w:r>
      <w:r>
        <w:t xml:space="preserve">.</w:t>
      </w:r>
      <w:r>
        <w:t xml:space="preserve"> </w:t>
      </w:r>
      <w:r>
        <w:t xml:space="preserve">Yet, their underlying assumptions are limited: they do not depend on any distribution model or scale of observation.</w:t>
      </w:r>
      <w:r>
        <w:t xml:space="preserve"> </w:t>
      </w:r>
      <w:r>
        <w:t xml:space="preserve">The only constraint is independent and identically distributed (iid) sampling, even though at the local scale spatial aggregation is often neglected</w:t>
      </w:r>
      <w:r>
        <w:t xml:space="preserve"> </w:t>
      </w:r>
      <w:r>
        <w:t xml:space="preserve">(Picard</w:t>
      </w:r>
      <w:r>
        <w:t xml:space="preserve"> </w:t>
      </w:r>
      <w:r>
        <w:rPr>
          <w:iCs/>
          <w:i/>
        </w:rPr>
        <w:t xml:space="preserve">et al.</w:t>
      </w:r>
      <w:r>
        <w:t xml:space="preserve"> </w:t>
      </w:r>
      <w:r>
        <w:t xml:space="preserve">2004)</w:t>
      </w:r>
      <w:r>
        <w:t xml:space="preserve">.</w:t>
      </w:r>
    </w:p>
    <w:p>
      <w:pPr>
        <w:pStyle w:val="Corpsdetexte"/>
      </w:pPr>
      <w:r>
        <w:t xml:space="preserve">The asymptotic estimation based on the Chao1 or jackknife estimator is less than 1700 species, i.e. less than the total number of known species</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As already underlined by</w:t>
      </w:r>
      <w:r>
        <w:t xml:space="preserve"> </w:t>
      </w:r>
      <w:r>
        <w:t xml:space="preserve">ter Steege</w:t>
      </w:r>
      <w:r>
        <w:t xml:space="preserve"> </w:t>
      </w:r>
      <w:r>
        <w:rPr>
          <w:iCs/>
          <w:i/>
        </w:rPr>
        <w:t xml:space="preserve">et al.</w:t>
      </w:r>
      <w:r>
        <w:t xml:space="preserve"> </w:t>
      </w:r>
      <w:r>
        <w:t xml:space="preserve">(2013)</w:t>
      </w:r>
      <w:r>
        <w:t xml:space="preserve">, nonparametric asymptotic estimation of richness is not appropriate at large scales because of severe undersampling: many local communities are just not included in the data.</w:t>
      </w:r>
      <w:r>
        <w:t xml:space="preserve"> </w:t>
      </w:r>
      <w:r>
        <w:t xml:space="preserve">Yet, increasing the sampling effort would not be enough: mixing local samples (the 1-ha plots) to mimic an iid sampling of a whole region is clearly not a valid approximation, because each plot has its own distribution.</w:t>
      </w:r>
    </w:p>
    <w:p>
      <w:pPr>
        <w:pStyle w:val="Corpsdetexte"/>
      </w:pPr>
      <w:r>
        <w:t xml:space="preserve">Cazzolla Gatti</w:t>
      </w:r>
      <w:r>
        <w:t xml:space="preserve"> </w:t>
      </w:r>
      <w:r>
        <w:rPr>
          <w:iCs/>
          <w:i/>
        </w:rPr>
        <w:t xml:space="preserve">et al.</w:t>
      </w:r>
      <w:r>
        <w:t xml:space="preserve"> </w:t>
      </w:r>
      <w:r>
        <w:t xml:space="preserve">(2022)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practical advantage of this approach is the opportunity to combine several sources of occurrence data to improve the sampling coverage.</w:t>
      </w:r>
      <w:r>
        <w:t xml:space="preserve"> </w:t>
      </w:r>
      <w:r>
        <w:t xml:space="preserve">Theoretically, it is far more robust than the mixture of abundance data: the local distribution of each plot is cancelled out by its transformation into incidence data.</w:t>
      </w:r>
      <w:r>
        <w:t xml:space="preserve"> </w:t>
      </w:r>
      <w:r>
        <w:t xml:space="preserve">An appropriate spatial distribution of sampling plots, covering all habitats or at least a regular grid in absence of more detailed knowledge, can be seen as a valid sampling.</w:t>
      </w:r>
      <w:r>
        <w:t xml:space="preserve"> </w:t>
      </w:r>
      <w:r>
        <w:t xml:space="preserve">When applied to our data, aggregated in 100-km square cells, the estimation is similar to that obtained directly from the abundance data of the plots because of undersampling but the method must not be rejected.</w:t>
      </w:r>
    </w:p>
    <w:bookmarkEnd w:id="52"/>
    <w:bookmarkStart w:id="53" w:name="Xddf42c8a571853de463ed8a24d5783891300106"/>
    <w:p>
      <w:pPr>
        <w:pStyle w:val="Titre2"/>
      </w:pPr>
      <w:r>
        <w:rPr>
          <w:rStyle w:val="SectionNumber"/>
        </w:rPr>
        <w:t xml:space="preserve">4.4</w:t>
      </w:r>
      <w:r>
        <w:tab/>
      </w:r>
      <w:r>
        <w:t xml:space="preserve">Log series extrapolations are not valid at the regional scale</w:t>
      </w:r>
    </w:p>
    <w:p>
      <w:pPr>
        <w:pStyle w:val="FirstParagraph"/>
      </w:pPr>
      <w:r>
        <w:t xml:space="preserve">At the scale of the metacommunity, defined as of the neutral model of biogeography, the species distribution is in log-series</w:t>
      </w:r>
      <w:r>
        <w:t xml:space="preserve"> </w:t>
      </w:r>
      <w:r>
        <w:t xml:space="preserve">(Hubbell 2001; Volkov</w:t>
      </w:r>
      <w:r>
        <w:t xml:space="preserve"> </w:t>
      </w:r>
      <w:r>
        <w:rPr>
          <w:iCs/>
          <w:i/>
        </w:rPr>
        <w:t xml:space="preserve">et al.</w:t>
      </w:r>
      <w:r>
        <w:t xml:space="preserve"> </w:t>
      </w:r>
      <w:r>
        <w:t xml:space="preserve">2003)</w:t>
      </w:r>
      <w:r>
        <w:t xml:space="preserve">.</w:t>
      </w:r>
      <w:r>
        <w:t xml:space="preserve"> </w:t>
      </w:r>
      <w:r>
        <w:t xml:space="preserve">ter Steege</w:t>
      </w:r>
      <w:r>
        <w:t xml:space="preserve"> </w:t>
      </w:r>
      <w:r>
        <w:rPr>
          <w:iCs/>
          <w:i/>
        </w:rPr>
        <w:t xml:space="preserve">et al.</w:t>
      </w:r>
      <w:r>
        <w:t xml:space="preserve"> </w:t>
      </w:r>
      <w:r>
        <w:t xml:space="preserve">(2013)</w:t>
      </w:r>
      <w:r>
        <w:t xml:space="preserve"> </w:t>
      </w:r>
      <w:r>
        <w:t xml:space="preserve">fitted a log-series to data provided by a network of plots to estimate the number of species in Amazonia.</w:t>
      </w:r>
      <w:r>
        <w:t xml:space="preserve"> </w:t>
      </w:r>
      <w:r>
        <w:t xml:space="preserve">We applied the same method to our data.</w:t>
      </w:r>
      <w:r>
        <w:t xml:space="preserve"> </w:t>
      </w:r>
      <w:r>
        <w:t xml:space="preserve">Its estimation is well over 4000 species in French Guiana: a very unlikely result according to the current expert knowledge and the recent checklist</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The regional species pool does not follow a log-series distribution because of dispersal limitation</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(figure</w:t>
      </w:r>
      <w:r>
        <w:t xml:space="preserve"> </w:t>
      </w:r>
      <w:r>
        <w:t xml:space="preserve">5.1</w:t>
      </w:r>
      <w:r>
        <w:t xml:space="preserve"> </w:t>
      </w:r>
      <w:r>
        <w:t xml:space="preserve">in the appendix), compared to 1.4% in Amazonia as a whole</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The universal species-area relationship</w:t>
      </w:r>
      <w:r>
        <w:t xml:space="preserve"> </w:t>
      </w:r>
      <w:r>
        <w:t xml:space="preserve">(Harte</w:t>
      </w:r>
      <w:r>
        <w:t xml:space="preserve"> </w:t>
      </w:r>
      <w:r>
        <w:rPr>
          <w:iCs/>
          <w:i/>
        </w:rPr>
        <w:t xml:space="preserve">et al.</w:t>
      </w:r>
      <w:r>
        <w:t xml:space="preserve"> </w:t>
      </w:r>
      <w:r>
        <w:t xml:space="preserve">2008)</w:t>
      </w:r>
      <w:r>
        <w:t xml:space="preserve"> </w:t>
      </w:r>
      <w:r>
        <w:t xml:space="preserve">allowed the extrapolation of observed richness up to the 8 million hectares of French Guiana.</w:t>
      </w:r>
      <w:r>
        <w:t xml:space="preserve"> </w:t>
      </w:r>
      <w:r>
        <w:t xml:space="preserve">The number of species estimated from Paracou, Piste de Saint-Elie and Nouragues starting points (their number of species and area) is on average 2787, and over 4500 when extrapolating from an average Guyadiv 1-ha plot.</w:t>
      </w:r>
      <w:r>
        <w:t xml:space="preserve"> </w:t>
      </w:r>
      <w:r>
        <w:t xml:space="preserve">Again, this model implies a log-series distribution as it integrates as few assumptions as possible</w:t>
      </w:r>
      <w:r>
        <w:t xml:space="preserve"> </w:t>
      </w:r>
      <w:r>
        <w:t xml:space="preserve">(Harte</w:t>
      </w:r>
      <w:r>
        <w:t xml:space="preserve"> </w:t>
      </w:r>
      <w:r>
        <w:rPr>
          <w:iCs/>
          <w:i/>
        </w:rPr>
        <w:t xml:space="preserve">et al.</w:t>
      </w:r>
      <w:r>
        <w:t xml:space="preserve"> </w:t>
      </w:r>
      <w:r>
        <w:t xml:space="preserve">2008)</w:t>
      </w:r>
      <w:r>
        <w:t xml:space="preserve">.</w:t>
      </w:r>
      <w:r>
        <w:t xml:space="preserve"> </w:t>
      </w:r>
      <w:r>
        <w:t xml:space="preserve">On the log-log representation of figure</w:t>
      </w:r>
      <w:r>
        <w:t xml:space="preserve"> </w:t>
      </w:r>
      <w:r>
        <w:t xml:space="preserve">3.3</w:t>
      </w:r>
      <w:r>
        <w:t xml:space="preserve">, the species-area relationships are never linear, as predicted by the power law at the regional scale.</w:t>
      </w:r>
      <w:r>
        <w:t xml:space="preserve"> </w:t>
      </w:r>
      <w:r>
        <w:t xml:space="preserve">The arguments for overestimation are the same as those against the extrapolation of the log-series at the regional scale.</w:t>
      </w:r>
    </w:p>
    <w:bookmarkEnd w:id="53"/>
    <w:bookmarkStart w:id="54" w:name="the-number-of-species-is-around-2200"/>
    <w:p>
      <w:pPr>
        <w:pStyle w:val="Titre2"/>
      </w:pPr>
      <w:r>
        <w:rPr>
          <w:rStyle w:val="SectionNumber"/>
        </w:rPr>
        <w:t xml:space="preserve">4.5</w:t>
      </w:r>
      <w:r>
        <w:tab/>
      </w:r>
      <w:r>
        <w:t xml:space="preserve">The number of species is around 2200</w:t>
      </w:r>
    </w:p>
    <w:p>
      <w:pPr>
        <w:pStyle w:val="FirstParagraph"/>
      </w:pPr>
      <w:r>
        <w:t xml:space="preserve">Finally, our estimations of the number of tree species in the 8-million-hectare forest of French Guiana is close to 2200, with a quite wide confidence interval due to the variability in the estimation of both the number of trees in a square kilometer and the power-law parameter.</w:t>
      </w:r>
      <w:r>
        <w:t xml:space="preserve"> </w:t>
      </w:r>
      <w:r>
        <w:t xml:space="preserve">Their distribution is highly unequal: 90 species (4%) contain half the trees.</w:t>
      </w:r>
    </w:p>
    <w:p>
      <w:pPr>
        <w:pStyle w:val="Corpsdetexte"/>
      </w:pPr>
      <w:r>
        <w:t xml:space="preserve">A recent work</w:t>
      </w:r>
      <w:r>
        <w:t xml:space="preserve"> </w:t>
      </w:r>
      <w:r>
        <w:t xml:space="preserve">(Molino</w:t>
      </w:r>
      <w:r>
        <w:t xml:space="preserve"> </w:t>
      </w:r>
      <w:r>
        <w:rPr>
          <w:iCs/>
          <w:i/>
        </w:rPr>
        <w:t xml:space="preserve">et al.</w:t>
      </w:r>
      <w:r>
        <w:t xml:space="preserve"> </w:t>
      </w:r>
      <w:r>
        <w:t xml:space="preserve">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w:t>
      </w:r>
      <w:r>
        <w:t xml:space="preserve"> </w:t>
      </w:r>
      <w:r>
        <w:rPr>
          <w:iCs/>
          <w:i/>
        </w:rPr>
        <w:t xml:space="preserve">et al.</w:t>
      </w:r>
      <w:r>
        <w:t xml:space="preserve"> </w:t>
      </w:r>
      <w:r>
        <w:t xml:space="preserve">(2022)</w:t>
      </w:r>
      <w:r>
        <w:t xml:space="preserve"> </w:t>
      </w:r>
      <w:r>
        <w:t xml:space="preserve">selected only 143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2234 spp.</w:t>
      </w:r>
      <w:r>
        <w:t xml:space="preserve"> </w:t>
      </w:r>
      <w:r>
        <w:t xml:space="preserve">given here seems quite plausible, given the state of our knowledge.</w:t>
      </w:r>
    </w:p>
    <w:p>
      <w:pPr>
        <w:pStyle w:val="Corpsdetexte"/>
      </w:pPr>
      <w:r>
        <w:t xml:space="preserve">A improvement perspective is the aggregation of all sources of localized data at the scale of French Guiana, including all Guyadiv plots, the Guyafor network</w:t>
      </w:r>
      <w:r>
        <w:t xml:space="preserve"> </w:t>
      </w:r>
      <w:r>
        <w:t xml:space="preserve">(Jaouen</w:t>
      </w:r>
      <w:r>
        <w:t xml:space="preserve"> </w:t>
      </w:r>
      <w:r>
        <w:rPr>
          <w:iCs/>
          <w:i/>
        </w:rPr>
        <w:t xml:space="preserve">et al.</w:t>
      </w:r>
      <w:r>
        <w:t xml:space="preserve"> </w:t>
      </w:r>
      <w:r>
        <w:t xml:space="preserve">2021)</w:t>
      </w:r>
      <w:r>
        <w:t xml:space="preserve">, herbarium collections and various scientific projects, to proceed with an incidence-based estimation of richness following</w:t>
      </w:r>
      <w:r>
        <w:t xml:space="preserve"> </w:t>
      </w:r>
      <w:r>
        <w:t xml:space="preserve">Cazzolla Gatti</w:t>
      </w:r>
      <w:r>
        <w:t xml:space="preserve"> </w:t>
      </w:r>
      <w:r>
        <w:rPr>
          <w:iCs/>
          <w:i/>
        </w:rPr>
        <w:t xml:space="preserve">et al.</w:t>
      </w:r>
      <w:r>
        <w:t xml:space="preserve"> </w:t>
      </w:r>
      <w:r>
        <w:t xml:space="preserve">(2022)</w:t>
      </w:r>
      <w:r>
        <w:t xml:space="preserve">.</w:t>
      </w:r>
      <w:r>
        <w:t xml:space="preserve"> </w:t>
      </w:r>
      <w:r>
        <w:t xml:space="preserve">A main issue of this approach is the standardization of the taxonomy, already well advanced by</w:t>
      </w:r>
      <w:r>
        <w:t xml:space="preserve"> </w:t>
      </w:r>
      <w:r>
        <w:t xml:space="preserve">Molino</w:t>
      </w:r>
      <w:r>
        <w:t xml:space="preserve"> </w:t>
      </w:r>
      <w:r>
        <w:rPr>
          <w:iCs/>
          <w:i/>
        </w:rPr>
        <w:t xml:space="preserve">et al.</w:t>
      </w:r>
      <w:r>
        <w:t xml:space="preserve"> </w:t>
      </w:r>
      <w:r>
        <w:t xml:space="preserve">(2022)</w:t>
      </w:r>
      <w:r>
        <w:t xml:space="preserve">, so it may be feasible in a near future.</w:t>
      </w:r>
    </w:p>
    <w:bookmarkEnd w:id="54"/>
    <w:bookmarkEnd w:id="55"/>
    <w:bookmarkStart w:id="172" w:name="appendix"/>
    <w:p>
      <w:pPr>
        <w:pStyle w:val="Titre1"/>
      </w:pPr>
      <w:r>
        <w:rPr>
          <w:rStyle w:val="SectionNumber"/>
        </w:rPr>
        <w:t xml:space="preserve">5</w:t>
      </w:r>
      <w:r>
        <w:tab/>
      </w:r>
      <w:r>
        <w:t xml:space="preserve">Appendix</w:t>
      </w:r>
    </w:p>
    <w:bookmarkStart w:id="56" w:name="apd-variance"/>
    <w:p>
      <w:pPr>
        <w:pStyle w:val="Titre2"/>
      </w:pPr>
      <w:r>
        <w:rPr>
          <w:rStyle w:val="SectionNumber"/>
        </w:rPr>
        <w:t xml:space="preserve">5.1</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bookmarkEnd w:id="56"/>
    <w:bookmarkStart w:id="171" w:name="apd-hyperdominance"/>
    <w:p>
      <w:pPr>
        <w:pStyle w:val="Titre2"/>
      </w:pPr>
      <w:r>
        <w:rPr>
          <w:rStyle w:val="SectionNumber"/>
        </w:rPr>
        <w:t xml:space="preserve">5.2</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5.1</w:t>
      </w:r>
      <w:r>
        <w:t xml:space="preserve"> </w:t>
      </w:r>
      <w:r>
        <w:t xml:space="preserve">shows the accumulation of individuals from the most abundant to the rarest species.</w:t>
      </w:r>
    </w:p>
    <w:p>
      <w:pPr>
        <w:pStyle w:val="Corpsdetexte"/>
      </w:pPr>
      <w:r>
        <w:t xml:space="preserve">The number of trees and the probabilities of observed species were calculated for the log-series extrapolation (see the methods in the main text).</w:t>
      </w:r>
      <w:r>
        <w:t xml:space="preserve"> </w:t>
      </w:r>
      <w:r>
        <w:t xml:space="preserve">The total number of species is estimated according to the self-similarity model.</w:t>
      </w:r>
    </w:p>
    <w:p>
      <w:pPr>
        <w:pStyle w:val="Corpsdetexte"/>
      </w:pPr>
    </w:p>
    <w:p>
      <w:pPr>
        <w:pStyle w:val="CaptionedFigure"/>
      </w:pPr>
      <w:r>
        <w:drawing>
          <wp:inline>
            <wp:extent cx="4620126" cy="3696101"/>
            <wp:effectExtent b="0" l="0" r="0" t="0"/>
            <wp:docPr descr="Figure 5.1: Accumulation of the number of individuals from the most abundant to the rarest species. The horizontal line corresponds to half the individuals. The vertical line allows reading the corresponding rank of the species. Unobserved species are not represented on the curve." title="" id="58" name="Picture"/>
            <a:graphic>
              <a:graphicData uri="http://schemas.openxmlformats.org/drawingml/2006/picture">
                <pic:pic>
                  <pic:nvPicPr>
                    <pic:cNvPr descr="JTE-22-105_files/figure-docx/hyperdominance-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0" w:name="fig:hyperdominance"/>
      <w:bookmarkEnd w:id="60"/>
      <w:r>
        <w:t xml:space="preserve">Figure 5.1: Accumulation of the number of individuals from the most abundant to the rarest species. The horizontal line corresponds to half the individuals. The vertical line allows reading the corresponding rank of the species. Unobserved species are not represented on the curve.</w:t>
      </w:r>
    </w:p>
    <w:p>
      <w:pPr>
        <w:pStyle w:val="Corpsdetexte"/>
      </w:pPr>
    </w:p>
    <w:p>
      <w:pPr>
        <w:pStyle w:val="Corpsdetexte"/>
      </w:pPr>
      <w:r>
        <w:t xml:space="preserve">Only 90 species, i.e. 4% of their estimated number, contain half the number of trees.</w:t>
      </w:r>
    </w:p>
    <w:bookmarkStart w:id="170" w:name="refs"/>
    <w:bookmarkStart w:id="62" w:name="ref-Arrhenius1921"/>
    <w:p>
      <w:pPr>
        <w:pStyle w:val="Bibliographie"/>
      </w:pPr>
      <w:r>
        <w:t xml:space="preserve">Arrhenius, O. (1921).</w:t>
      </w:r>
      <w:r>
        <w:t xml:space="preserve"> </w:t>
      </w:r>
      <w:hyperlink r:id="rId61">
        <w:r>
          <w:rPr>
            <w:rStyle w:val="Lienhypertexte"/>
          </w:rPr>
          <w:t xml:space="preserve">Species and area</w:t>
        </w:r>
      </w:hyperlink>
      <w:r>
        <w:t xml:space="preserve">.</w:t>
      </w:r>
      <w:r>
        <w:t xml:space="preserve"> </w:t>
      </w:r>
      <w:r>
        <w:rPr>
          <w:iCs/>
          <w:i/>
        </w:rPr>
        <w:t xml:space="preserve">Journal of Ecology</w:t>
      </w:r>
      <w:r>
        <w:t xml:space="preserve">,</w:t>
      </w:r>
      <w:r>
        <w:t xml:space="preserve"> </w:t>
      </w:r>
      <w:r>
        <w:rPr>
          <w:bCs/>
          <w:b/>
        </w:rPr>
        <w:t xml:space="preserve">9</w:t>
      </w:r>
      <w:r>
        <w:t xml:space="preserve">(1), 95–99.</w:t>
      </w:r>
    </w:p>
    <w:bookmarkEnd w:id="62"/>
    <w:bookmarkStart w:id="64" w:name="ref-Beguinot2015a"/>
    <w:p>
      <w:pPr>
        <w:pStyle w:val="Bibliographie"/>
      </w:pPr>
      <w:r>
        <w:t xml:space="preserve">Béguinot, J. (2015).</w:t>
      </w:r>
      <w:r>
        <w:t xml:space="preserve"> </w:t>
      </w:r>
      <w:hyperlink r:id="rId63">
        <w:r>
          <w:rPr>
            <w:rStyle w:val="Lienhypertexte"/>
          </w:rPr>
          <w:t xml:space="preserve">Extrapolation of the species accumulation curve for incomplete species samplings:</w:t>
        </w:r>
        <w:r>
          <w:rPr>
            <w:rStyle w:val="Lienhypertexte"/>
          </w:rPr>
          <w:t xml:space="preserve"> </w:t>
        </w:r>
        <w:r>
          <w:rPr>
            <w:rStyle w:val="Lienhypertexte"/>
          </w:rPr>
          <w:t xml:space="preserve">A</w:t>
        </w:r>
        <w:r>
          <w:rPr>
            <w:rStyle w:val="Lienhypertexte"/>
          </w:rPr>
          <w:t xml:space="preserve"> </w:t>
        </w:r>
        <w:r>
          <w:rPr>
            <w:rStyle w:val="Lienhypertexte"/>
          </w:rPr>
          <w:t xml:space="preserve">new nonparametric approach to estimate the degree of sample completeness and decide when to stop sampling</w:t>
        </w:r>
      </w:hyperlink>
      <w:r>
        <w:t xml:space="preserve">.</w:t>
      </w:r>
      <w:r>
        <w:t xml:space="preserve"> </w:t>
      </w:r>
      <w:r>
        <w:rPr>
          <w:iCs/>
          <w:i/>
        </w:rPr>
        <w:t xml:space="preserve">Annual Research &amp; Review in Biology</w:t>
      </w:r>
      <w:r>
        <w:t xml:space="preserve">,</w:t>
      </w:r>
      <w:r>
        <w:t xml:space="preserve"> </w:t>
      </w:r>
      <w:r>
        <w:rPr>
          <w:bCs/>
          <w:b/>
        </w:rPr>
        <w:t xml:space="preserve">8</w:t>
      </w:r>
      <w:r>
        <w:t xml:space="preserve">(5), 1–9.</w:t>
      </w:r>
    </w:p>
    <w:bookmarkEnd w:id="64"/>
    <w:bookmarkStart w:id="66" w:name="ref-Bonal2008"/>
    <w:p>
      <w:pPr>
        <w:pStyle w:val="Bibliographie"/>
      </w:pPr>
      <w:r>
        <w:t xml:space="preserve">Bonal, D., Bosc, A., Ponton, S., … Granier, A. (2008).</w:t>
      </w:r>
      <w:r>
        <w:t xml:space="preserve"> </w:t>
      </w:r>
      <w:hyperlink r:id="rId65">
        <w:r>
          <w:rPr>
            <w:rStyle w:val="Lienhypertexte"/>
          </w:rPr>
          <w:t xml:space="preserve">Impact of severe dry season on net ecosystem exchange in the</w:t>
        </w:r>
        <w:r>
          <w:rPr>
            <w:rStyle w:val="Lienhypertexte"/>
          </w:rPr>
          <w:t xml:space="preserve"> </w:t>
        </w:r>
        <w:r>
          <w:rPr>
            <w:rStyle w:val="Lienhypertexte"/>
          </w:rPr>
          <w:t xml:space="preserve">Neotropical</w:t>
        </w:r>
        <w:r>
          <w:rPr>
            <w:rStyle w:val="Lienhypertexte"/>
          </w:rPr>
          <w:t xml:space="preserve"> </w:t>
        </w:r>
        <w:r>
          <w:rPr>
            <w:rStyle w:val="Lienhypertexte"/>
          </w:rPr>
          <w:t xml:space="preserve">rainforest of</w:t>
        </w:r>
        <w:r>
          <w:rPr>
            <w:rStyle w:val="Lienhypertexte"/>
          </w:rPr>
          <w:t xml:space="preserve"> </w:t>
        </w:r>
        <w:r>
          <w:rPr>
            <w:rStyle w:val="Lienhypertexte"/>
          </w:rPr>
          <w:t xml:space="preserve">French Guiana</w:t>
        </w:r>
      </w:hyperlink>
      <w:r>
        <w:t xml:space="preserve">.</w:t>
      </w:r>
      <w:r>
        <w:t xml:space="preserve"> </w:t>
      </w:r>
      <w:r>
        <w:rPr>
          <w:iCs/>
          <w:i/>
        </w:rPr>
        <w:t xml:space="preserve">Global Change Biology</w:t>
      </w:r>
      <w:r>
        <w:t xml:space="preserve">,</w:t>
      </w:r>
      <w:r>
        <w:t xml:space="preserve"> </w:t>
      </w:r>
      <w:r>
        <w:rPr>
          <w:bCs/>
          <w:b/>
        </w:rPr>
        <w:t xml:space="preserve">14</w:t>
      </w:r>
      <w:r>
        <w:t xml:space="preserve">(8), 1917–1933.</w:t>
      </w:r>
    </w:p>
    <w:bookmarkEnd w:id="66"/>
    <w:bookmarkStart w:id="67" w:name="ref-Bongers2001"/>
    <w:p>
      <w:pPr>
        <w:pStyle w:val="Bibliographie"/>
      </w:pPr>
      <w:r>
        <w:t xml:space="preserve">Bongers, F., Charles-Dominique, P., Forget, P.-M., &amp; Théry, M. (2001).</w:t>
      </w:r>
      <w:r>
        <w:t xml:space="preserve"> </w:t>
      </w:r>
      <w:r>
        <w:rPr>
          <w:iCs/>
          <w:i/>
        </w:rPr>
        <w:t xml:space="preserve">Nouragues: Dynamics and plant-animal interactions in a neotropical rainforest</w:t>
      </w:r>
      <w:r>
        <w:t xml:space="preserve">, Vol. 80, Springer Science &amp; Business Media.</w:t>
      </w:r>
    </w:p>
    <w:bookmarkEnd w:id="67"/>
    <w:bookmarkStart w:id="69" w:name="ref-Burnham1978"/>
    <w:p>
      <w:pPr>
        <w:pStyle w:val="Bibliographie"/>
      </w:pPr>
      <w:r>
        <w:t xml:space="preserve">Burnham, K. P., &amp; Overton, W. S. (1978).</w:t>
      </w:r>
      <w:r>
        <w:t xml:space="preserve"> </w:t>
      </w:r>
      <w:hyperlink r:id="rId68">
        <w:r>
          <w:rPr>
            <w:rStyle w:val="Lienhypertexte"/>
          </w:rPr>
          <w:t xml:space="preserve">Estimation of the size of a closed population when capture probabilities vary among animals</w:t>
        </w:r>
      </w:hyperlink>
      <w:r>
        <w:t xml:space="preserve">.</w:t>
      </w:r>
      <w:r>
        <w:t xml:space="preserve"> </w:t>
      </w:r>
      <w:r>
        <w:rPr>
          <w:iCs/>
          <w:i/>
        </w:rPr>
        <w:t xml:space="preserve">Biometrika</w:t>
      </w:r>
      <w:r>
        <w:t xml:space="preserve">,</w:t>
      </w:r>
      <w:r>
        <w:t xml:space="preserve"> </w:t>
      </w:r>
      <w:r>
        <w:rPr>
          <w:bCs/>
          <w:b/>
        </w:rPr>
        <w:t xml:space="preserve">65</w:t>
      </w:r>
      <w:r>
        <w:t xml:space="preserve">(3), 625–633.</w:t>
      </w:r>
    </w:p>
    <w:bookmarkEnd w:id="69"/>
    <w:bookmarkStart w:id="71" w:name="ref-CazzollaGatti2022"/>
    <w:p>
      <w:pPr>
        <w:pStyle w:val="Bibliographie"/>
      </w:pPr>
      <w:r>
        <w:t xml:space="preserve">Cazzolla Gatti, R., Reich, P. B., Gamarra, J. G. P., … Liang, J. (2022).</w:t>
      </w:r>
      <w:r>
        <w:t xml:space="preserve"> </w:t>
      </w:r>
      <w:hyperlink r:id="rId70">
        <w:r>
          <w:rPr>
            <w:rStyle w:val="Lienhypertexte"/>
          </w:rPr>
          <w:t xml:space="preserve">The number of tree species on</w:t>
        </w:r>
        <w:r>
          <w:rPr>
            <w:rStyle w:val="Lienhypertexte"/>
          </w:rPr>
          <w:t xml:space="preserve"> </w:t>
        </w:r>
        <w:r>
          <w:rPr>
            <w:rStyle w:val="Lienhypertexte"/>
          </w:rPr>
          <w:t xml:space="preserve">Earth</w:t>
        </w:r>
      </w:hyperlink>
      <w:r>
        <w:t xml:space="preserve">.</w:t>
      </w:r>
      <w:r>
        <w:t xml:space="preserve"> </w:t>
      </w:r>
      <w:r>
        <w:rPr>
          <w:iCs/>
          <w:i/>
        </w:rPr>
        <w:t xml:space="preserve">Proceedings of the National Academy of Sciences</w:t>
      </w:r>
      <w:r>
        <w:t xml:space="preserve">,</w:t>
      </w:r>
      <w:r>
        <w:t xml:space="preserve"> </w:t>
      </w:r>
      <w:r>
        <w:rPr>
          <w:bCs/>
          <w:b/>
        </w:rPr>
        <w:t xml:space="preserve">119</w:t>
      </w:r>
      <w:r>
        <w:t xml:space="preserve">(6), e2115329119.</w:t>
      </w:r>
    </w:p>
    <w:bookmarkEnd w:id="71"/>
    <w:bookmarkStart w:id="73" w:name="ref-Chao1984"/>
    <w:p>
      <w:pPr>
        <w:pStyle w:val="Bibliographie"/>
      </w:pPr>
      <w:r>
        <w:t xml:space="preserve">Chao, A. (1984).</w:t>
      </w:r>
      <w:r>
        <w:t xml:space="preserve"> </w:t>
      </w:r>
      <w:hyperlink r:id="rId72">
        <w:r>
          <w:rPr>
            <w:rStyle w:val="Lienhypertexte"/>
          </w:rPr>
          <w:t xml:space="preserve">Nonparametric estimation of the number of classes in a population</w:t>
        </w:r>
      </w:hyperlink>
      <w:r>
        <w:t xml:space="preserve">.</w:t>
      </w:r>
      <w:r>
        <w:t xml:space="preserve"> </w:t>
      </w:r>
      <w:r>
        <w:rPr>
          <w:iCs/>
          <w:i/>
        </w:rPr>
        <w:t xml:space="preserve">Scandinavian Journal of Statistics</w:t>
      </w:r>
      <w:r>
        <w:t xml:space="preserve">,</w:t>
      </w:r>
      <w:r>
        <w:t xml:space="preserve"> </w:t>
      </w:r>
      <w:r>
        <w:rPr>
          <w:bCs/>
          <w:b/>
        </w:rPr>
        <w:t xml:space="preserve">11</w:t>
      </w:r>
      <w:r>
        <w:t xml:space="preserve">(4), 265–270.</w:t>
      </w:r>
    </w:p>
    <w:bookmarkEnd w:id="73"/>
    <w:bookmarkStart w:id="75" w:name="ref-Chao1987"/>
    <w:p>
      <w:pPr>
        <w:pStyle w:val="Bibliographie"/>
      </w:pPr>
      <w:r>
        <w:t xml:space="preserve">Chao, A. (1987).</w:t>
      </w:r>
      <w:r>
        <w:t xml:space="preserve"> </w:t>
      </w:r>
      <w:hyperlink r:id="rId74">
        <w:r>
          <w:rPr>
            <w:rStyle w:val="Lienhypertexte"/>
          </w:rPr>
          <w:t xml:space="preserve">Estimating the population size for capture-recapture data with unequal catchability</w:t>
        </w:r>
      </w:hyperlink>
      <w:r>
        <w:t xml:space="preserve">.</w:t>
      </w:r>
      <w:r>
        <w:t xml:space="preserve"> </w:t>
      </w:r>
      <w:r>
        <w:rPr>
          <w:iCs/>
          <w:i/>
        </w:rPr>
        <w:t xml:space="preserve">Biometrics</w:t>
      </w:r>
      <w:r>
        <w:t xml:space="preserve">,</w:t>
      </w:r>
      <w:r>
        <w:t xml:space="preserve"> </w:t>
      </w:r>
      <w:r>
        <w:rPr>
          <w:bCs/>
          <w:b/>
        </w:rPr>
        <w:t xml:space="preserve">43</w:t>
      </w:r>
      <w:r>
        <w:t xml:space="preserve">(4), 783–791.</w:t>
      </w:r>
    </w:p>
    <w:bookmarkEnd w:id="75"/>
    <w:bookmarkStart w:id="77" w:name="ref-Chao2015"/>
    <w:p>
      <w:pPr>
        <w:pStyle w:val="Bibliographie"/>
      </w:pPr>
      <w:r>
        <w:t xml:space="preserve">Chao, A., &amp; Jost, L. (2015).</w:t>
      </w:r>
      <w:r>
        <w:t xml:space="preserve"> </w:t>
      </w:r>
      <w:hyperlink r:id="rId76">
        <w:r>
          <w:rPr>
            <w:rStyle w:val="Lienhypertexte"/>
          </w:rPr>
          <w:t xml:space="preserve">Estimating diversity and entropy profiles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6</w:t>
      </w:r>
      <w:r>
        <w:t xml:space="preserve">(8), 873–882.</w:t>
      </w:r>
    </w:p>
    <w:bookmarkEnd w:id="77"/>
    <w:bookmarkStart w:id="79" w:name="ref-Chao2013"/>
    <w:p>
      <w:pPr>
        <w:pStyle w:val="Bibliographie"/>
      </w:pPr>
      <w:r>
        <w:t xml:space="preserve">Chao, A., Wang, Y.-T., &amp; Jost, L. (2013).</w:t>
      </w:r>
      <w:r>
        <w:t xml:space="preserve"> </w:t>
      </w:r>
      <w:hyperlink r:id="rId78">
        <w:r>
          <w:rPr>
            <w:rStyle w:val="Lienhypertexte"/>
          </w:rPr>
          <w:t xml:space="preserve">Entropy and the species accumulation curve: A novel entropy estimator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4</w:t>
      </w:r>
      <w:r>
        <w:t xml:space="preserve">(11), 1091–1100.</w:t>
      </w:r>
    </w:p>
    <w:bookmarkEnd w:id="79"/>
    <w:bookmarkStart w:id="81" w:name="ref-Colwell1994"/>
    <w:p>
      <w:pPr>
        <w:pStyle w:val="Bibliographie"/>
      </w:pPr>
      <w:r>
        <w:t xml:space="preserve">Colwell, R. K., &amp; Coddington, J. A. (1994).</w:t>
      </w:r>
      <w:r>
        <w:t xml:space="preserve"> </w:t>
      </w:r>
      <w:hyperlink r:id="rId80">
        <w:r>
          <w:rPr>
            <w:rStyle w:val="Lienhypertexte"/>
          </w:rPr>
          <w:t xml:space="preserve">Estimating terrestrial biodiversity through extrapolation</w:t>
        </w:r>
      </w:hyperlink>
      <w:r>
        <w:t xml:space="preserve">.</w:t>
      </w:r>
      <w:r>
        <w:t xml:space="preserve"> </w:t>
      </w:r>
      <w:r>
        <w:rPr>
          <w:iCs/>
          <w:i/>
        </w:rPr>
        <w:t xml:space="preserve">Philosophical Transactions of the Royal Society of London. Series B: Biological Sciences</w:t>
      </w:r>
      <w:r>
        <w:t xml:space="preserve">,</w:t>
      </w:r>
      <w:r>
        <w:t xml:space="preserve"> </w:t>
      </w:r>
      <w:r>
        <w:rPr>
          <w:bCs/>
          <w:b/>
        </w:rPr>
        <w:t xml:space="preserve">345</w:t>
      </w:r>
      <w:r>
        <w:t xml:space="preserve">(1311), 101–118.</w:t>
      </w:r>
    </w:p>
    <w:bookmarkEnd w:id="81"/>
    <w:bookmarkStart w:id="83" w:name="ref-Condit1996"/>
    <w:p>
      <w:pPr>
        <w:pStyle w:val="Bibliographie"/>
      </w:pPr>
      <w:r>
        <w:t xml:space="preserve">Condit, R., Hubbell, S. P., Lafrankie, J. V., … Ashton, P. S. (1996).</w:t>
      </w:r>
      <w:r>
        <w:t xml:space="preserve"> </w:t>
      </w:r>
      <w:hyperlink r:id="rId82">
        <w:r>
          <w:rPr>
            <w:rStyle w:val="Lienhypertexte"/>
          </w:rPr>
          <w:t xml:space="preserve">Species-area and species-individual relationships for tropical trees:</w:t>
        </w:r>
        <w:r>
          <w:rPr>
            <w:rStyle w:val="Lienhypertexte"/>
          </w:rPr>
          <w:t xml:space="preserve"> </w:t>
        </w:r>
        <w:r>
          <w:rPr>
            <w:rStyle w:val="Lienhypertexte"/>
          </w:rPr>
          <w:t xml:space="preserve">A</w:t>
        </w:r>
        <w:r>
          <w:rPr>
            <w:rStyle w:val="Lienhypertexte"/>
          </w:rPr>
          <w:t xml:space="preserve"> </w:t>
        </w:r>
        <w:r>
          <w:rPr>
            <w:rStyle w:val="Lienhypertexte"/>
          </w:rPr>
          <w:t xml:space="preserve">comparison of three 50-ha plots</w:t>
        </w:r>
      </w:hyperlink>
      <w:r>
        <w:t xml:space="preserve">.</w:t>
      </w:r>
      <w:r>
        <w:t xml:space="preserve"> </w:t>
      </w:r>
      <w:r>
        <w:rPr>
          <w:iCs/>
          <w:i/>
        </w:rPr>
        <w:t xml:space="preserve">Journal of Ecology</w:t>
      </w:r>
      <w:r>
        <w:t xml:space="preserve">,</w:t>
      </w:r>
      <w:r>
        <w:t xml:space="preserve"> </w:t>
      </w:r>
      <w:r>
        <w:rPr>
          <w:bCs/>
          <w:b/>
        </w:rPr>
        <w:t xml:space="preserve">84</w:t>
      </w:r>
      <w:r>
        <w:t xml:space="preserve">(4), 549–562.</w:t>
      </w:r>
    </w:p>
    <w:bookmarkEnd w:id="83"/>
    <w:bookmarkStart w:id="85" w:name="ref-Connor1979"/>
    <w:p>
      <w:pPr>
        <w:pStyle w:val="Bibliographie"/>
      </w:pPr>
      <w:r>
        <w:t xml:space="preserve">Connor, E. F., &amp; McCoy, E. D. (1979).</w:t>
      </w:r>
      <w:r>
        <w:t xml:space="preserve"> </w:t>
      </w:r>
      <w:hyperlink r:id="rId84">
        <w:r>
          <w:rPr>
            <w:rStyle w:val="Lienhypertexte"/>
          </w:rPr>
          <w:t xml:space="preserve">The statistics and biology of the species-area relationship</w:t>
        </w:r>
      </w:hyperlink>
      <w:r>
        <w:t xml:space="preserve">.</w:t>
      </w:r>
      <w:r>
        <w:t xml:space="preserve"> </w:t>
      </w:r>
      <w:r>
        <w:rPr>
          <w:iCs/>
          <w:i/>
        </w:rPr>
        <w:t xml:space="preserve">The American Naturalist</w:t>
      </w:r>
      <w:r>
        <w:t xml:space="preserve">,</w:t>
      </w:r>
      <w:r>
        <w:t xml:space="preserve"> </w:t>
      </w:r>
      <w:r>
        <w:rPr>
          <w:bCs/>
          <w:b/>
        </w:rPr>
        <w:t xml:space="preserve">113</w:t>
      </w:r>
      <w:r>
        <w:t xml:space="preserve">(6), 791–833.</w:t>
      </w:r>
    </w:p>
    <w:bookmarkEnd w:id="85"/>
    <w:bookmarkStart w:id="87" w:name="ref-Dengler2009"/>
    <w:p>
      <w:pPr>
        <w:pStyle w:val="Bibliographie"/>
      </w:pPr>
      <w:r>
        <w:t xml:space="preserve">Dengler, J. (2009).</w:t>
      </w:r>
      <w:r>
        <w:t xml:space="preserve"> </w:t>
      </w:r>
      <w:hyperlink r:id="rId86">
        <w:r>
          <w:rPr>
            <w:rStyle w:val="Lienhypertexte"/>
          </w:rPr>
          <w:t xml:space="preserve">Which function describes the species-area relationship best?</w:t>
        </w:r>
        <w:r>
          <w:rPr>
            <w:rStyle w:val="Lienhypertexte"/>
          </w:rPr>
          <w:t xml:space="preserve"> </w:t>
        </w:r>
        <w:r>
          <w:rPr>
            <w:rStyle w:val="Lienhypertexte"/>
          </w:rPr>
          <w:t xml:space="preserve">A</w:t>
        </w:r>
        <w:r>
          <w:rPr>
            <w:rStyle w:val="Lienhypertexte"/>
          </w:rPr>
          <w:t xml:space="preserve"> </w:t>
        </w:r>
        <w:r>
          <w:rPr>
            <w:rStyle w:val="Lienhypertexte"/>
          </w:rPr>
          <w:t xml:space="preserve">review and empirical evaluation</w:t>
        </w:r>
      </w:hyperlink>
      <w:r>
        <w:t xml:space="preserve">.</w:t>
      </w:r>
      <w:r>
        <w:t xml:space="preserve"> </w:t>
      </w:r>
      <w:r>
        <w:rPr>
          <w:iCs/>
          <w:i/>
        </w:rPr>
        <w:t xml:space="preserve">Journal of Biogeography</w:t>
      </w:r>
      <w:r>
        <w:t xml:space="preserve">,</w:t>
      </w:r>
      <w:r>
        <w:t xml:space="preserve"> </w:t>
      </w:r>
      <w:r>
        <w:rPr>
          <w:bCs/>
          <w:b/>
        </w:rPr>
        <w:t xml:space="preserve">36</w:t>
      </w:r>
      <w:r>
        <w:t xml:space="preserve">(4), 728–744.</w:t>
      </w:r>
    </w:p>
    <w:bookmarkEnd w:id="87"/>
    <w:bookmarkStart w:id="89" w:name="ref-Duque2017"/>
    <w:p>
      <w:pPr>
        <w:pStyle w:val="Bibliographie"/>
      </w:pPr>
      <w:r>
        <w:t xml:space="preserve">Duque, A., Muller-Landau, H. C., Valencia, R., … Vicentini, A. (2017).</w:t>
      </w:r>
      <w:r>
        <w:t xml:space="preserve"> </w:t>
      </w:r>
      <w:hyperlink r:id="rId88">
        <w:r>
          <w:rPr>
            <w:rStyle w:val="Lienhypertexte"/>
          </w:rPr>
          <w:t xml:space="preserve">Insights into regional patterns of</w:t>
        </w:r>
        <w:r>
          <w:rPr>
            <w:rStyle w:val="Lienhypertexte"/>
          </w:rPr>
          <w:t xml:space="preserve"> </w:t>
        </w:r>
        <w:r>
          <w:rPr>
            <w:rStyle w:val="Lienhypertexte"/>
          </w:rPr>
          <w:t xml:space="preserve">Amazonian</w:t>
        </w:r>
        <w:r>
          <w:rPr>
            <w:rStyle w:val="Lienhypertexte"/>
          </w:rPr>
          <w:t xml:space="preserve"> </w:t>
        </w:r>
        <w:r>
          <w:rPr>
            <w:rStyle w:val="Lienhypertexte"/>
          </w:rPr>
          <w:t xml:space="preserve">forest structure, diversity, and dominance from three large terra-firme forest dynamics plots</w:t>
        </w:r>
      </w:hyperlink>
      <w:r>
        <w:t xml:space="preserve">.</w:t>
      </w:r>
      <w:r>
        <w:t xml:space="preserve"> </w:t>
      </w:r>
      <w:r>
        <w:rPr>
          <w:iCs/>
          <w:i/>
        </w:rPr>
        <w:t xml:space="preserve">Biodiversity and Conservation</w:t>
      </w:r>
      <w:r>
        <w:t xml:space="preserve">,</w:t>
      </w:r>
      <w:r>
        <w:t xml:space="preserve"> </w:t>
      </w:r>
      <w:r>
        <w:rPr>
          <w:bCs/>
          <w:b/>
        </w:rPr>
        <w:t xml:space="preserve">26</w:t>
      </w:r>
      <w:r>
        <w:t xml:space="preserve">(3), 669–686.</w:t>
      </w:r>
    </w:p>
    <w:bookmarkEnd w:id="89"/>
    <w:bookmarkStart w:id="90" w:name="ref-Engel2015"/>
    <w:p>
      <w:pPr>
        <w:pStyle w:val="Bibliographie"/>
      </w:pPr>
      <w:r>
        <w:t xml:space="preserve">Engel, J. (2015). Plot networks &amp; teams.</w:t>
      </w:r>
      <w:r>
        <w:t xml:space="preserve"> </w:t>
      </w:r>
      <w:r>
        <w:rPr>
          <w:iCs/>
          <w:i/>
        </w:rPr>
        <w:t xml:space="preserve">ATDN tree morphospecies website</w:t>
      </w:r>
      <w:r>
        <w:t xml:space="preserve">, http://atdnmorphospecies.myspecies.info/node/781.</w:t>
      </w:r>
    </w:p>
    <w:bookmarkEnd w:id="90"/>
    <w:bookmarkStart w:id="92" w:name="ref-Engen1977"/>
    <w:p>
      <w:pPr>
        <w:pStyle w:val="Bibliographie"/>
      </w:pPr>
      <w:r>
        <w:t xml:space="preserve">Engen, S. (1977).</w:t>
      </w:r>
      <w:r>
        <w:t xml:space="preserve"> </w:t>
      </w:r>
      <w:hyperlink r:id="rId91">
        <w:r>
          <w:rPr>
            <w:rStyle w:val="Lienhypertexte"/>
          </w:rPr>
          <w:t xml:space="preserve">Exponential and logarithmic species-area curves</w:t>
        </w:r>
      </w:hyperlink>
      <w:r>
        <w:t xml:space="preserve">.</w:t>
      </w:r>
      <w:r>
        <w:t xml:space="preserve"> </w:t>
      </w:r>
      <w:r>
        <w:rPr>
          <w:iCs/>
          <w:i/>
        </w:rPr>
        <w:t xml:space="preserve">The American Naturalist</w:t>
      </w:r>
      <w:r>
        <w:t xml:space="preserve">,</w:t>
      </w:r>
      <w:r>
        <w:t xml:space="preserve"> </w:t>
      </w:r>
      <w:r>
        <w:rPr>
          <w:bCs/>
          <w:b/>
        </w:rPr>
        <w:t xml:space="preserve">111</w:t>
      </w:r>
      <w:r>
        <w:t xml:space="preserve">(979), 591–594.</w:t>
      </w:r>
    </w:p>
    <w:bookmarkEnd w:id="92"/>
    <w:bookmarkStart w:id="94" w:name="ref-Fisher1943"/>
    <w:p>
      <w:pPr>
        <w:pStyle w:val="Bibliographie"/>
      </w:pPr>
      <w:r>
        <w:t xml:space="preserve">Fisher, R. A., Corbet, A. S., &amp; Williams, C. B. (1943).</w:t>
      </w:r>
      <w:r>
        <w:t xml:space="preserve"> </w:t>
      </w:r>
      <w:hyperlink r:id="rId93">
        <w:r>
          <w:rPr>
            <w:rStyle w:val="Lienhypertexte"/>
          </w:rPr>
          <w:t xml:space="preserve">The relation between the number of species and the number of individuals in a random sample of an animal population</w:t>
        </w:r>
      </w:hyperlink>
      <w:r>
        <w:t xml:space="preserve">.</w:t>
      </w:r>
      <w:r>
        <w:t xml:space="preserve"> </w:t>
      </w:r>
      <w:r>
        <w:rPr>
          <w:iCs/>
          <w:i/>
        </w:rPr>
        <w:t xml:space="preserve">Journal of Animal Ecology</w:t>
      </w:r>
      <w:r>
        <w:t xml:space="preserve">,</w:t>
      </w:r>
      <w:r>
        <w:t xml:space="preserve"> </w:t>
      </w:r>
      <w:r>
        <w:rPr>
          <w:bCs/>
          <w:b/>
        </w:rPr>
        <w:t xml:space="preserve">12</w:t>
      </w:r>
      <w:r>
        <w:t xml:space="preserve">, 4258.</w:t>
      </w:r>
    </w:p>
    <w:bookmarkEnd w:id="94"/>
    <w:bookmarkStart w:id="96" w:name="ref-ForestPlots.net2021"/>
    <w:p>
      <w:pPr>
        <w:pStyle w:val="Bibliographie"/>
      </w:pPr>
      <w:r>
        <w:t xml:space="preserve">ForestPlots.net, Blundo, C., Carilla, J., … Tran, H. D. (2021).</w:t>
      </w:r>
      <w:r>
        <w:t xml:space="preserve"> </w:t>
      </w:r>
      <w:hyperlink r:id="rId95">
        <w:r>
          <w:rPr>
            <w:rStyle w:val="Lienhypertexte"/>
          </w:rPr>
          <w:t xml:space="preserve">Taking the pulse of</w:t>
        </w:r>
        <w:r>
          <w:rPr>
            <w:rStyle w:val="Lienhypertexte"/>
          </w:rPr>
          <w:t xml:space="preserve"> </w:t>
        </w:r>
        <w:r>
          <w:rPr>
            <w:rStyle w:val="Lienhypertexte"/>
          </w:rPr>
          <w:t xml:space="preserve">Earth</w:t>
        </w:r>
        <w:r>
          <w:rPr>
            <w:rStyle w:val="Lienhypertexte"/>
          </w:rPr>
          <w:t xml:space="preserve">’s tropical forests using networks of highly distributed plots</w:t>
        </w:r>
      </w:hyperlink>
      <w:r>
        <w:t xml:space="preserve">.</w:t>
      </w:r>
      <w:r>
        <w:t xml:space="preserve"> </w:t>
      </w:r>
      <w:r>
        <w:rPr>
          <w:iCs/>
          <w:i/>
        </w:rPr>
        <w:t xml:space="preserve">Biological Conservation</w:t>
      </w:r>
      <w:r>
        <w:t xml:space="preserve">,</w:t>
      </w:r>
      <w:r>
        <w:t xml:space="preserve"> </w:t>
      </w:r>
      <w:r>
        <w:rPr>
          <w:bCs/>
          <w:b/>
        </w:rPr>
        <w:t xml:space="preserve">260</w:t>
      </w:r>
      <w:r>
        <w:t xml:space="preserve">, 108849.</w:t>
      </w:r>
    </w:p>
    <w:bookmarkEnd w:id="96"/>
    <w:bookmarkStart w:id="98" w:name="ref-GarciaMartin2006"/>
    <w:p>
      <w:pPr>
        <w:pStyle w:val="Bibliographie"/>
      </w:pPr>
      <w:r>
        <w:t xml:space="preserve">Gárcia Martín, H., &amp; Goldenfeld, N. (2006).</w:t>
      </w:r>
      <w:r>
        <w:t xml:space="preserve"> </w:t>
      </w:r>
      <w:hyperlink r:id="rId97">
        <w:r>
          <w:rPr>
            <w:rStyle w:val="Lienhypertexte"/>
          </w:rPr>
          <w:t xml:space="preserve">On the origin and robustness of power-law species-area relationships in ecology</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103</w:t>
      </w:r>
      <w:r>
        <w:t xml:space="preserve">(27), 10310–10315.</w:t>
      </w:r>
    </w:p>
    <w:bookmarkEnd w:id="98"/>
    <w:bookmarkStart w:id="100" w:name="ref-Gleason1922"/>
    <w:p>
      <w:pPr>
        <w:pStyle w:val="Bibliographie"/>
      </w:pPr>
      <w:r>
        <w:t xml:space="preserve">Gleason, H. A. (1922).</w:t>
      </w:r>
      <w:r>
        <w:t xml:space="preserve"> </w:t>
      </w:r>
      <w:hyperlink r:id="rId99">
        <w:r>
          <w:rPr>
            <w:rStyle w:val="Lienhypertexte"/>
          </w:rPr>
          <w:t xml:space="preserve">On the relation between species and area</w:t>
        </w:r>
      </w:hyperlink>
      <w:r>
        <w:t xml:space="preserve">.</w:t>
      </w:r>
      <w:r>
        <w:t xml:space="preserve"> </w:t>
      </w:r>
      <w:r>
        <w:rPr>
          <w:iCs/>
          <w:i/>
        </w:rPr>
        <w:t xml:space="preserve">Ecology</w:t>
      </w:r>
      <w:r>
        <w:t xml:space="preserve">,</w:t>
      </w:r>
      <w:r>
        <w:t xml:space="preserve"> </w:t>
      </w:r>
      <w:r>
        <w:rPr>
          <w:bCs/>
          <w:b/>
        </w:rPr>
        <w:t xml:space="preserve">3</w:t>
      </w:r>
      <w:r>
        <w:t xml:space="preserve">(2), 158–162.</w:t>
      </w:r>
    </w:p>
    <w:bookmarkEnd w:id="100"/>
    <w:bookmarkStart w:id="101" w:name="ref-Gonzalez2022"/>
    <w:p>
      <w:pPr>
        <w:pStyle w:val="Bibliographie"/>
      </w:pPr>
      <w:r>
        <w:t xml:space="preserve">Gonzalez, S., Bilot-Guérin, V., Delprete, P. G., Geniez, C., Molino, J.-F., &amp; Smock, J.-L. (2022). L’herbier</w:t>
      </w:r>
      <w:r>
        <w:t xml:space="preserve"> </w:t>
      </w:r>
      <w:r>
        <w:t xml:space="preserve">IRD</w:t>
      </w:r>
      <w:r>
        <w:t xml:space="preserve"> </w:t>
      </w:r>
      <w:r>
        <w:t xml:space="preserve">de</w:t>
      </w:r>
      <w:r>
        <w:t xml:space="preserve"> </w:t>
      </w:r>
      <w:r>
        <w:t xml:space="preserve">Guyane</w:t>
      </w:r>
      <w:r>
        <w:t xml:space="preserve">, https://herbier-guyane.ird.fr/.</w:t>
      </w:r>
    </w:p>
    <w:bookmarkEnd w:id="101"/>
    <w:bookmarkStart w:id="103" w:name="ref-Good1953"/>
    <w:p>
      <w:pPr>
        <w:pStyle w:val="Bibliographie"/>
      </w:pPr>
      <w:r>
        <w:t xml:space="preserve">Good, I. J. (1953).</w:t>
      </w:r>
      <w:r>
        <w:t xml:space="preserve"> </w:t>
      </w:r>
      <w:hyperlink r:id="rId102">
        <w:r>
          <w:rPr>
            <w:rStyle w:val="Lienhypertexte"/>
          </w:rPr>
          <w:t xml:space="preserve">The population frequency of species and the estimation of population parameters</w:t>
        </w:r>
      </w:hyperlink>
      <w:r>
        <w:t xml:space="preserve">.</w:t>
      </w:r>
      <w:r>
        <w:t xml:space="preserve"> </w:t>
      </w:r>
      <w:r>
        <w:rPr>
          <w:iCs/>
          <w:i/>
        </w:rPr>
        <w:t xml:space="preserve">Biometrika</w:t>
      </w:r>
      <w:r>
        <w:t xml:space="preserve">,</w:t>
      </w:r>
      <w:r>
        <w:t xml:space="preserve"> </w:t>
      </w:r>
      <w:r>
        <w:rPr>
          <w:bCs/>
          <w:b/>
        </w:rPr>
        <w:t xml:space="preserve">40</w:t>
      </w:r>
      <w:r>
        <w:t xml:space="preserve">(3/4), 237–264.</w:t>
      </w:r>
    </w:p>
    <w:bookmarkEnd w:id="103"/>
    <w:bookmarkStart w:id="105" w:name="ref-Gotelli2001"/>
    <w:p>
      <w:pPr>
        <w:pStyle w:val="Bibliographie"/>
      </w:pPr>
      <w:r>
        <w:t xml:space="preserve">Gotelli, N. J., &amp; Colwell, R. K. (2001).</w:t>
      </w:r>
      <w:r>
        <w:t xml:space="preserve"> </w:t>
      </w:r>
      <w:hyperlink r:id="rId104">
        <w:r>
          <w:rPr>
            <w:rStyle w:val="Lienhypertexte"/>
          </w:rPr>
          <w:t xml:space="preserve">Quantifying biodiversity: Procedures and pitfalls in the measurement and comparison of species richness</w:t>
        </w:r>
      </w:hyperlink>
      <w:r>
        <w:t xml:space="preserve">.</w:t>
      </w:r>
      <w:r>
        <w:t xml:space="preserve"> </w:t>
      </w:r>
      <w:r>
        <w:rPr>
          <w:iCs/>
          <w:i/>
        </w:rPr>
        <w:t xml:space="preserve">Ecology Letters</w:t>
      </w:r>
      <w:r>
        <w:t xml:space="preserve">,</w:t>
      </w:r>
      <w:r>
        <w:t xml:space="preserve"> </w:t>
      </w:r>
      <w:r>
        <w:rPr>
          <w:bCs/>
          <w:b/>
        </w:rPr>
        <w:t xml:space="preserve">4</w:t>
      </w:r>
      <w:r>
        <w:t xml:space="preserve">(4), 379–391.</w:t>
      </w:r>
    </w:p>
    <w:bookmarkEnd w:id="105"/>
    <w:bookmarkStart w:id="106" w:name="ref-Gourlet-Fleury2004"/>
    <w:p>
      <w:pPr>
        <w:pStyle w:val="Bibliographie"/>
      </w:pPr>
      <w:r>
        <w:t xml:space="preserve">Gourlet-Fleury, S., Guehl, J. M., &amp; Laroussinie, O.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 Paris: Elsevier.</w:t>
      </w:r>
    </w:p>
    <w:bookmarkEnd w:id="106"/>
    <w:bookmarkStart w:id="108" w:name="ref-Grabchak2016"/>
    <w:p>
      <w:pPr>
        <w:pStyle w:val="Bibliographie"/>
      </w:pPr>
      <w:r>
        <w:t xml:space="preserve">Grabchak, M., Marcon, E., Lang, G., &amp; Zhang, Z. (2017).</w:t>
      </w:r>
      <w:r>
        <w:t xml:space="preserve"> </w:t>
      </w:r>
      <w:hyperlink r:id="rId107">
        <w:r>
          <w:rPr>
            <w:rStyle w:val="Lienhypertexte"/>
          </w:rPr>
          <w:t xml:space="preserve">The generalized</w:t>
        </w:r>
        <w:r>
          <w:rPr>
            <w:rStyle w:val="Lienhypertexte"/>
          </w:rPr>
          <w:t xml:space="preserve"> </w:t>
        </w:r>
        <w:r>
          <w:rPr>
            <w:rStyle w:val="Lienhypertexte"/>
          </w:rPr>
          <w:t xml:space="preserve">Simpson</w:t>
        </w:r>
        <w:r>
          <w:rPr>
            <w:rStyle w:val="Lienhypertexte"/>
          </w:rPr>
          <w:t xml:space="preserve">’s entropy is a measure of biodiversity</w:t>
        </w:r>
      </w:hyperlink>
      <w:r>
        <w:t xml:space="preserve">.</w:t>
      </w:r>
      <w:r>
        <w:t xml:space="preserve"> </w:t>
      </w:r>
      <w:r>
        <w:rPr>
          <w:iCs/>
          <w:i/>
        </w:rPr>
        <w:t xml:space="preserve">Plos One</w:t>
      </w:r>
      <w:r>
        <w:t xml:space="preserve">,</w:t>
      </w:r>
      <w:r>
        <w:t xml:space="preserve"> </w:t>
      </w:r>
      <w:r>
        <w:rPr>
          <w:bCs/>
          <w:b/>
        </w:rPr>
        <w:t xml:space="preserve">12</w:t>
      </w:r>
      <w:r>
        <w:t xml:space="preserve">(3), e0173305.</w:t>
      </w:r>
    </w:p>
    <w:bookmarkEnd w:id="108"/>
    <w:bookmarkStart w:id="110" w:name="ref-Grilli2012"/>
    <w:p>
      <w:pPr>
        <w:pStyle w:val="Bibliographie"/>
      </w:pPr>
      <w:r>
        <w:t xml:space="preserve">Grilli, J., Azaele, S., Banavar, J. R., &amp; Maritan, A. (2012).</w:t>
      </w:r>
      <w:r>
        <w:t xml:space="preserve"> </w:t>
      </w:r>
      <w:hyperlink r:id="rId109">
        <w:r>
          <w:rPr>
            <w:rStyle w:val="Lienhypertexte"/>
          </w:rPr>
          <w:t xml:space="preserve">Spatial aggregation and the species-area relationship across scales</w:t>
        </w:r>
      </w:hyperlink>
      <w:r>
        <w:t xml:space="preserve">.</w:t>
      </w:r>
      <w:r>
        <w:t xml:space="preserve"> </w:t>
      </w:r>
      <w:r>
        <w:rPr>
          <w:iCs/>
          <w:i/>
        </w:rPr>
        <w:t xml:space="preserve">Journal of Theoretical Biology</w:t>
      </w:r>
      <w:r>
        <w:t xml:space="preserve">,</w:t>
      </w:r>
      <w:r>
        <w:t xml:space="preserve"> </w:t>
      </w:r>
      <w:r>
        <w:rPr>
          <w:bCs/>
          <w:b/>
        </w:rPr>
        <w:t xml:space="preserve">313</w:t>
      </w:r>
      <w:r>
        <w:t xml:space="preserve">, 87–97.</w:t>
      </w:r>
    </w:p>
    <w:bookmarkEnd w:id="110"/>
    <w:bookmarkStart w:id="112" w:name="ref-Guitet2015b"/>
    <w:p>
      <w:pPr>
        <w:pStyle w:val="Bibliographie"/>
      </w:pPr>
      <w:r>
        <w:t xml:space="preserve">Guitet, S., Pélissier, R., Brunaux, O., Jaouen, G., &amp; Sabatier, D. (2015).</w:t>
      </w:r>
      <w:r>
        <w:t xml:space="preserve"> </w:t>
      </w:r>
      <w:hyperlink r:id="rId111">
        <w:r>
          <w:rPr>
            <w:rStyle w:val="Lienhypertexte"/>
          </w:rPr>
          <w:t xml:space="preserve">Geomorphological landscape features explain floristic patterns in</w:t>
        </w:r>
        <w:r>
          <w:rPr>
            <w:rStyle w:val="Lienhypertexte"/>
          </w:rPr>
          <w:t xml:space="preserve"> </w:t>
        </w:r>
        <w:r>
          <w:rPr>
            <w:rStyle w:val="Lienhypertexte"/>
          </w:rPr>
          <w:t xml:space="preserve">French Guiana</w:t>
        </w:r>
        <w:r>
          <w:rPr>
            <w:rStyle w:val="Lienhypertexte"/>
          </w:rPr>
          <w:t xml:space="preserve"> </w:t>
        </w:r>
        <w:r>
          <w:rPr>
            <w:rStyle w:val="Lienhypertexte"/>
          </w:rPr>
          <w:t xml:space="preserve">rainforest</w:t>
        </w:r>
      </w:hyperlink>
      <w:r>
        <w:t xml:space="preserve">.</w:t>
      </w:r>
      <w:r>
        <w:t xml:space="preserve"> </w:t>
      </w:r>
      <w:r>
        <w:rPr>
          <w:iCs/>
          <w:i/>
        </w:rPr>
        <w:t xml:space="preserve">Biodiversity and Conservation</w:t>
      </w:r>
      <w:r>
        <w:t xml:space="preserve">,</w:t>
      </w:r>
      <w:r>
        <w:t xml:space="preserve"> </w:t>
      </w:r>
      <w:r>
        <w:rPr>
          <w:bCs/>
          <w:b/>
        </w:rPr>
        <w:t xml:space="preserve">24</w:t>
      </w:r>
      <w:r>
        <w:t xml:space="preserve">(5), 1215–1237.</w:t>
      </w:r>
    </w:p>
    <w:bookmarkEnd w:id="112"/>
    <w:bookmarkStart w:id="114" w:name="ref-Harte1999"/>
    <w:p>
      <w:pPr>
        <w:pStyle w:val="Bibliographie"/>
      </w:pPr>
      <w:r>
        <w:t xml:space="preserve">Harte, J., Kinzig, A., &amp; Green, J. (1999a).</w:t>
      </w:r>
      <w:r>
        <w:t xml:space="preserve"> </w:t>
      </w:r>
      <w:hyperlink r:id="rId113">
        <w:r>
          <w:rPr>
            <w:rStyle w:val="Lienhypertexte"/>
          </w:rPr>
          <w:t xml:space="preserve">Self-similarity in the distribution and abundance of species</w:t>
        </w:r>
      </w:hyperlink>
      <w:r>
        <w:t xml:space="preserve">.</w:t>
      </w:r>
      <w:r>
        <w:t xml:space="preserve"> </w:t>
      </w:r>
      <w:r>
        <w:rPr>
          <w:iCs/>
          <w:i/>
        </w:rPr>
        <w:t xml:space="preserve">Science</w:t>
      </w:r>
      <w:r>
        <w:t xml:space="preserve">,</w:t>
      </w:r>
      <w:r>
        <w:t xml:space="preserve"> </w:t>
      </w:r>
      <w:r>
        <w:rPr>
          <w:bCs/>
          <w:b/>
        </w:rPr>
        <w:t xml:space="preserve">284</w:t>
      </w:r>
      <w:r>
        <w:t xml:space="preserve">(5412), 334–336.</w:t>
      </w:r>
    </w:p>
    <w:bookmarkEnd w:id="114"/>
    <w:bookmarkStart w:id="116" w:name="ref-Harte1999a"/>
    <w:p>
      <w:pPr>
        <w:pStyle w:val="Bibliographie"/>
      </w:pPr>
      <w:r>
        <w:t xml:space="preserve">Harte, J., Mccarthy, S., Taylor, K., Kinzig, A., &amp; Fischer, M. L. (1999b).</w:t>
      </w:r>
      <w:r>
        <w:t xml:space="preserve"> </w:t>
      </w:r>
      <w:hyperlink r:id="rId115">
        <w:r>
          <w:rPr>
            <w:rStyle w:val="Lienhypertexte"/>
          </w:rPr>
          <w:t xml:space="preserve">Estimating species-area relationships from scale plot to landscape data using species spatial-turnover</w:t>
        </w:r>
      </w:hyperlink>
      <w:r>
        <w:t xml:space="preserve">.</w:t>
      </w:r>
      <w:r>
        <w:t xml:space="preserve"> </w:t>
      </w:r>
      <w:r>
        <w:rPr>
          <w:iCs/>
          <w:i/>
        </w:rPr>
        <w:t xml:space="preserve">Oikos</w:t>
      </w:r>
      <w:r>
        <w:t xml:space="preserve">,</w:t>
      </w:r>
      <w:r>
        <w:t xml:space="preserve"> </w:t>
      </w:r>
      <w:r>
        <w:rPr>
          <w:bCs/>
          <w:b/>
        </w:rPr>
        <w:t xml:space="preserve">86</w:t>
      </w:r>
      <w:r>
        <w:t xml:space="preserve">(1), 45–54.</w:t>
      </w:r>
    </w:p>
    <w:bookmarkEnd w:id="116"/>
    <w:bookmarkStart w:id="118" w:name="ref-Harte2009"/>
    <w:p>
      <w:pPr>
        <w:pStyle w:val="Bibliographie"/>
      </w:pPr>
      <w:r>
        <w:t xml:space="preserve">Harte, J., Smith, A. B., &amp; Storch, D. (2009).</w:t>
      </w:r>
      <w:r>
        <w:t xml:space="preserve"> </w:t>
      </w:r>
      <w:hyperlink r:id="rId117">
        <w:r>
          <w:rPr>
            <w:rStyle w:val="Lienhypertexte"/>
          </w:rPr>
          <w:t xml:space="preserve">Biodiversity scales from plots to biomes with a universal species-area curve</w:t>
        </w:r>
      </w:hyperlink>
      <w:r>
        <w:t xml:space="preserve">.</w:t>
      </w:r>
      <w:r>
        <w:t xml:space="preserve"> </w:t>
      </w:r>
      <w:r>
        <w:rPr>
          <w:iCs/>
          <w:i/>
        </w:rPr>
        <w:t xml:space="preserve">Ecology Letters</w:t>
      </w:r>
      <w:r>
        <w:t xml:space="preserve">,</w:t>
      </w:r>
      <w:r>
        <w:t xml:space="preserve"> </w:t>
      </w:r>
      <w:r>
        <w:rPr>
          <w:bCs/>
          <w:b/>
        </w:rPr>
        <w:t xml:space="preserve">12</w:t>
      </w:r>
      <w:r>
        <w:t xml:space="preserve">(8), 789–797.</w:t>
      </w:r>
    </w:p>
    <w:bookmarkEnd w:id="118"/>
    <w:bookmarkStart w:id="120" w:name="ref-Harte2008"/>
    <w:p>
      <w:pPr>
        <w:pStyle w:val="Bibliographie"/>
      </w:pPr>
      <w:r>
        <w:t xml:space="preserve">Harte, J., Zillio, T., Conlisk, E., &amp; Smith, A. B. (2008).</w:t>
      </w:r>
      <w:r>
        <w:t xml:space="preserve"> </w:t>
      </w:r>
      <w:hyperlink r:id="rId119">
        <w:r>
          <w:rPr>
            <w:rStyle w:val="Lienhypertexte"/>
          </w:rPr>
          <w:t xml:space="preserve">Maximum entropy and the state-variable approach to macroecology</w:t>
        </w:r>
      </w:hyperlink>
      <w:r>
        <w:t xml:space="preserve">.</w:t>
      </w:r>
      <w:r>
        <w:t xml:space="preserve"> </w:t>
      </w:r>
      <w:r>
        <w:rPr>
          <w:iCs/>
          <w:i/>
        </w:rPr>
        <w:t xml:space="preserve">Ecology</w:t>
      </w:r>
      <w:r>
        <w:t xml:space="preserve">,</w:t>
      </w:r>
      <w:r>
        <w:t xml:space="preserve"> </w:t>
      </w:r>
      <w:r>
        <w:rPr>
          <w:bCs/>
          <w:b/>
        </w:rPr>
        <w:t xml:space="preserve">89</w:t>
      </w:r>
      <w:r>
        <w:t xml:space="preserve">(10), 2700–2711.</w:t>
      </w:r>
    </w:p>
    <w:bookmarkEnd w:id="120"/>
    <w:bookmarkStart w:id="121" w:name="ref-Hubbell2001"/>
    <w:p>
      <w:pPr>
        <w:pStyle w:val="Bibliographie"/>
      </w:pPr>
      <w:r>
        <w:t xml:space="preserve">Hubbell, S. P. (2001).</w:t>
      </w:r>
      <w:r>
        <w:t xml:space="preserve"> </w:t>
      </w:r>
      <w:r>
        <w:rPr>
          <w:iCs/>
          <w:i/>
        </w:rPr>
        <w:t xml:space="preserve">The unified neutral theory of biodiversity and biogeography</w:t>
      </w:r>
      <w:r>
        <w:t xml:space="preserve">, Princeton University Press.</w:t>
      </w:r>
    </w:p>
    <w:bookmarkEnd w:id="121"/>
    <w:bookmarkStart w:id="123" w:name="ref-Jaouen2021"/>
    <w:p>
      <w:pPr>
        <w:pStyle w:val="Bibliographie"/>
      </w:pPr>
      <w:r>
        <w:t xml:space="preserve">Jaouen, G., Dourdain, A., &amp; Derroire, G. (2021). Guyafor</w:t>
      </w:r>
      <w:r>
        <w:t xml:space="preserve"> </w:t>
      </w:r>
      <w:r>
        <w:t xml:space="preserve">Data Dictionary</w:t>
      </w:r>
      <w:r>
        <w:t xml:space="preserve">, CIRAD Dataverse. doi:</w:t>
      </w:r>
      <w:hyperlink r:id="rId122">
        <w:r>
          <w:rPr>
            <w:rStyle w:val="Lienhypertexte"/>
          </w:rPr>
          <w:t xml:space="preserve">10.18167/DVN1/B8FHHA</w:t>
        </w:r>
      </w:hyperlink>
    </w:p>
    <w:bookmarkEnd w:id="123"/>
    <w:bookmarkStart w:id="125" w:name="ref-Krishnamani2004"/>
    <w:p>
      <w:pPr>
        <w:pStyle w:val="Bibliographie"/>
      </w:pPr>
      <w:r>
        <w:t xml:space="preserve">Krishnamani, R., Kumar, A., &amp; Harte, J. (2004).</w:t>
      </w:r>
      <w:r>
        <w:t xml:space="preserve"> </w:t>
      </w:r>
      <w:hyperlink r:id="rId124">
        <w:r>
          <w:rPr>
            <w:rStyle w:val="Lienhypertexte"/>
          </w:rPr>
          <w:t xml:space="preserve">Estimating species richness at large spatial scales using data from small discrete plots</w:t>
        </w:r>
      </w:hyperlink>
      <w:r>
        <w:t xml:space="preserve">.</w:t>
      </w:r>
      <w:r>
        <w:t xml:space="preserve"> </w:t>
      </w:r>
      <w:r>
        <w:rPr>
          <w:iCs/>
          <w:i/>
        </w:rPr>
        <w:t xml:space="preserve">Ecography</w:t>
      </w:r>
      <w:r>
        <w:t xml:space="preserve">,</w:t>
      </w:r>
      <w:r>
        <w:t xml:space="preserve"> </w:t>
      </w:r>
      <w:r>
        <w:rPr>
          <w:bCs/>
          <w:b/>
        </w:rPr>
        <w:t xml:space="preserve">27</w:t>
      </w:r>
      <w:r>
        <w:t xml:space="preserve">(5), 637–642.</w:t>
      </w:r>
    </w:p>
    <w:bookmarkEnd w:id="125"/>
    <w:bookmarkStart w:id="127" w:name="ref-Lineweaver1934"/>
    <w:p>
      <w:pPr>
        <w:pStyle w:val="Bibliographie"/>
      </w:pPr>
      <w:r>
        <w:t xml:space="preserve">Lineweaver, H., &amp; Burk, D. (1934).</w:t>
      </w:r>
      <w:r>
        <w:t xml:space="preserve"> </w:t>
      </w:r>
      <w:hyperlink r:id="rId126">
        <w:r>
          <w:rPr>
            <w:rStyle w:val="Lienhypertexte"/>
          </w:rPr>
          <w:t xml:space="preserve">The determination of enzyme dissociation constants</w:t>
        </w:r>
      </w:hyperlink>
      <w:r>
        <w:t xml:space="preserve">.</w:t>
      </w:r>
      <w:r>
        <w:t xml:space="preserve"> </w:t>
      </w:r>
      <w:r>
        <w:rPr>
          <w:iCs/>
          <w:i/>
        </w:rPr>
        <w:t xml:space="preserve">Journal of the American Chemical Society</w:t>
      </w:r>
      <w:r>
        <w:t xml:space="preserve">,</w:t>
      </w:r>
      <w:r>
        <w:t xml:space="preserve"> </w:t>
      </w:r>
      <w:r>
        <w:rPr>
          <w:bCs/>
          <w:b/>
        </w:rPr>
        <w:t xml:space="preserve">56</w:t>
      </w:r>
      <w:r>
        <w:t xml:space="preserve">(3), 658–666.</w:t>
      </w:r>
    </w:p>
    <w:bookmarkEnd w:id="127"/>
    <w:bookmarkStart w:id="128" w:name="ref-MacArthur1967"/>
    <w:p>
      <w:pPr>
        <w:pStyle w:val="Bibliographie"/>
      </w:pPr>
      <w:r>
        <w:t xml:space="preserve">MacArthur, R. H., &amp; Wilson, E. O. (1967). The theory of island biogeography. In</w:t>
      </w:r>
      <w:r>
        <w:t xml:space="preserve"> </w:t>
      </w:r>
      <w:r>
        <w:rPr>
          <w:iCs/>
          <w:i/>
        </w:rPr>
        <w:t xml:space="preserve">Monographs in population biology</w:t>
      </w:r>
      <w:r>
        <w:t xml:space="preserve">, Vol. 1, Princeton University Press.</w:t>
      </w:r>
    </w:p>
    <w:bookmarkEnd w:id="128"/>
    <w:bookmarkStart w:id="130" w:name="ref-Marcon2014c"/>
    <w:p>
      <w:pPr>
        <w:pStyle w:val="Bibliographie"/>
      </w:pPr>
      <w:r>
        <w:t xml:space="preserve">Marcon, E., &amp; Hérault, B. (2015).</w:t>
      </w:r>
      <w:r>
        <w:t xml:space="preserve"> </w:t>
      </w:r>
      <w:hyperlink r:id="rId129">
        <w:r>
          <w:rPr>
            <w:rStyle w:val="Lienhypertexte"/>
          </w:rPr>
          <w:t xml:space="preserve">Entropart, an</w:t>
        </w:r>
        <w:r>
          <w:rPr>
            <w:rStyle w:val="Lienhypertexte"/>
          </w:rPr>
          <w:t xml:space="preserve"> </w:t>
        </w:r>
        <w:r>
          <w:rPr>
            <w:rStyle w:val="Lienhypertexte"/>
          </w:rPr>
          <w:t xml:space="preserve">R</w:t>
        </w:r>
        <w:r>
          <w:rPr>
            <w:rStyle w:val="Lienhypertexte"/>
          </w:rPr>
          <w:t xml:space="preserve"> </w:t>
        </w:r>
        <w:r>
          <w:rPr>
            <w:rStyle w:val="Lienhypertexte"/>
          </w:rPr>
          <w:t xml:space="preserve">package to measure and partition diversity</w:t>
        </w:r>
      </w:hyperlink>
      <w:r>
        <w:t xml:space="preserve">.</w:t>
      </w:r>
      <w:r>
        <w:t xml:space="preserve"> </w:t>
      </w:r>
      <w:r>
        <w:rPr>
          <w:iCs/>
          <w:i/>
        </w:rPr>
        <w:t xml:space="preserve">Journal of Statistical Software</w:t>
      </w:r>
      <w:r>
        <w:t xml:space="preserve">,</w:t>
      </w:r>
      <w:r>
        <w:t xml:space="preserve"> </w:t>
      </w:r>
      <w:r>
        <w:rPr>
          <w:bCs/>
          <w:b/>
        </w:rPr>
        <w:t xml:space="preserve">67</w:t>
      </w:r>
      <w:r>
        <w:t xml:space="preserve">(8), 1–26.</w:t>
      </w:r>
    </w:p>
    <w:bookmarkEnd w:id="130"/>
    <w:bookmarkStart w:id="131" w:name="ref-May1975"/>
    <w:p>
      <w:pPr>
        <w:pStyle w:val="Bibliographie"/>
      </w:pPr>
      <w:r>
        <w:t xml:space="preserve">May, R. M. (1975). Patterns of species abundance and diversity. In M. L. Cody &amp; J. M. Diamond, eds.,</w:t>
      </w:r>
      <w:r>
        <w:t xml:space="preserve"> </w:t>
      </w:r>
      <w:r>
        <w:rPr>
          <w:iCs/>
          <w:i/>
        </w:rPr>
        <w:t xml:space="preserve">Ecology and evolution of communities</w:t>
      </w:r>
      <w:r>
        <w:t xml:space="preserve">, Harvard University Press, pp. 81–120.</w:t>
      </w:r>
    </w:p>
    <w:bookmarkEnd w:id="131"/>
    <w:bookmarkStart w:id="133" w:name="ref-McGill2003"/>
    <w:p>
      <w:pPr>
        <w:pStyle w:val="Bibliographie"/>
      </w:pPr>
      <w:r>
        <w:t xml:space="preserve">McGill, B. J. (2003).</w:t>
      </w:r>
      <w:r>
        <w:t xml:space="preserve"> </w:t>
      </w:r>
      <w:hyperlink r:id="rId132">
        <w:r>
          <w:rPr>
            <w:rStyle w:val="Lienhypertexte"/>
          </w:rPr>
          <w:t xml:space="preserve">A test of the unified neutral theory of biodiversity</w:t>
        </w:r>
      </w:hyperlink>
      <w:r>
        <w:t xml:space="preserve">.</w:t>
      </w:r>
      <w:r>
        <w:t xml:space="preserve"> </w:t>
      </w:r>
      <w:r>
        <w:rPr>
          <w:iCs/>
          <w:i/>
        </w:rPr>
        <w:t xml:space="preserve">Nature</w:t>
      </w:r>
      <w:r>
        <w:t xml:space="preserve">,</w:t>
      </w:r>
      <w:r>
        <w:t xml:space="preserve"> </w:t>
      </w:r>
      <w:r>
        <w:rPr>
          <w:bCs/>
          <w:b/>
        </w:rPr>
        <w:t xml:space="preserve">422</w:t>
      </w:r>
      <w:r>
        <w:t xml:space="preserve">(6934), 881–885.</w:t>
      </w:r>
    </w:p>
    <w:bookmarkEnd w:id="133"/>
    <w:bookmarkStart w:id="135" w:name="ref-Mirabel2020"/>
    <w:p>
      <w:pPr>
        <w:pStyle w:val="Bibliographie"/>
      </w:pPr>
      <w:r>
        <w:t xml:space="preserve">Mirabel, A., Hérault, B., &amp; Marcon, E. (2020).</w:t>
      </w:r>
      <w:r>
        <w:t xml:space="preserve"> </w:t>
      </w:r>
      <w:hyperlink r:id="rId134">
        <w:r>
          <w:rPr>
            <w:rStyle w:val="Lienhypertexte"/>
          </w:rPr>
          <w:t xml:space="preserve">Diverging taxonomic and functional trajectories following disturbance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Science of The Total Environment</w:t>
      </w:r>
      <w:r>
        <w:t xml:space="preserve">,</w:t>
      </w:r>
      <w:r>
        <w:t xml:space="preserve"> </w:t>
      </w:r>
      <w:r>
        <w:rPr>
          <w:bCs/>
          <w:b/>
        </w:rPr>
        <w:t xml:space="preserve">720</w:t>
      </w:r>
      <w:r>
        <w:t xml:space="preserve">, 137397.</w:t>
      </w:r>
    </w:p>
    <w:bookmarkEnd w:id="135"/>
    <w:bookmarkStart w:id="137" w:name="ref-Mirabel2021"/>
    <w:p>
      <w:pPr>
        <w:pStyle w:val="Bibliographie"/>
      </w:pPr>
      <w:r>
        <w:t xml:space="preserve">Mirabel, A., Marcon, E., &amp; Hérault, B. (2021).</w:t>
      </w:r>
      <w:r>
        <w:t xml:space="preserve"> </w:t>
      </w:r>
      <w:hyperlink r:id="rId136">
        <w:r>
          <w:rPr>
            <w:rStyle w:val="Lienhypertexte"/>
          </w:rPr>
          <w:t xml:space="preserve">30</w:t>
        </w:r>
        <w:r>
          <w:rPr>
            <w:rStyle w:val="Lienhypertexte"/>
          </w:rPr>
          <w:t xml:space="preserve"> </w:t>
        </w:r>
        <w:r>
          <w:rPr>
            <w:rStyle w:val="Lienhypertexte"/>
          </w:rPr>
          <w:t xml:space="preserve">Years</w:t>
        </w:r>
        <w:r>
          <w:rPr>
            <w:rStyle w:val="Lienhypertexte"/>
          </w:rPr>
          <w:t xml:space="preserve"> </w:t>
        </w:r>
        <w:r>
          <w:rPr>
            <w:rStyle w:val="Lienhypertexte"/>
          </w:rPr>
          <w:t xml:space="preserve">of postdisturbance recruitment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Ecology and Evolution</w:t>
      </w:r>
      <w:r>
        <w:t xml:space="preserve">,</w:t>
      </w:r>
      <w:r>
        <w:t xml:space="preserve"> </w:t>
      </w:r>
      <w:r>
        <w:rPr>
          <w:bCs/>
          <w:b/>
        </w:rPr>
        <w:t xml:space="preserve">11</w:t>
      </w:r>
      <w:r>
        <w:t xml:space="preserve">(21), 14448–14458.</w:t>
      </w:r>
    </w:p>
    <w:bookmarkEnd w:id="137"/>
    <w:bookmarkStart w:id="139" w:name="ref-Molino2001"/>
    <w:p>
      <w:pPr>
        <w:pStyle w:val="Bibliographie"/>
      </w:pPr>
      <w:r>
        <w:t xml:space="preserve">Molino, J.-F., &amp; Sabatier, D. (2001).</w:t>
      </w:r>
      <w:r>
        <w:t xml:space="preserve"> </w:t>
      </w:r>
      <w:hyperlink r:id="rId138">
        <w:r>
          <w:rPr>
            <w:rStyle w:val="Lienhypertexte"/>
          </w:rPr>
          <w:t xml:space="preserve">Tree diversity in tropical rain forests: A validation of the intermediate disturbance hypothesis</w:t>
        </w:r>
      </w:hyperlink>
      <w:r>
        <w:t xml:space="preserve">.</w:t>
      </w:r>
      <w:r>
        <w:t xml:space="preserve"> </w:t>
      </w:r>
      <w:r>
        <w:rPr>
          <w:iCs/>
          <w:i/>
        </w:rPr>
        <w:t xml:space="preserve">Science</w:t>
      </w:r>
      <w:r>
        <w:t xml:space="preserve">,</w:t>
      </w:r>
      <w:r>
        <w:t xml:space="preserve"> </w:t>
      </w:r>
      <w:r>
        <w:rPr>
          <w:bCs/>
          <w:b/>
        </w:rPr>
        <w:t xml:space="preserve">294</w:t>
      </w:r>
      <w:r>
        <w:t xml:space="preserve">(5547), 1702–1704.</w:t>
      </w:r>
    </w:p>
    <w:bookmarkEnd w:id="139"/>
    <w:bookmarkStart w:id="141" w:name="ref-Molino2022"/>
    <w:p>
      <w:pPr>
        <w:pStyle w:val="Bibliographie"/>
      </w:pPr>
      <w:r>
        <w:t xml:space="preserve">Molino, J.-F., Sabatier, D., Grenand, Pierre, … Martin, Claire A. (2022).</w:t>
      </w:r>
      <w:r>
        <w:t xml:space="preserve"> </w:t>
      </w:r>
      <w:hyperlink r:id="rId140">
        <w:r>
          <w:rPr>
            <w:rStyle w:val="Lienhypertexte"/>
          </w:rPr>
          <w:t xml:space="preserve">An annotated checklist of the tree species of</w:t>
        </w:r>
        <w:r>
          <w:rPr>
            <w:rStyle w:val="Lienhypertexte"/>
          </w:rPr>
          <w:t xml:space="preserve"> </w:t>
        </w:r>
        <w:r>
          <w:rPr>
            <w:rStyle w:val="Lienhypertexte"/>
          </w:rPr>
          <w:t xml:space="preserve">French Guiana</w:t>
        </w:r>
        <w:r>
          <w:rPr>
            <w:rStyle w:val="Lienhypertexte"/>
          </w:rPr>
          <w:t xml:space="preserve">, including vernacular nomenclature</w:t>
        </w:r>
      </w:hyperlink>
      <w:r>
        <w:t xml:space="preserve">.</w:t>
      </w:r>
      <w:r>
        <w:t xml:space="preserve"> </w:t>
      </w:r>
      <w:r>
        <w:rPr>
          <w:iCs/>
          <w:i/>
        </w:rPr>
        <w:t xml:space="preserve">Adansonia</w:t>
      </w:r>
      <w:r>
        <w:t xml:space="preserve">,</w:t>
      </w:r>
      <w:r>
        <w:t xml:space="preserve"> </w:t>
      </w:r>
      <w:r>
        <w:rPr>
          <w:bCs/>
          <w:b/>
        </w:rPr>
        <w:t xml:space="preserve">44</w:t>
      </w:r>
      <w:r>
        <w:t xml:space="preserve">(26), 345–903.</w:t>
      </w:r>
    </w:p>
    <w:bookmarkEnd w:id="141"/>
    <w:bookmarkStart w:id="143" w:name="ref-Picard2004"/>
    <w:p>
      <w:pPr>
        <w:pStyle w:val="Bibliographie"/>
      </w:pPr>
      <w:r>
        <w:t xml:space="preserve">Picard, N., Karembe, M., &amp; Birnbaum, P. (2004).</w:t>
      </w:r>
      <w:r>
        <w:t xml:space="preserve"> </w:t>
      </w:r>
      <w:hyperlink r:id="rId142">
        <w:r>
          <w:rPr>
            <w:rStyle w:val="Lienhypertexte"/>
          </w:rPr>
          <w:t xml:space="preserve">Species-area curve and spatial pattern</w:t>
        </w:r>
      </w:hyperlink>
      <w:r>
        <w:t xml:space="preserve">.</w:t>
      </w:r>
      <w:r>
        <w:t xml:space="preserve"> </w:t>
      </w:r>
      <w:r>
        <w:rPr>
          <w:iCs/>
          <w:i/>
        </w:rPr>
        <w:t xml:space="preserve">Ecoscience</w:t>
      </w:r>
      <w:r>
        <w:t xml:space="preserve">,</w:t>
      </w:r>
      <w:r>
        <w:t xml:space="preserve"> </w:t>
      </w:r>
      <w:r>
        <w:rPr>
          <w:bCs/>
          <w:b/>
        </w:rPr>
        <w:t xml:space="preserve">11</w:t>
      </w:r>
      <w:r>
        <w:t xml:space="preserve">(1), 45–54.</w:t>
      </w:r>
    </w:p>
    <w:bookmarkEnd w:id="143"/>
    <w:bookmarkStart w:id="145" w:name="ref-Plotkin2000a"/>
    <w:p>
      <w:pPr>
        <w:pStyle w:val="Bibliographie"/>
      </w:pPr>
      <w:r>
        <w:t xml:space="preserve">Plotkin, J. B., Potts, M. D., Leslie, N., Manokaran, N., LaFrankie, J. V., &amp; Ashton, P. S. (2000).</w:t>
      </w:r>
      <w:r>
        <w:t xml:space="preserve"> </w:t>
      </w:r>
      <w:hyperlink r:id="rId144">
        <w:r>
          <w:rPr>
            <w:rStyle w:val="Lienhypertexte"/>
          </w:rPr>
          <w:t xml:space="preserve">Species-area curves, spatial aggregation, and habitat specialization in tropical forests</w:t>
        </w:r>
      </w:hyperlink>
      <w:r>
        <w:t xml:space="preserve">.</w:t>
      </w:r>
      <w:r>
        <w:t xml:space="preserve"> </w:t>
      </w:r>
      <w:r>
        <w:rPr>
          <w:iCs/>
          <w:i/>
        </w:rPr>
        <w:t xml:space="preserve">Journal of Theoretical Biology</w:t>
      </w:r>
      <w:r>
        <w:t xml:space="preserve">,</w:t>
      </w:r>
      <w:r>
        <w:t xml:space="preserve"> </w:t>
      </w:r>
      <w:r>
        <w:rPr>
          <w:bCs/>
          <w:b/>
        </w:rPr>
        <w:t xml:space="preserve">207</w:t>
      </w:r>
      <w:r>
        <w:t xml:space="preserve">(1), 81–99.</w:t>
      </w:r>
    </w:p>
    <w:bookmarkEnd w:id="145"/>
    <w:bookmarkStart w:id="147" w:name="ref-Preston1948"/>
    <w:p>
      <w:pPr>
        <w:pStyle w:val="Bibliographie"/>
      </w:pPr>
      <w:r>
        <w:t xml:space="preserve">Preston, F. W. (1948).</w:t>
      </w:r>
      <w:r>
        <w:t xml:space="preserve"> </w:t>
      </w:r>
      <w:hyperlink r:id="rId146">
        <w:r>
          <w:rPr>
            <w:rStyle w:val="Lienhypertexte"/>
          </w:rPr>
          <w:t xml:space="preserve">The commonness, and rarity, of species</w:t>
        </w:r>
      </w:hyperlink>
      <w:r>
        <w:t xml:space="preserve">.</w:t>
      </w:r>
      <w:r>
        <w:t xml:space="preserve"> </w:t>
      </w:r>
      <w:r>
        <w:rPr>
          <w:iCs/>
          <w:i/>
        </w:rPr>
        <w:t xml:space="preserve">Ecology</w:t>
      </w:r>
      <w:r>
        <w:t xml:space="preserve">,</w:t>
      </w:r>
      <w:r>
        <w:t xml:space="preserve"> </w:t>
      </w:r>
      <w:r>
        <w:rPr>
          <w:bCs/>
          <w:b/>
        </w:rPr>
        <w:t xml:space="preserve">29</w:t>
      </w:r>
      <w:r>
        <w:t xml:space="preserve">(3), 254–283.</w:t>
      </w:r>
    </w:p>
    <w:bookmarkEnd w:id="147"/>
    <w:bookmarkStart w:id="149" w:name="ref-Preston1962"/>
    <w:p>
      <w:pPr>
        <w:pStyle w:val="Bibliographie"/>
      </w:pPr>
      <w:r>
        <w:t xml:space="preserve">Preston, F. W. (1962).</w:t>
      </w:r>
      <w:r>
        <w:t xml:space="preserve"> </w:t>
      </w:r>
      <w:hyperlink r:id="rId148">
        <w:r>
          <w:rPr>
            <w:rStyle w:val="Lienhypertexte"/>
          </w:rPr>
          <w:t xml:space="preserve">The canonical distribution of commonness and rarity:</w:t>
        </w:r>
        <w:r>
          <w:rPr>
            <w:rStyle w:val="Lienhypertexte"/>
          </w:rPr>
          <w:t xml:space="preserve"> </w:t>
        </w:r>
        <w:r>
          <w:rPr>
            <w:rStyle w:val="Lienhypertexte"/>
          </w:rPr>
          <w:t xml:space="preserve">Part I</w:t>
        </w:r>
      </w:hyperlink>
      <w:r>
        <w:t xml:space="preserve">.</w:t>
      </w:r>
      <w:r>
        <w:t xml:space="preserve"> </w:t>
      </w:r>
      <w:r>
        <w:rPr>
          <w:iCs/>
          <w:i/>
        </w:rPr>
        <w:t xml:space="preserve">Ecology</w:t>
      </w:r>
      <w:r>
        <w:t xml:space="preserve">,</w:t>
      </w:r>
      <w:r>
        <w:t xml:space="preserve"> </w:t>
      </w:r>
      <w:r>
        <w:rPr>
          <w:bCs/>
          <w:b/>
        </w:rPr>
        <w:t xml:space="preserve">43</w:t>
      </w:r>
      <w:r>
        <w:t xml:space="preserve">(2), 185–215.</w:t>
      </w:r>
    </w:p>
    <w:bookmarkEnd w:id="149"/>
    <w:bookmarkStart w:id="150" w:name="ref-R"/>
    <w:p>
      <w:pPr>
        <w:pStyle w:val="Bibliographie"/>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Vienna, Austria: R Foundation for Statistical Computing.</w:t>
      </w:r>
    </w:p>
    <w:bookmarkEnd w:id="150"/>
    <w:bookmarkStart w:id="152" w:name="ref-Shen2003"/>
    <w:p>
      <w:pPr>
        <w:pStyle w:val="Bibliographie"/>
      </w:pPr>
      <w:r>
        <w:t xml:space="preserve">Shen, T.-J., Chao, A., &amp; Lin, C.-F. (2003).</w:t>
      </w:r>
      <w:r>
        <w:t xml:space="preserve"> </w:t>
      </w:r>
      <w:hyperlink r:id="rId151">
        <w:r>
          <w:rPr>
            <w:rStyle w:val="Lienhypertexte"/>
          </w:rPr>
          <w:t xml:space="preserve">Predicting the number of new species in a further taxonomic sampling</w:t>
        </w:r>
      </w:hyperlink>
      <w:r>
        <w:t xml:space="preserve">.</w:t>
      </w:r>
      <w:r>
        <w:t xml:space="preserve"> </w:t>
      </w:r>
      <w:r>
        <w:rPr>
          <w:iCs/>
          <w:i/>
        </w:rPr>
        <w:t xml:space="preserve">Ecology</w:t>
      </w:r>
      <w:r>
        <w:t xml:space="preserve">,</w:t>
      </w:r>
      <w:r>
        <w:t xml:space="preserve"> </w:t>
      </w:r>
      <w:r>
        <w:rPr>
          <w:bCs/>
          <w:b/>
        </w:rPr>
        <w:t xml:space="preserve">84</w:t>
      </w:r>
      <w:r>
        <w:t xml:space="preserve">(3), 798–804.</w:t>
      </w:r>
    </w:p>
    <w:bookmarkEnd w:id="152"/>
    <w:bookmarkStart w:id="154" w:name="ref-Slik2015"/>
    <w:p>
      <w:pPr>
        <w:pStyle w:val="Bibliographie"/>
      </w:pPr>
      <w:r>
        <w:t xml:space="preserve">Slik, J. W. F., Arroyo-Rodríguez, V., Aiba, S.-I., … Venticinque, E. M. (2015).</w:t>
      </w:r>
      <w:r>
        <w:t xml:space="preserve"> </w:t>
      </w:r>
      <w:hyperlink r:id="rId153">
        <w:r>
          <w:rPr>
            <w:rStyle w:val="Lienhypertexte"/>
          </w:rPr>
          <w:t xml:space="preserve">An estimate of the number of tropical tree species</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112</w:t>
      </w:r>
      <w:r>
        <w:t xml:space="preserve">(24), 7472–7477.</w:t>
      </w:r>
    </w:p>
    <w:bookmarkEnd w:id="154"/>
    <w:bookmarkStart w:id="155" w:name="ref-Sorensen1948"/>
    <w:p>
      <w:pPr>
        <w:pStyle w:val="Bibliographie"/>
      </w:pPr>
      <w:r>
        <w:t xml:space="preserve">Sørensen, T. (1948). 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w:t>
      </w:r>
      <w:r>
        <w:t xml:space="preserve"> </w:t>
      </w:r>
      <w:r>
        <w:rPr>
          <w:bCs/>
          <w:b/>
        </w:rPr>
        <w:t xml:space="preserve">5</w:t>
      </w:r>
      <w:r>
        <w:t xml:space="preserve">(4), 1–34.</w:t>
      </w:r>
    </w:p>
    <w:bookmarkEnd w:id="155"/>
    <w:bookmarkStart w:id="157" w:name="ref-TerSteege2013"/>
    <w:p>
      <w:pPr>
        <w:pStyle w:val="Bibliographie"/>
      </w:pPr>
      <w:r>
        <w:t xml:space="preserve">ter Steege, H., Pitman, N. C. A., Sabatier, D., … Silman, M. R. (2013).</w:t>
      </w:r>
      <w:r>
        <w:t xml:space="preserve"> </w:t>
      </w:r>
      <w:hyperlink r:id="rId156">
        <w:r>
          <w:rPr>
            <w:rStyle w:val="Lienhypertexte"/>
          </w:rPr>
          <w:t xml:space="preserve">Hyperdominance in the amazonian tree flora</w:t>
        </w:r>
      </w:hyperlink>
      <w:r>
        <w:t xml:space="preserve">.</w:t>
      </w:r>
      <w:r>
        <w:t xml:space="preserve"> </w:t>
      </w:r>
      <w:r>
        <w:rPr>
          <w:iCs/>
          <w:i/>
        </w:rPr>
        <w:t xml:space="preserve">Science</w:t>
      </w:r>
      <w:r>
        <w:t xml:space="preserve">,</w:t>
      </w:r>
      <w:r>
        <w:t xml:space="preserve"> </w:t>
      </w:r>
      <w:r>
        <w:rPr>
          <w:bCs/>
          <w:b/>
        </w:rPr>
        <w:t xml:space="preserve">342</w:t>
      </w:r>
      <w:r>
        <w:t xml:space="preserve">(6156), 1243092.</w:t>
      </w:r>
    </w:p>
    <w:bookmarkEnd w:id="157"/>
    <w:bookmarkStart w:id="159" w:name="ref-TerSteege2020"/>
    <w:p>
      <w:pPr>
        <w:pStyle w:val="Bibliographie"/>
      </w:pPr>
      <w:r>
        <w:t xml:space="preserve">ter Steege, H., Prado, P. I., Lima, R. A. F. de, … Pickavance, G. (2020).</w:t>
      </w:r>
      <w:r>
        <w:t xml:space="preserve"> </w:t>
      </w:r>
      <w:hyperlink r:id="rId158">
        <w:r>
          <w:rPr>
            <w:rStyle w:val="Lienhypertexte"/>
          </w:rPr>
          <w:t xml:space="preserve">Biased-corrected richness estimates for the</w:t>
        </w:r>
        <w:r>
          <w:rPr>
            <w:rStyle w:val="Lienhypertexte"/>
          </w:rPr>
          <w:t xml:space="preserve"> </w:t>
        </w:r>
        <w:r>
          <w:rPr>
            <w:rStyle w:val="Lienhypertexte"/>
          </w:rPr>
          <w:t xml:space="preserve">Amazonian</w:t>
        </w:r>
        <w:r>
          <w:rPr>
            <w:rStyle w:val="Lienhypertexte"/>
          </w:rPr>
          <w:t xml:space="preserve"> </w:t>
        </w:r>
        <w:r>
          <w:rPr>
            <w:rStyle w:val="Lienhypertexte"/>
          </w:rPr>
          <w:t xml:space="preserve">tree flora</w:t>
        </w:r>
      </w:hyperlink>
      <w:r>
        <w:t xml:space="preserve">.</w:t>
      </w:r>
      <w:r>
        <w:t xml:space="preserve"> </w:t>
      </w:r>
      <w:r>
        <w:rPr>
          <w:iCs/>
          <w:i/>
        </w:rPr>
        <w:t xml:space="preserve">Scientific Reports</w:t>
      </w:r>
      <w:r>
        <w:t xml:space="preserve">,</w:t>
      </w:r>
      <w:r>
        <w:t xml:space="preserve"> </w:t>
      </w:r>
      <w:r>
        <w:rPr>
          <w:bCs/>
          <w:b/>
        </w:rPr>
        <w:t xml:space="preserve">10</w:t>
      </w:r>
      <w:r>
        <w:t xml:space="preserve">(1), 10130.</w:t>
      </w:r>
    </w:p>
    <w:bookmarkEnd w:id="159"/>
    <w:bookmarkStart w:id="161" w:name="ref-Triantis2012"/>
    <w:p>
      <w:pPr>
        <w:pStyle w:val="Bibliographie"/>
      </w:pPr>
      <w:r>
        <w:t xml:space="preserve">Triantis, K. A., Guilhaumon, F., &amp; Whittaker, R. J. (2012).</w:t>
      </w:r>
      <w:r>
        <w:t xml:space="preserve"> </w:t>
      </w:r>
      <w:hyperlink r:id="rId160">
        <w:r>
          <w:rPr>
            <w:rStyle w:val="Lienhypertexte"/>
          </w:rPr>
          <w:t xml:space="preserve">The island species-area relationship: Biology and statistics</w:t>
        </w:r>
      </w:hyperlink>
      <w:r>
        <w:t xml:space="preserve">.</w:t>
      </w:r>
      <w:r>
        <w:t xml:space="preserve"> </w:t>
      </w:r>
      <w:r>
        <w:rPr>
          <w:iCs/>
          <w:i/>
        </w:rPr>
        <w:t xml:space="preserve">Journal of Biogeography</w:t>
      </w:r>
      <w:r>
        <w:t xml:space="preserve">,</w:t>
      </w:r>
      <w:r>
        <w:t xml:space="preserve"> </w:t>
      </w:r>
      <w:r>
        <w:rPr>
          <w:bCs/>
          <w:b/>
        </w:rPr>
        <w:t xml:space="preserve">39</w:t>
      </w:r>
      <w:r>
        <w:t xml:space="preserve">(2), 215–231.</w:t>
      </w:r>
    </w:p>
    <w:bookmarkEnd w:id="161"/>
    <w:bookmarkStart w:id="163" w:name="ref-Volkov2003"/>
    <w:p>
      <w:pPr>
        <w:pStyle w:val="Bibliographie"/>
      </w:pPr>
      <w:r>
        <w:t xml:space="preserve">Volkov, I., Banavar, J. R., Hubbell, S. P., &amp; Maritan, A. (2003).</w:t>
      </w:r>
      <w:r>
        <w:t xml:space="preserve"> </w:t>
      </w:r>
      <w:hyperlink r:id="rId162">
        <w:r>
          <w:rPr>
            <w:rStyle w:val="Lienhypertexte"/>
          </w:rPr>
          <w:t xml:space="preserve">Neutral theory and relative species abundance in ecology</w:t>
        </w:r>
      </w:hyperlink>
      <w:r>
        <w:t xml:space="preserve">.</w:t>
      </w:r>
      <w:r>
        <w:t xml:space="preserve"> </w:t>
      </w:r>
      <w:r>
        <w:rPr>
          <w:iCs/>
          <w:i/>
        </w:rPr>
        <w:t xml:space="preserve">Nature</w:t>
      </w:r>
      <w:r>
        <w:t xml:space="preserve">,</w:t>
      </w:r>
      <w:r>
        <w:t xml:space="preserve"> </w:t>
      </w:r>
      <w:r>
        <w:rPr>
          <w:bCs/>
          <w:b/>
        </w:rPr>
        <w:t xml:space="preserve">424</w:t>
      </w:r>
      <w:r>
        <w:t xml:space="preserve">(6952), 1035–1037.</w:t>
      </w:r>
    </w:p>
    <w:bookmarkEnd w:id="163"/>
    <w:bookmarkStart w:id="165" w:name="ref-Williamson2001"/>
    <w:p>
      <w:pPr>
        <w:pStyle w:val="Bibliographie"/>
      </w:pPr>
      <w:r>
        <w:t xml:space="preserve">Williamson, M., Gaston, K. J., &amp; Lonsdale, W. M. (2001).</w:t>
      </w:r>
      <w:r>
        <w:t xml:space="preserve"> </w:t>
      </w:r>
      <w:hyperlink r:id="rId164">
        <w:r>
          <w:rPr>
            <w:rStyle w:val="Lienhypertexte"/>
          </w:rPr>
          <w:t xml:space="preserve">The species-area relationship does not have an asymptote!</w:t>
        </w:r>
      </w:hyperlink>
      <w:r>
        <w:t xml:space="preserve"> </w:t>
      </w:r>
      <w:r>
        <w:rPr>
          <w:iCs/>
          <w:i/>
        </w:rPr>
        <w:t xml:space="preserve">Journal of Biogeography</w:t>
      </w:r>
      <w:r>
        <w:t xml:space="preserve">,</w:t>
      </w:r>
      <w:r>
        <w:t xml:space="preserve"> </w:t>
      </w:r>
      <w:r>
        <w:rPr>
          <w:bCs/>
          <w:b/>
        </w:rPr>
        <w:t xml:space="preserve">28</w:t>
      </w:r>
      <w:r>
        <w:t xml:space="preserve">(7), 827–830.</w:t>
      </w:r>
    </w:p>
    <w:bookmarkEnd w:id="165"/>
    <w:bookmarkStart w:id="167" w:name="ref-Xu2012"/>
    <w:p>
      <w:pPr>
        <w:pStyle w:val="Bibliographie"/>
      </w:pPr>
      <w:r>
        <w:t xml:space="preserve">Xu, H., Liu, S., Li, Y., Zang, R., &amp; He, F. (2012).</w:t>
      </w:r>
      <w:r>
        <w:t xml:space="preserve"> </w:t>
      </w:r>
      <w:hyperlink r:id="rId166">
        <w:r>
          <w:rPr>
            <w:rStyle w:val="Lienhypertexte"/>
          </w:rPr>
          <w:t xml:space="preserve">Assessing non-parametric and area-based methods for estimating regional species richness</w:t>
        </w:r>
      </w:hyperlink>
      <w:r>
        <w:t xml:space="preserve">.</w:t>
      </w:r>
      <w:r>
        <w:t xml:space="preserve"> </w:t>
      </w:r>
      <w:r>
        <w:rPr>
          <w:iCs/>
          <w:i/>
        </w:rPr>
        <w:t xml:space="preserve">Journal of Vegetation Science</w:t>
      </w:r>
      <w:r>
        <w:t xml:space="preserve">,</w:t>
      </w:r>
      <w:r>
        <w:t xml:space="preserve"> </w:t>
      </w:r>
      <w:r>
        <w:rPr>
          <w:bCs/>
          <w:b/>
        </w:rPr>
        <w:t xml:space="preserve">23</w:t>
      </w:r>
      <w:r>
        <w:t xml:space="preserve">(6), 1006–1012.</w:t>
      </w:r>
    </w:p>
    <w:bookmarkEnd w:id="167"/>
    <w:bookmarkStart w:id="169" w:name="ref-Zanaga2021"/>
    <w:p>
      <w:pPr>
        <w:pStyle w:val="Bibliographie"/>
      </w:pPr>
      <w:r>
        <w:t xml:space="preserve">Zanaga, D., Van De Kerchove, R., De Keersmaecker, W., … Arino, O. (2021, October).</w:t>
      </w:r>
      <w:r>
        <w:t xml:space="preserve"> </w:t>
      </w:r>
      <w:r>
        <w:t xml:space="preserve">ESA WorldCover</w:t>
      </w:r>
      <w:r>
        <w:t xml:space="preserve"> </w:t>
      </w:r>
      <w:r>
        <w:t xml:space="preserve">10 m 2020 V100, Zenodo. doi:</w:t>
      </w:r>
      <w:hyperlink r:id="rId168">
        <w:r>
          <w:rPr>
            <w:rStyle w:val="Lienhypertexte"/>
          </w:rPr>
          <w:t xml:space="preserve">10.5281/ZENODO.5571936</w:t>
        </w:r>
      </w:hyperlink>
    </w:p>
    <w:bookmarkEnd w:id="169"/>
    <w:bookmarkEnd w:id="170"/>
    <w:bookmarkEnd w:id="171"/>
    <w:bookmarkEnd w:id="172"/>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2" Target="media/rId42.png" /><Relationship Type="http://schemas.openxmlformats.org/officeDocument/2006/relationships/image" Id="rId57" Target="media/rId57.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hyperlink" Id="rId136" Target="https://doi.org/10.1002/ece3.7634" TargetMode="External" /><Relationship Type="http://schemas.openxmlformats.org/officeDocument/2006/relationships/hyperlink" Id="rId144" Target="https://doi.org/10.1006/jtbi.2000.2158" TargetMode="External" /><Relationship Type="http://schemas.openxmlformats.org/officeDocument/2006/relationships/hyperlink" Id="rId111" Target="https://doi.org/10.1007/s10531-014-0854-8" TargetMode="External" /><Relationship Type="http://schemas.openxmlformats.org/officeDocument/2006/relationships/hyperlink" Id="rId88" Target="https://doi.org/10.1007/s10531-016-1265-9" TargetMode="External" /><Relationship Type="http://schemas.openxmlformats.org/officeDocument/2006/relationships/hyperlink" Id="rId134" Target="https://doi.org/10.1016/J.SCITOTENV.2020.137397" TargetMode="External" /><Relationship Type="http://schemas.openxmlformats.org/officeDocument/2006/relationships/hyperlink" Id="rId95" Target="https://doi.org/10.1016/j.biocon.2020.108849" TargetMode="External" /><Relationship Type="http://schemas.openxmlformats.org/officeDocument/2006/relationships/hyperlink" Id="rId109" Target="https://doi.org/10.1016/j.jtbi.2012.07.030" TargetMode="External" /><Relationship Type="http://schemas.openxmlformats.org/officeDocument/2006/relationships/hyperlink" Id="rId126" Target="https://doi.org/10.1021/ja01318a036" TargetMode="External" /><Relationship Type="http://schemas.openxmlformats.org/officeDocument/2006/relationships/hyperlink" Id="rId132" Target="https://doi.org/10.1038/nature01583" TargetMode="External" /><Relationship Type="http://schemas.openxmlformats.org/officeDocument/2006/relationships/hyperlink" Id="rId162" Target="https://doi.org/10.1038/nature01883" TargetMode="External" /><Relationship Type="http://schemas.openxmlformats.org/officeDocument/2006/relationships/hyperlink" Id="rId158" Target="https://doi.org/10.1038/s41598-020-66686-3" TargetMode="External" /><Relationship Type="http://schemas.openxmlformats.org/officeDocument/2006/relationships/hyperlink" Id="rId164" Target="https://doi.org/10.1046/j.1365-2699.2001.00603.x" TargetMode="External" /><Relationship Type="http://schemas.openxmlformats.org/officeDocument/2006/relationships/hyperlink" Id="rId104" Target="https://doi.org/10.1046/j.1461-0248.2001.00230.x" TargetMode="External" /><Relationship Type="http://schemas.openxmlformats.org/officeDocument/2006/relationships/hyperlink" Id="rId97" Target="https://doi.org/10.1073/pnas.0510605103" TargetMode="External" /><Relationship Type="http://schemas.openxmlformats.org/officeDocument/2006/relationships/hyperlink" Id="rId153" Target="https://doi.org/10.1073/pnas.1423147112" TargetMode="External" /><Relationship Type="http://schemas.openxmlformats.org/officeDocument/2006/relationships/hyperlink" Id="rId70" Target="https://doi.org/10.1073/pnas.2115329119" TargetMode="External" /><Relationship Type="http://schemas.openxmlformats.org/officeDocument/2006/relationships/hyperlink" Id="rId142" Target="https://doi.org/10.1080/11956860.2004.11682808" TargetMode="External" /><Relationship Type="http://schemas.openxmlformats.org/officeDocument/2006/relationships/hyperlink" Id="rId84" Target="https://doi.org/10.1086/283438" TargetMode="External" /><Relationship Type="http://schemas.openxmlformats.org/officeDocument/2006/relationships/hyperlink" Id="rId102" Target="https://doi.org/10.1093/biomet/40.3-4.237" TargetMode="External" /><Relationship Type="http://schemas.openxmlformats.org/officeDocument/2006/relationships/hyperlink" Id="rId80" Target="https://doi.org/10.1098/rstb.1994.0091" TargetMode="External" /><Relationship Type="http://schemas.openxmlformats.org/officeDocument/2006/relationships/hyperlink" Id="rId76" Target="https://doi.org/10.1111/2041-210X.12349" TargetMode="External" /><Relationship Type="http://schemas.openxmlformats.org/officeDocument/2006/relationships/hyperlink" Id="rId78" Target="https://doi.org/10.1111/2041-210x.12108" TargetMode="External" /><Relationship Type="http://schemas.openxmlformats.org/officeDocument/2006/relationships/hyperlink" Id="rId124" Target="https://doi.org/10.1111/j.0906-7590.2004.03790.x" TargetMode="External" /><Relationship Type="http://schemas.openxmlformats.org/officeDocument/2006/relationships/hyperlink" Id="rId65" Target="https://doi.org/10.1111/j.1365-2486.2008.01610.x" TargetMode="External" /><Relationship Type="http://schemas.openxmlformats.org/officeDocument/2006/relationships/hyperlink" Id="rId86" Target="https://doi.org/10.1111/j.1365-2699.2008.02038.x" TargetMode="External" /><Relationship Type="http://schemas.openxmlformats.org/officeDocument/2006/relationships/hyperlink" Id="rId160" Target="https://doi.org/10.1111/j.1365-2699.2011.02652.x" TargetMode="External" /><Relationship Type="http://schemas.openxmlformats.org/officeDocument/2006/relationships/hyperlink" Id="rId117" Target="https://doi.org/10.1111/j.1461-0248.2009.01328.x" TargetMode="External" /><Relationship Type="http://schemas.openxmlformats.org/officeDocument/2006/relationships/hyperlink" Id="rId166" Target="https://doi.org/10.1111/j.1654-1103.2012.01423.x" TargetMode="External" /><Relationship Type="http://schemas.openxmlformats.org/officeDocument/2006/relationships/hyperlink" Id="rId138" Target="https://doi.org/10.1126/science.1060284" TargetMode="External" /><Relationship Type="http://schemas.openxmlformats.org/officeDocument/2006/relationships/hyperlink" Id="rId156" Target="https://doi.org/10.1126/science.1243092" TargetMode="External" /><Relationship Type="http://schemas.openxmlformats.org/officeDocument/2006/relationships/hyperlink" Id="rId113" Target="https://doi.org/10.1126/science.284.5412.334" TargetMode="External" /><Relationship Type="http://schemas.openxmlformats.org/officeDocument/2006/relationships/hyperlink" Id="rId107" Target="https://doi.org/10.1371/journal.pone.0173305" TargetMode="External" /><Relationship Type="http://schemas.openxmlformats.org/officeDocument/2006/relationships/hyperlink" Id="rId122" Target="https://doi.org/10.18167/DVN1/B8FHHA" TargetMode="External" /><Relationship Type="http://schemas.openxmlformats.org/officeDocument/2006/relationships/hyperlink" Id="rId129" Target="https://doi.org/10.18637/jss.v067.i08" TargetMode="External" /><Relationship Type="http://schemas.openxmlformats.org/officeDocument/2006/relationships/hyperlink" Id="rId151" Target="https://doi.org/10.1890/0012-9658(2003)084[0798:PTNONS]2.0.CO;2" TargetMode="External" /><Relationship Type="http://schemas.openxmlformats.org/officeDocument/2006/relationships/hyperlink" Id="rId119" Target="https://doi.org/10.1890/07-1369.1" TargetMode="External" /><Relationship Type="http://schemas.openxmlformats.org/officeDocument/2006/relationships/hyperlink" Id="rId93" Target="https://doi.org/10.2307/1411" TargetMode="External" /><Relationship Type="http://schemas.openxmlformats.org/officeDocument/2006/relationships/hyperlink" Id="rId99" Target="https://doi.org/10.2307/1929150" TargetMode="External" /><Relationship Type="http://schemas.openxmlformats.org/officeDocument/2006/relationships/hyperlink" Id="rId146" Target="https://doi.org/10.2307/1930989" TargetMode="External" /><Relationship Type="http://schemas.openxmlformats.org/officeDocument/2006/relationships/hyperlink" Id="rId148" Target="https://doi.org/10.2307/1931976" TargetMode="External" /><Relationship Type="http://schemas.openxmlformats.org/officeDocument/2006/relationships/hyperlink" Id="rId61" Target="https://doi.org/10.2307/2255763" TargetMode="External" /><Relationship Type="http://schemas.openxmlformats.org/officeDocument/2006/relationships/hyperlink" Id="rId82" Target="https://doi.org/10.2307/2261477" TargetMode="External" /><Relationship Type="http://schemas.openxmlformats.org/officeDocument/2006/relationships/hyperlink" Id="rId68" Target="https://doi.org/10.2307/2335915" TargetMode="External" /><Relationship Type="http://schemas.openxmlformats.org/officeDocument/2006/relationships/hyperlink" Id="rId74" Target="https://doi.org/10.2307/2531532" TargetMode="External" /><Relationship Type="http://schemas.openxmlformats.org/officeDocument/2006/relationships/hyperlink" Id="rId115" Target="https://doi.org/10.2307/3546568" TargetMode="External" /><Relationship Type="http://schemas.openxmlformats.org/officeDocument/2006/relationships/hyperlink" Id="rId140" Target="https://doi.org/10.5252/adansonia2022v44a26" TargetMode="External" /><Relationship Type="http://schemas.openxmlformats.org/officeDocument/2006/relationships/hyperlink" Id="rId168" Target="https://doi.org/10.5281/ZENODO.5571936" TargetMode="External" /><Relationship Type="http://schemas.openxmlformats.org/officeDocument/2006/relationships/hyperlink" Id="rId63" Target="https://doi.org/10.9734/ARRB/2015/22351" TargetMode="External" /><Relationship Type="http://schemas.openxmlformats.org/officeDocument/2006/relationships/hyperlink" Id="rId91" Target="https://www.jstor.org/stable/2460244" TargetMode="External" /><Relationship Type="http://schemas.openxmlformats.org/officeDocument/2006/relationships/hyperlink" Id="rId72" Target="https://www.jstor.org/stable/4615964" TargetMode="External" /></Relationships>
</file>

<file path=word/_rels/footnotes.xml.rels><?xml version="1.0" encoding="UTF-8"?><Relationships xmlns="http://schemas.openxmlformats.org/package/2006/relationships"><Relationship Type="http://schemas.openxmlformats.org/officeDocument/2006/relationships/hyperlink" Id="rId136" Target="https://doi.org/10.1002/ece3.7634" TargetMode="External" /><Relationship Type="http://schemas.openxmlformats.org/officeDocument/2006/relationships/hyperlink" Id="rId144" Target="https://doi.org/10.1006/jtbi.2000.2158" TargetMode="External" /><Relationship Type="http://schemas.openxmlformats.org/officeDocument/2006/relationships/hyperlink" Id="rId111" Target="https://doi.org/10.1007/s10531-014-0854-8" TargetMode="External" /><Relationship Type="http://schemas.openxmlformats.org/officeDocument/2006/relationships/hyperlink" Id="rId88" Target="https://doi.org/10.1007/s10531-016-1265-9" TargetMode="External" /><Relationship Type="http://schemas.openxmlformats.org/officeDocument/2006/relationships/hyperlink" Id="rId134" Target="https://doi.org/10.1016/J.SCITOTENV.2020.137397" TargetMode="External" /><Relationship Type="http://schemas.openxmlformats.org/officeDocument/2006/relationships/hyperlink" Id="rId95" Target="https://doi.org/10.1016/j.biocon.2020.108849" TargetMode="External" /><Relationship Type="http://schemas.openxmlformats.org/officeDocument/2006/relationships/hyperlink" Id="rId109" Target="https://doi.org/10.1016/j.jtbi.2012.07.030" TargetMode="External" /><Relationship Type="http://schemas.openxmlformats.org/officeDocument/2006/relationships/hyperlink" Id="rId126" Target="https://doi.org/10.1021/ja01318a036" TargetMode="External" /><Relationship Type="http://schemas.openxmlformats.org/officeDocument/2006/relationships/hyperlink" Id="rId132" Target="https://doi.org/10.1038/nature01583" TargetMode="External" /><Relationship Type="http://schemas.openxmlformats.org/officeDocument/2006/relationships/hyperlink" Id="rId162" Target="https://doi.org/10.1038/nature01883" TargetMode="External" /><Relationship Type="http://schemas.openxmlformats.org/officeDocument/2006/relationships/hyperlink" Id="rId158" Target="https://doi.org/10.1038/s41598-020-66686-3" TargetMode="External" /><Relationship Type="http://schemas.openxmlformats.org/officeDocument/2006/relationships/hyperlink" Id="rId164" Target="https://doi.org/10.1046/j.1365-2699.2001.00603.x" TargetMode="External" /><Relationship Type="http://schemas.openxmlformats.org/officeDocument/2006/relationships/hyperlink" Id="rId104" Target="https://doi.org/10.1046/j.1461-0248.2001.00230.x" TargetMode="External" /><Relationship Type="http://schemas.openxmlformats.org/officeDocument/2006/relationships/hyperlink" Id="rId97" Target="https://doi.org/10.1073/pnas.0510605103" TargetMode="External" /><Relationship Type="http://schemas.openxmlformats.org/officeDocument/2006/relationships/hyperlink" Id="rId153" Target="https://doi.org/10.1073/pnas.1423147112" TargetMode="External" /><Relationship Type="http://schemas.openxmlformats.org/officeDocument/2006/relationships/hyperlink" Id="rId70" Target="https://doi.org/10.1073/pnas.2115329119" TargetMode="External" /><Relationship Type="http://schemas.openxmlformats.org/officeDocument/2006/relationships/hyperlink" Id="rId142" Target="https://doi.org/10.1080/11956860.2004.11682808" TargetMode="External" /><Relationship Type="http://schemas.openxmlformats.org/officeDocument/2006/relationships/hyperlink" Id="rId84" Target="https://doi.org/10.1086/283438" TargetMode="External" /><Relationship Type="http://schemas.openxmlformats.org/officeDocument/2006/relationships/hyperlink" Id="rId102" Target="https://doi.org/10.1093/biomet/40.3-4.237" TargetMode="External" /><Relationship Type="http://schemas.openxmlformats.org/officeDocument/2006/relationships/hyperlink" Id="rId80" Target="https://doi.org/10.1098/rstb.1994.0091" TargetMode="External" /><Relationship Type="http://schemas.openxmlformats.org/officeDocument/2006/relationships/hyperlink" Id="rId76" Target="https://doi.org/10.1111/2041-210X.12349" TargetMode="External" /><Relationship Type="http://schemas.openxmlformats.org/officeDocument/2006/relationships/hyperlink" Id="rId78" Target="https://doi.org/10.1111/2041-210x.12108" TargetMode="External" /><Relationship Type="http://schemas.openxmlformats.org/officeDocument/2006/relationships/hyperlink" Id="rId124" Target="https://doi.org/10.1111/j.0906-7590.2004.03790.x" TargetMode="External" /><Relationship Type="http://schemas.openxmlformats.org/officeDocument/2006/relationships/hyperlink" Id="rId65" Target="https://doi.org/10.1111/j.1365-2486.2008.01610.x" TargetMode="External" /><Relationship Type="http://schemas.openxmlformats.org/officeDocument/2006/relationships/hyperlink" Id="rId86" Target="https://doi.org/10.1111/j.1365-2699.2008.02038.x" TargetMode="External" /><Relationship Type="http://schemas.openxmlformats.org/officeDocument/2006/relationships/hyperlink" Id="rId160" Target="https://doi.org/10.1111/j.1365-2699.2011.02652.x" TargetMode="External" /><Relationship Type="http://schemas.openxmlformats.org/officeDocument/2006/relationships/hyperlink" Id="rId117" Target="https://doi.org/10.1111/j.1461-0248.2009.01328.x" TargetMode="External" /><Relationship Type="http://schemas.openxmlformats.org/officeDocument/2006/relationships/hyperlink" Id="rId166" Target="https://doi.org/10.1111/j.1654-1103.2012.01423.x" TargetMode="External" /><Relationship Type="http://schemas.openxmlformats.org/officeDocument/2006/relationships/hyperlink" Id="rId138" Target="https://doi.org/10.1126/science.1060284" TargetMode="External" /><Relationship Type="http://schemas.openxmlformats.org/officeDocument/2006/relationships/hyperlink" Id="rId156" Target="https://doi.org/10.1126/science.1243092" TargetMode="External" /><Relationship Type="http://schemas.openxmlformats.org/officeDocument/2006/relationships/hyperlink" Id="rId113" Target="https://doi.org/10.1126/science.284.5412.334" TargetMode="External" /><Relationship Type="http://schemas.openxmlformats.org/officeDocument/2006/relationships/hyperlink" Id="rId107" Target="https://doi.org/10.1371/journal.pone.0173305" TargetMode="External" /><Relationship Type="http://schemas.openxmlformats.org/officeDocument/2006/relationships/hyperlink" Id="rId122" Target="https://doi.org/10.18167/DVN1/B8FHHA" TargetMode="External" /><Relationship Type="http://schemas.openxmlformats.org/officeDocument/2006/relationships/hyperlink" Id="rId129" Target="https://doi.org/10.18637/jss.v067.i08" TargetMode="External" /><Relationship Type="http://schemas.openxmlformats.org/officeDocument/2006/relationships/hyperlink" Id="rId151" Target="https://doi.org/10.1890/0012-9658(2003)084[0798:PTNONS]2.0.CO;2" TargetMode="External" /><Relationship Type="http://schemas.openxmlformats.org/officeDocument/2006/relationships/hyperlink" Id="rId119" Target="https://doi.org/10.1890/07-1369.1" TargetMode="External" /><Relationship Type="http://schemas.openxmlformats.org/officeDocument/2006/relationships/hyperlink" Id="rId93" Target="https://doi.org/10.2307/1411" TargetMode="External" /><Relationship Type="http://schemas.openxmlformats.org/officeDocument/2006/relationships/hyperlink" Id="rId99" Target="https://doi.org/10.2307/1929150" TargetMode="External" /><Relationship Type="http://schemas.openxmlformats.org/officeDocument/2006/relationships/hyperlink" Id="rId146" Target="https://doi.org/10.2307/1930989" TargetMode="External" /><Relationship Type="http://schemas.openxmlformats.org/officeDocument/2006/relationships/hyperlink" Id="rId148" Target="https://doi.org/10.2307/1931976" TargetMode="External" /><Relationship Type="http://schemas.openxmlformats.org/officeDocument/2006/relationships/hyperlink" Id="rId61" Target="https://doi.org/10.2307/2255763" TargetMode="External" /><Relationship Type="http://schemas.openxmlformats.org/officeDocument/2006/relationships/hyperlink" Id="rId82" Target="https://doi.org/10.2307/2261477" TargetMode="External" /><Relationship Type="http://schemas.openxmlformats.org/officeDocument/2006/relationships/hyperlink" Id="rId68" Target="https://doi.org/10.2307/2335915" TargetMode="External" /><Relationship Type="http://schemas.openxmlformats.org/officeDocument/2006/relationships/hyperlink" Id="rId74" Target="https://doi.org/10.2307/2531532" TargetMode="External" /><Relationship Type="http://schemas.openxmlformats.org/officeDocument/2006/relationships/hyperlink" Id="rId115" Target="https://doi.org/10.2307/3546568" TargetMode="External" /><Relationship Type="http://schemas.openxmlformats.org/officeDocument/2006/relationships/hyperlink" Id="rId140" Target="https://doi.org/10.5252/adansonia2022v44a26" TargetMode="External" /><Relationship Type="http://schemas.openxmlformats.org/officeDocument/2006/relationships/hyperlink" Id="rId168" Target="https://doi.org/10.5281/ZENODO.5571936" TargetMode="External" /><Relationship Type="http://schemas.openxmlformats.org/officeDocument/2006/relationships/hyperlink" Id="rId63" Target="https://doi.org/10.9734/ARRB/2015/22351" TargetMode="External" /><Relationship Type="http://schemas.openxmlformats.org/officeDocument/2006/relationships/hyperlink" Id="rId91" Target="https://www.jstor.org/stable/2460244" TargetMode="External" /><Relationship Type="http://schemas.openxmlformats.org/officeDocument/2006/relationships/hyperlink" Id="rId72" Target="https://www.jstor.org/stable/46159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Self-Similarity, French Guiana</cp:keywords>
  <dcterms:created xsi:type="dcterms:W3CDTF">2024-03-14T17:47:43Z</dcterms:created>
  <dcterms:modified xsi:type="dcterms:W3CDTF">2024-03-14T17:47:43Z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We reviewed the methods available, which are nonparametric estimators based on abundance or incidence data, log-series extrapolation and the universal species-area relationship based on maximum entropy. Appropriate methods depend on the scale considered. Harte’s self-similarity model is suitable at the regional scale, while the log-series extrapolation is not. GuyaDiv is a network of forest plots installed over the whole territory of French Guiana, where trees over 10 cm DBH are identified. We used its information (1315 species censused in 68 one-hectare plots) to estimate the exponent of the species-area relationship, assuming Arrhenius’s power law. We could then extrapolate the number of species from three local, wide inventories (over 2.5 km2). We evaluated the number of tree species around 2200 over the territory.</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14 March 2024</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sl">
    <vt:lpwstr>JTropEcol.cls</vt:lpwstr>
  </property>
  <property fmtid="{D5CDD505-2E9C-101B-9397-08002B2CF9AE}" pid="10" name="date">
    <vt:lpwstr>2024 March 14</vt:lpwstr>
  </property>
  <property fmtid="{D5CDD505-2E9C-101B-9397-08002B2CF9AE}" pid="11" name="github-repo">
    <vt:lpwstr>EricMarcon/JTE-22-105</vt:lpwstr>
  </property>
  <property fmtid="{D5CDD505-2E9C-101B-9397-08002B2CF9AE}" pid="12" name="output">
    <vt:lpwstr/>
  </property>
  <property fmtid="{D5CDD505-2E9C-101B-9397-08002B2CF9AE}" pid="13" name="toc-depth">
    <vt:lpwstr>2</vt:lpwstr>
  </property>
  <property fmtid="{D5CDD505-2E9C-101B-9397-08002B2CF9AE}" pid="14" name="url">
    <vt:lpwstr>https://github.com/EricMarcon/JTE-22-105</vt:lpwstr>
  </property>
</Properties>
</file>