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1.png" ContentType="image/png"/>
  <Override PartName="/word/media/rId29.png" ContentType="image/png"/>
  <Override PartName="/word/media/rId47.png" ContentType="image/png"/>
  <Override PartName="/word/media/rId58.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October 12,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Today, distance-based methods face a new challenge: they must be able to address very large micro-geographic datasets.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random thinning is an efficient method to analyze large datasets with very good accuracy.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Sweeney &amp; Arabadjis, 2022)</w:t>
      </w:r>
      <w:r>
        <w:t xml:space="preserve"> </w:t>
      </w:r>
      <w:r>
        <w:t xml:space="preserve">or in natural and physical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this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of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research topics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(see Marcon &amp; Puech, 2017)</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remainder of this article is organized as follows.</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p>
      <w:r>
        <w:br w:type="page"/>
      </w:r>
    </w:p>
    <w:bookmarkEnd w:id="9"/>
    <w:bookmarkStart w:id="15"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4"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rPr>
          <w:rStyle w:val="Appelnotedebasdep"/>
        </w:rPr>
        <w:footnoteReference w:id="12"/>
      </w:r>
      <w:r>
        <w:t xml:space="preserve">.</w:t>
      </w:r>
    </w:p>
    <w:p>
      <w:pPr>
        <w:pStyle w:val="Corpsdetexte"/>
      </w:pP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By 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 distributions, weighting or not the plants by their number of employees etc.).</w:t>
      </w:r>
      <w:r>
        <w:t xml:space="preserve"> </w:t>
      </w:r>
      <w:r>
        <w:t xml:space="preserve">Dozens of spatial concentration measures based on distances have been proposed</w:t>
      </w:r>
      <w:r>
        <w:t xml:space="preserve"> </w:t>
      </w:r>
      <w:r>
        <w:t xml:space="preserve">(Marcon &amp; Puech, 2017)</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Dealing with satellite data is an opportunity to provide detailed location analysis of the economic activities, see for example recent studies of</w:t>
      </w:r>
      <w:r>
        <w:t xml:space="preserve"> </w:t>
      </w:r>
      <w:r>
        <w:t xml:space="preserve">Bachtrögler-Unger et al. (2023)</w:t>
      </w:r>
      <w:r>
        <w:t xml:space="preserv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4"/>
    <w:bookmarkEnd w:id="15"/>
    <w:bookmarkStart w:id="45"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6"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 by</w:t>
      </w:r>
      <w:r>
        <w:t xml:space="preserve"> </w:t>
      </w:r>
      <w:r>
        <w:t xml:space="preserve">Marcon &amp; Puech (2010)</w:t>
      </w:r>
      <w:r>
        <w:t xml:space="preserve">.</w:t>
      </w:r>
      <w:r>
        <w:t xml:space="preserve"> </w:t>
      </w:r>
      <w:r>
        <w:t xml:space="preserve">They 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w:t>
      </w:r>
      <w:r>
        <w:t xml:space="preserve"> </w:t>
      </w:r>
      <w:r>
        <w:t xml:space="preserve">(Deurloo &amp; De Vos, 2008; Fernandez-Gonzalez et al., 2005; Marcon et al., 2012; 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w:t>
      </w:r>
    </w:p>
    <w:bookmarkEnd w:id="16"/>
    <w:bookmarkStart w:id="17"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(or</w:t>
      </w:r>
      <w:r>
        <w:t xml:space="preserve"> </w:t>
      </w:r>
      <w:r>
        <w:t xml:space="preserve">“intertype”</w:t>
      </w:r>
      <w:r>
        <w:t xml:space="preserv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7"/>
    <w:bookmarkStart w:id="28"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2"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9" name="Picture"/>
            <a:graphic>
              <a:graphicData uri="http://schemas.openxmlformats.org/drawingml/2006/picture">
                <pic:pic>
                  <pic:nvPicPr>
                    <pic:cNvPr descr="RevFinal_files/figure-docx/XMaternFig-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1" w:name="fig:XMaternFig"/>
      <w:bookmarkEnd w:id="21"/>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2"/>
    <w:bookmarkStart w:id="27"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4" name="Picture"/>
            <a:graphic>
              <a:graphicData uri="http://schemas.openxmlformats.org/drawingml/2006/picture">
                <pic:pic>
                  <pic:nvPicPr>
                    <pic:cNvPr descr="RevFinal_files/figure-docx/GroupedFig-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6" w:name="fig:GroupedFig"/>
      <w:bookmarkEnd w:id="26"/>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7"/>
    <w:bookmarkEnd w:id="28"/>
    <w:bookmarkStart w:id="35"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3"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0" name="Picture"/>
            <a:graphic>
              <a:graphicData uri="http://schemas.openxmlformats.org/drawingml/2006/picture">
                <pic:pic>
                  <pic:nvPicPr>
                    <pic:cNvPr descr="RevFinal_files/figure-docx/M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MFig"/>
      <w:bookmarkEnd w:id="32"/>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3"/>
    <w:bookmarkStart w:id="34"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4"/>
    <w:bookmarkEnd w:id="35"/>
    <w:bookmarkStart w:id="42"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0"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0.99)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9.33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1.7).</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7" name="Picture"/>
            <a:graphic>
              <a:graphicData uri="http://schemas.openxmlformats.org/drawingml/2006/picture">
                <pic:pic>
                  <pic:nvPicPr>
                    <pic:cNvPr descr="RevFinal_files/figure-docx/TestTimeMemFig-1.png" id="38" name="Picture"/>
                    <pic:cNvPicPr>
                      <a:picLocks noChangeArrowheads="1" noChangeAspect="1"/>
                    </pic:cNvPicPr>
                  </pic:nvPicPr>
                  <pic:blipFill>
                    <a:blip r:embed="rId3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9" w:name="fig:TestTimeMemFig"/>
      <w:bookmarkEnd w:id="39"/>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40"/>
    <w:bookmarkStart w:id="41"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1"/>
    <w:bookmarkEnd w:id="42"/>
    <w:bookmarkStart w:id="44"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10 seconds for a set of 100,000 points on a modern computer</w:t>
      </w:r>
      <w:r>
        <w:rPr>
          <w:rStyle w:val="Appelnotedebasdep"/>
        </w:rPr>
        <w:footnoteReference w:id="43"/>
      </w:r>
      <w:r>
        <w:t xml:space="preserve"> </w:t>
      </w:r>
      <w:r>
        <w:t xml:space="preserve">and requires 25 MB of RAM.</w:t>
      </w:r>
      <w:r>
        <w:t xml:space="preserve"> </w:t>
      </w:r>
      <w:r>
        <w:t xml:space="preserve">Therefore, calculating a confidence interval from 1,000 simulations requires less than 167 minutes.</w:t>
      </w:r>
      <w:r>
        <w:t xml:space="preserve"> </w:t>
      </w:r>
      <w:r>
        <w:t xml:space="preserve">For a set of five million points, the power law predicts around 112 minutes of computing time.</w:t>
      </w:r>
      <w:r>
        <w:t xml:space="preserve"> </w:t>
      </w:r>
      <w:r>
        <w:t xml:space="preserve">Accordingly, 1,000 simulations would take around 78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4"/>
    <w:bookmarkEnd w:id="45"/>
    <w:bookmarkStart w:id="65"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6"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6"/>
    <w:bookmarkStart w:id="55"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8" name="Picture"/>
            <a:graphic>
              <a:graphicData uri="http://schemas.openxmlformats.org/drawingml/2006/picture">
                <pic:pic>
                  <pic:nvPicPr>
                    <pic:cNvPr descr="RevFinal_files/figure-docx/MapproxFig-1.png" id="49" name="Picture"/>
                    <pic:cNvPicPr>
                      <a:picLocks noChangeArrowheads="1" noChangeAspect="1"/>
                    </pic:cNvPicPr>
                  </pic:nvPicPr>
                  <pic:blipFill>
                    <a:blip r:embed="rId4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0" w:name="fig:MapproxFig"/>
      <w:bookmarkEnd w:id="50"/>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Final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must be mentioned.</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Applying different distance-based methods on a real case (Italian manufacturing firms in the province of Trento), Arbia et al. showed that the error measurement was less important than expected.</w:t>
      </w:r>
      <w:r>
        <w:t xml:space="preserve"> </w:t>
      </w:r>
      <w:r>
        <w:t xml:space="preserve">For</w:t>
      </w:r>
      <w:r>
        <w:t xml:space="preserve"> </w:t>
      </w:r>
      <w:r>
        <w:rPr>
          <w:i/>
          <w:iCs/>
        </w:rPr>
        <w:t xml:space="preserve">M</w:t>
      </w:r>
      <w:r>
        <w:t xml:space="preserve">, their explanation rests on the definition of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substantially.</w:t>
      </w:r>
      <w:r>
        <w:t xml:space="preserve"> </w:t>
      </w:r>
      <w:r>
        <w:t xml:space="preserve">Many factors influence the findings: the industry studied,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we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in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this a classical MAUP’s issue. The interest of DBMs is actually to avoid this issue by preserving the information contained in the location of points.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Final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others DBMs: the</w:t>
      </w:r>
      <w:r>
        <w:t xml:space="preserve"> </w:t>
      </w:r>
      <w:r>
        <w:rPr>
          <w:i/>
          <w:iCs/>
        </w:rPr>
        <w:t xml:space="preserve">K</w:t>
      </w:r>
      <w:r>
        <w:t xml:space="preserve"> </w:t>
      </w:r>
      <w:r>
        <w:t xml:space="preserve">function</w:t>
      </w:r>
      <w:r>
        <w:t xml:space="preserve"> </w:t>
      </w:r>
      <w:r>
        <w:t xml:space="preserve">(Ripley, 1976, 1977)</w:t>
      </w:r>
      <w:r>
        <w:t xml:space="preserve"> </w:t>
      </w:r>
      <w:r>
        <w:t xml:space="preserve">and the </w:t>
      </w:r>
      <w:r>
        <w:rPr>
          <w:i/>
          <w:iCs/>
        </w:rPr>
        <w:t xml:space="preserve">D</w:t>
      </w:r>
      <w:r>
        <w:t xml:space="preserve"> </w:t>
      </w:r>
      <w:r>
        <w:t xml:space="preserve">function</w:t>
      </w:r>
      <w:r>
        <w:t xml:space="preserve"> </w:t>
      </w:r>
      <w:r>
        <w:t xml:space="preserve">(Diggle &amp; Chetwynd, 1991)</w:t>
      </w:r>
      <w:r>
        <w:t xml:space="preserve">.</w:t>
      </w:r>
      <w:r>
        <w:t xml:space="preserve"> </w:t>
      </w:r>
      <w:r>
        <w:t xml:space="preserve">Both are topographic DBMs but the latest that allows controlling for heterogeneity of space.</w:t>
      </w:r>
      <w:r>
        <w:t xml:space="preserve"> </w:t>
      </w:r>
      <w:r>
        <w:t xml:space="preserve">Sweeney &amp; Konty (2005)</w:t>
      </w:r>
      <w:r>
        <w:t xml:space="preserve"> </w:t>
      </w:r>
      <w:r>
        <w:t xml:space="preserve">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close to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To sum up, random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In this article, we provide some answers to a new recent challenge faced by all DBMs: the huge amount of micro-geographic data that are increasingly available for researchers.</w:t>
      </w:r>
      <w:r>
        <w:t xml:space="preserve"> </w:t>
      </w:r>
      <w:r>
        <w:t xml:space="preserve">We focus on one particular DBM, the</w:t>
      </w:r>
      <w:r>
        <w:t xml:space="preserve"> </w:t>
      </w:r>
      <w:r>
        <w:rPr>
          <w:i/>
          <w:iCs/>
        </w:rPr>
        <w:t xml:space="preserve">M</w:t>
      </w:r>
      <w:r>
        <w:t xml:space="preserve"> </w:t>
      </w:r>
      <w:r>
        <w:t xml:space="preserve">function of</w:t>
      </w:r>
      <w:r>
        <w:t xml:space="preserve"> </w:t>
      </w:r>
      <w:r>
        <w:t xml:space="preserve">Marcon &amp; Puech (2010)</w:t>
      </w:r>
      <w:r>
        <w:t xml:space="preserve">, a DBM recently pointed out by</w:t>
      </w:r>
      <w:r>
        <w:t xml:space="preserve"> </w:t>
      </w:r>
      <w:r>
        <w:t xml:space="preserve">Tidu et al. (2024)</w:t>
      </w:r>
      <w:r>
        <w:t xml:space="preserve">.</w:t>
      </w:r>
      <w:r>
        <w:t xml:space="preserve"> </w:t>
      </w:r>
      <w:r>
        <w:t xml:space="preserve">We think that our results will be useful for researchers in regional science who work with geo-localized data, notably for studying the industrial clustering.</w:t>
      </w:r>
    </w:p>
    <w:p>
      <w:pPr>
        <w:pStyle w:val="Corpsdetexte"/>
      </w:pPr>
      <w:r>
        <w:t xml:space="preserve">Our study highlighted several important points.</w:t>
      </w:r>
      <w:r>
        <w:t xml:space="preserve"> </w:t>
      </w:r>
      <w:r>
        <w:t xml:space="preserve">We support that 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r>
        <w:t xml:space="preserve"> </w:t>
      </w:r>
      <w:r>
        <w:t xml:space="preserve">Even if it was out of the scope of this study to test the performance of other DBMs, we provide also detailed comparisons between widely used DBMs in the appendix: the</w:t>
      </w:r>
      <w:r>
        <w:t xml:space="preserve"> </w:t>
      </w:r>
      <w:r>
        <w:rPr>
          <w:i/>
          <w:iCs/>
        </w:rPr>
        <w:t xml:space="preserve">M</w:t>
      </w:r>
      <w:r>
        <w:t xml:space="preserve"> </w:t>
      </w:r>
      <w:r>
        <w:t xml:space="preserve">function, the</w:t>
      </w:r>
      <w:r>
        <w:t xml:space="preserve"> </w:t>
      </w:r>
      <w:r>
        <w:rPr>
          <w:i/>
          <w:iCs/>
        </w:rPr>
        <w:t xml:space="preserve">D</w:t>
      </w:r>
      <w:r>
        <w:t xml:space="preserve"> </w:t>
      </w:r>
      <w:r>
        <w:t xml:space="preserve">function of</w:t>
      </w:r>
      <w:r>
        <w:t xml:space="preserve"> </w:t>
      </w:r>
      <w:r>
        <w:t xml:space="preserve">Diggle &amp; Chetwynd (1991)</w:t>
      </w:r>
      <w:r>
        <w:t xml:space="preserve"> </w:t>
      </w:r>
      <w:r>
        <w:t xml:space="preserve">and the</w:t>
      </w:r>
      <w:r>
        <w:t xml:space="preserve"> </w:t>
      </w:r>
      <w:r>
        <w:rPr>
          <w:i/>
          <w:iCs/>
        </w:rPr>
        <w:t xml:space="preserve">K</w:t>
      </w:r>
      <w:r>
        <w:rPr>
          <w:i/>
          <w:iCs/>
          <w:vertAlign w:val="subscript"/>
        </w:rPr>
        <w:t xml:space="preserve">d</w:t>
      </w:r>
      <w:r>
        <w:t xml:space="preserve"> function of</w:t>
      </w:r>
      <w:r>
        <w:t xml:space="preserve"> </w:t>
      </w:r>
      <w:r>
        <w:t xml:space="preserve">Duranton &amp; Overman (2005)</w:t>
      </w:r>
      <w:r>
        <w:t xml:space="preserve">.</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https://ericmarcon.github.io/MLargeDataSets/Appendix.html</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 and notably one of them for suggesting substantial improvements to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7" w:name="references"/>
    <w:p>
      <w:pPr>
        <w:pStyle w:val="Titre1"/>
      </w:pPr>
      <w:r>
        <w:t xml:space="preserve">References</w:t>
      </w:r>
    </w:p>
    <w:bookmarkStart w:id="146"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2"/>
    <w:bookmarkStart w:id="74"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3">
        <w:r>
          <w:rPr>
            <w:rStyle w:val="Lienhypertexte"/>
          </w:rPr>
          <w:t xml:space="preserve">https://doi.org/10.1080/17421772.2017.1297479</w:t>
        </w:r>
      </w:hyperlink>
    </w:p>
    <w:bookmarkEnd w:id="74"/>
    <w:bookmarkStart w:id="75"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5"/>
    <w:bookmarkStart w:id="76"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6"/>
    <w:bookmarkStart w:id="77"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7"/>
    <w:bookmarkStart w:id="78"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8"/>
    <w:bookmarkStart w:id="79"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9"/>
    <w:bookmarkStart w:id="80"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80"/>
    <w:bookmarkStart w:id="81"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1"/>
    <w:bookmarkStart w:id="82"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2"/>
    <w:bookmarkStart w:id="83"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39" w:name="ref-Sweeney2022"/>
    <w:p>
      <w:pPr>
        <w:pStyle w:val="Bibliographie"/>
      </w:pPr>
      <w:r>
        <w:t xml:space="preserve">Sweeney, S. H.,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39"/>
    <w:bookmarkStart w:id="140"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40"/>
    <w:bookmarkStart w:id="141"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1"/>
    <w:bookmarkStart w:id="142"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12">
    <w:p>
      <w:pPr>
        <w:pStyle w:val="Notedebasdepage"/>
      </w:pPr>
      <w:r>
        <w:rPr>
          <w:rStyle w:val="Appelnotedebasdep"/>
        </w:rPr>
        <w:footnoteRef/>
      </w:r>
      <w:r>
        <w:t xml:space="preserve"> </w:t>
      </w:r>
      <w:r>
        <w:t xml:space="preserve">For example,</w:t>
      </w:r>
      <w:r>
        <w:t xml:space="preserve"> </w:t>
      </w:r>
      <w:r>
        <w:t xml:space="preserve">Marcon (2019)</w:t>
      </w:r>
      <w:r>
        <w:t xml:space="preserve"> </w:t>
      </w:r>
      <w:r>
        <w:t xml:space="preserve">employed European data (available at the following address:</w:t>
      </w:r>
      <w:r>
        <w:t xml:space="preserve"> </w:t>
      </w:r>
      <w:hyperlink r:id="rId13">
        <w:r>
          <w:rPr>
            <w:rStyle w:val="Lienhypertexte"/>
          </w:rPr>
          <w:t xml:space="preserve">https://ec.europa.eu/eurostat/web/regions-and-cities</w:t>
        </w:r>
      </w:hyperlink>
      <w:r>
        <w:t xml:space="preserve">) to measure industrial employment disparities across European regions.</w:t>
      </w:r>
    </w:p>
  </w:footnote>
  <w:footnote w:id="43">
    <w:p>
      <w:pPr>
        <w:pStyle w:val="Notedebasdepage"/>
      </w:pPr>
      <w:r>
        <w:rPr>
          <w:rStyle w:val="Appelnotedebasdep"/>
        </w:rPr>
        <w:footnoteRef/>
      </w:r>
      <w:r>
        <w:t xml:space="preserve"> </w:t>
      </w:r>
      <w:r>
        <w:t xml:space="preserve">The results presented here were obtained on a GitHub-hosted Mac OS runner with a virtual 4-core NA,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Florence.Puech@universite-paris-saclay.fr" TargetMode="External" /></Relationships>
</file>

<file path=word/_rels/footnotes.xml.rels><?xml version="1.0" encoding="UTF-8"?><Relationships xmlns="http://schemas.openxmlformats.org/package/2006/relationships"><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Florence.Puech@universite-paris-saclay.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2026-10-12T19:08:33Z</dcterms:created>
  <dcterms:modified xsi:type="dcterms:W3CDTF">2026-10-12T19:08:33Z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Today, distance-based methods face a new challenge: they must be able to address very large micro-geographic datasets.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random thinning is an efficient method to analyze large datasets with very good accuracy.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October 12,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October 12,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Hal-05512154v3</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